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C8FA" w14:textId="77777777" w:rsidR="00730D88" w:rsidRPr="0016146E" w:rsidRDefault="00730D88" w:rsidP="007E30A3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4933DC69" w14:textId="77777777" w:rsidR="00032882" w:rsidRDefault="00730D88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6E61EB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 w:rsidR="00032882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14:paraId="659B8DD2" w14:textId="77777777" w:rsidR="00730D88" w:rsidRPr="0016146E" w:rsidRDefault="006E61EB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032882">
        <w:rPr>
          <w:rFonts w:eastAsia="Times New Roman"/>
          <w:sz w:val="20"/>
          <w:szCs w:val="20"/>
          <w:lang w:eastAsia="cs-CZ"/>
        </w:rPr>
        <w:tab/>
      </w:r>
      <w:r w:rsidR="00730D88" w:rsidRPr="0016146E">
        <w:rPr>
          <w:rFonts w:eastAsia="Times New Roman"/>
          <w:sz w:val="20"/>
          <w:szCs w:val="20"/>
          <w:lang w:eastAsia="cs-CZ"/>
        </w:rPr>
        <w:t>CZ27256456</w:t>
      </w:r>
    </w:p>
    <w:p w14:paraId="1B9C9DCA" w14:textId="77777777" w:rsidR="00730D88" w:rsidRPr="0016146E" w:rsidRDefault="00730D88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625E0275" w14:textId="77777777" w:rsidR="00730D88" w:rsidRDefault="00730D88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6E61EB">
        <w:rPr>
          <w:rFonts w:eastAsia="Times New Roman"/>
          <w:sz w:val="20"/>
          <w:szCs w:val="20"/>
          <w:lang w:eastAsia="cs-CZ"/>
        </w:rPr>
        <w:t>JUDr. Ladislav Řípa</w:t>
      </w:r>
      <w:r w:rsidR="00B85032">
        <w:rPr>
          <w:rFonts w:eastAsia="Times New Roman"/>
          <w:sz w:val="20"/>
          <w:szCs w:val="20"/>
          <w:lang w:eastAsia="cs-CZ"/>
        </w:rPr>
        <w:t>, předseda představenstva</w:t>
      </w:r>
    </w:p>
    <w:p w14:paraId="4B91258F" w14:textId="77777777" w:rsidR="00B85032" w:rsidRPr="0016146E" w:rsidRDefault="00B85032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</w:r>
      <w:r w:rsidR="007F387E">
        <w:rPr>
          <w:rFonts w:eastAsia="Times New Roman"/>
          <w:sz w:val="20"/>
          <w:szCs w:val="20"/>
          <w:lang w:eastAsia="cs-CZ"/>
        </w:rPr>
        <w:t>Mgr. Daniel Marek</w:t>
      </w:r>
      <w:r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05A1242" w14:textId="77777777" w:rsidR="00730D88" w:rsidRPr="0016146E" w:rsidRDefault="00730D88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5A7B54ED" w14:textId="77777777" w:rsidR="00032882" w:rsidRDefault="00032882" w:rsidP="0003288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875F7F7" w14:textId="7432D0CC" w:rsidR="00F872B9" w:rsidRPr="0016146E" w:rsidRDefault="00F872B9" w:rsidP="0003288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B866DA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997A15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70B69FD6" w14:textId="77777777" w:rsidR="00515C4F" w:rsidRPr="0016146E" w:rsidRDefault="00515C4F" w:rsidP="007E30A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91EBE2B" w14:textId="77777777" w:rsidR="00515C4F" w:rsidRPr="0016146E" w:rsidRDefault="00515C4F" w:rsidP="007E30A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1B7240FA" w14:textId="77777777" w:rsidR="00515C4F" w:rsidRPr="0016146E" w:rsidRDefault="00515C4F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D045856" w14:textId="77777777" w:rsidR="00997A15" w:rsidRPr="00997A15" w:rsidRDefault="00997A15" w:rsidP="00997A15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</w:p>
    <w:p w14:paraId="1ABDA0A1" w14:textId="77777777" w:rsidR="00997A15" w:rsidRPr="00997A15" w:rsidRDefault="00997A15" w:rsidP="00997A1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97A15">
        <w:rPr>
          <w:rFonts w:eastAsia="Times New Roman"/>
          <w:sz w:val="20"/>
          <w:szCs w:val="20"/>
          <w:lang w:eastAsia="cs-CZ"/>
        </w:rPr>
        <w:t>Společnost:</w:t>
      </w:r>
      <w:r w:rsidRPr="00997A15">
        <w:rPr>
          <w:rFonts w:eastAsia="Times New Roman"/>
          <w:sz w:val="20"/>
          <w:szCs w:val="20"/>
          <w:lang w:eastAsia="cs-CZ"/>
        </w:rPr>
        <w:tab/>
      </w:r>
      <w:r w:rsidRPr="00997A15">
        <w:rPr>
          <w:rFonts w:eastAsia="Times New Roman"/>
          <w:b/>
          <w:bCs/>
          <w:sz w:val="20"/>
          <w:szCs w:val="20"/>
          <w:lang w:eastAsia="cs-CZ"/>
        </w:rPr>
        <w:t>COMPAG MLADÁ BOLESLAV s.r.o.</w:t>
      </w:r>
    </w:p>
    <w:p w14:paraId="77C7FB9B" w14:textId="77777777" w:rsidR="00997A15" w:rsidRPr="00997A15" w:rsidRDefault="00997A15" w:rsidP="00997A1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97A15">
        <w:rPr>
          <w:rFonts w:eastAsia="Times New Roman"/>
          <w:sz w:val="20"/>
          <w:szCs w:val="20"/>
          <w:lang w:eastAsia="cs-CZ"/>
        </w:rPr>
        <w:t>IČO:</w:t>
      </w:r>
      <w:r w:rsidRPr="00997A15">
        <w:rPr>
          <w:rFonts w:eastAsia="Times New Roman"/>
          <w:sz w:val="20"/>
          <w:szCs w:val="20"/>
          <w:lang w:eastAsia="cs-CZ"/>
        </w:rPr>
        <w:tab/>
        <w:t>47551984</w:t>
      </w:r>
    </w:p>
    <w:p w14:paraId="4E0C4F36" w14:textId="77777777" w:rsidR="00997A15" w:rsidRPr="00997A15" w:rsidRDefault="00997A15" w:rsidP="00997A1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97A15">
        <w:rPr>
          <w:rFonts w:eastAsia="Times New Roman"/>
          <w:sz w:val="20"/>
          <w:szCs w:val="20"/>
          <w:lang w:eastAsia="cs-CZ"/>
        </w:rPr>
        <w:t>DIČ:</w:t>
      </w:r>
      <w:r w:rsidRPr="00997A15">
        <w:rPr>
          <w:rFonts w:eastAsia="Times New Roman"/>
          <w:sz w:val="20"/>
          <w:szCs w:val="20"/>
          <w:lang w:eastAsia="cs-CZ"/>
        </w:rPr>
        <w:tab/>
        <w:t>CZ47551984</w:t>
      </w:r>
    </w:p>
    <w:p w14:paraId="4947A5A8" w14:textId="77777777" w:rsidR="00997A15" w:rsidRPr="00997A15" w:rsidRDefault="00997A15" w:rsidP="00997A1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97A15">
        <w:rPr>
          <w:rFonts w:eastAsia="Times New Roman"/>
          <w:sz w:val="20"/>
          <w:szCs w:val="20"/>
          <w:lang w:eastAsia="cs-CZ"/>
        </w:rPr>
        <w:t>Se sídlem:</w:t>
      </w:r>
      <w:r w:rsidRPr="00997A15">
        <w:rPr>
          <w:rFonts w:eastAsia="Times New Roman"/>
          <w:sz w:val="20"/>
          <w:szCs w:val="20"/>
          <w:lang w:eastAsia="cs-CZ"/>
        </w:rPr>
        <w:tab/>
        <w:t>Vančurova 1425, 293 01 Mladá Boleslav</w:t>
      </w:r>
    </w:p>
    <w:p w14:paraId="5CAAEC1B" w14:textId="77777777" w:rsidR="00997A15" w:rsidRPr="00997A15" w:rsidRDefault="00997A15" w:rsidP="00997A1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97A15">
        <w:rPr>
          <w:rFonts w:eastAsia="Times New Roman"/>
          <w:sz w:val="20"/>
          <w:szCs w:val="20"/>
          <w:lang w:eastAsia="cs-CZ"/>
        </w:rPr>
        <w:t>Zastoupená:</w:t>
      </w:r>
      <w:r w:rsidRPr="00997A15">
        <w:rPr>
          <w:rFonts w:eastAsia="Times New Roman"/>
          <w:sz w:val="20"/>
          <w:szCs w:val="20"/>
          <w:lang w:eastAsia="cs-CZ"/>
        </w:rPr>
        <w:tab/>
        <w:t>Radek Lizec, Miloslav Neuman, jednatelé</w:t>
      </w:r>
    </w:p>
    <w:p w14:paraId="722A1B1E" w14:textId="77777777" w:rsidR="00997A15" w:rsidRPr="00997A15" w:rsidRDefault="00997A15" w:rsidP="00997A1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97A15">
        <w:rPr>
          <w:rFonts w:eastAsia="Times New Roman"/>
          <w:sz w:val="20"/>
          <w:szCs w:val="20"/>
          <w:lang w:eastAsia="cs-CZ"/>
        </w:rPr>
        <w:t>Zapsaná v obchodním rejstříku Městského soudu v Praze, oddíl C, vložka 22798</w:t>
      </w:r>
    </w:p>
    <w:p w14:paraId="29C94459" w14:textId="77777777" w:rsidR="00B866DA" w:rsidRDefault="00B866DA" w:rsidP="0003288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94FE5D3" w14:textId="458A4617" w:rsidR="00F56C56" w:rsidRPr="0016146E" w:rsidRDefault="00F56C56" w:rsidP="0003288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B866DA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997A15">
        <w:rPr>
          <w:rFonts w:eastAsia="Times New Roman"/>
          <w:b/>
          <w:sz w:val="20"/>
          <w:szCs w:val="20"/>
          <w:lang w:eastAsia="cs-CZ"/>
        </w:rPr>
        <w:t>poskytovatel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3642F181" w14:textId="7FD1642B" w:rsidR="006E61EB" w:rsidRDefault="00997A15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997A15">
        <w:rPr>
          <w:rFonts w:eastAsia="Times New Roman"/>
          <w:sz w:val="20"/>
          <w:szCs w:val="20"/>
          <w:lang w:eastAsia="cs-CZ"/>
        </w:rPr>
        <w:t>objednatel a zhotovitel společně jako „</w:t>
      </w:r>
      <w:r w:rsidRPr="00997A15">
        <w:rPr>
          <w:rFonts w:eastAsia="Times New Roman"/>
          <w:b/>
          <w:bCs/>
          <w:sz w:val="20"/>
          <w:szCs w:val="20"/>
          <w:lang w:eastAsia="cs-CZ"/>
        </w:rPr>
        <w:t>smluvní strany</w:t>
      </w:r>
      <w:r w:rsidRPr="00997A15">
        <w:rPr>
          <w:rFonts w:eastAsia="Times New Roman"/>
          <w:sz w:val="20"/>
          <w:szCs w:val="20"/>
          <w:lang w:eastAsia="cs-CZ"/>
        </w:rPr>
        <w:t>“</w:t>
      </w:r>
    </w:p>
    <w:p w14:paraId="4137BABA" w14:textId="1EFCC514" w:rsidR="00D62322" w:rsidRDefault="00D62322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22142B1" w14:textId="77777777" w:rsidR="00997A15" w:rsidRDefault="00997A15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373E8CD" w14:textId="0655AB31" w:rsidR="00997A15" w:rsidRPr="0043063D" w:rsidRDefault="00997A15" w:rsidP="00997A1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dohodly v souladu s ustanovením § 1746 odst. 2 zákona č. 89/2012, občanský zákoník,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60B6C734" w14:textId="43EA12DF" w:rsidR="00997A15" w:rsidRDefault="00997A15" w:rsidP="00997A15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5E1F8B91" w14:textId="77777777" w:rsidR="00997A15" w:rsidRPr="0016146E" w:rsidRDefault="00997A15" w:rsidP="00997A15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97ADC53" w14:textId="4B7B3EE2" w:rsidR="00997A15" w:rsidRPr="00997A15" w:rsidRDefault="00997A15" w:rsidP="00997A15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16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 o správě nemovitostí</w:t>
      </w:r>
    </w:p>
    <w:p w14:paraId="7F3C32EA" w14:textId="43DF5E31" w:rsidR="00997A15" w:rsidRDefault="00997A15" w:rsidP="00997A1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6B2D4CD9" w14:textId="77777777" w:rsidR="00DC406E" w:rsidRDefault="00DC406E" w:rsidP="00997A1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49540541" w14:textId="77777777" w:rsidR="00253EA3" w:rsidRDefault="00B866DA" w:rsidP="00DC406E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0EDEAF1C" w14:textId="5AAD5EDB" w:rsidR="00505505" w:rsidRDefault="00997A15" w:rsidP="00373B1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Objednatel </w:t>
      </w:r>
      <w:r w:rsidRPr="00997A15">
        <w:rPr>
          <w:rFonts w:ascii="Verdana" w:hAnsi="Verdana"/>
          <w:sz w:val="20"/>
          <w:lang w:eastAsia="cs-CZ"/>
        </w:rPr>
        <w:t xml:space="preserve">je vlastníkem budovy č.p. 1405 – stavba občanského vybavení, v ulici Na Celně, jenž je součástí pozemku parc.č. st. 6876, pozemku parc.č. 1123/12 a pozemku parc.č. 1123/2 vše v katastrálním území a obci Mladá Boleslav (část obce Mladá Boleslav III), zapsané v Katastru nemovitostí u Katastrálního úřadu pro Středočeský kraj, Katastrální pracoviště Mladá Boleslav, na LV č. 15270 pro katastrální území a obec Mladá Boleslav. Budova čp. 1405 </w:t>
      </w:r>
      <w:r>
        <w:rPr>
          <w:rFonts w:ascii="Verdana" w:hAnsi="Verdana"/>
          <w:sz w:val="20"/>
          <w:lang w:eastAsia="cs-CZ"/>
        </w:rPr>
        <w:t>(</w:t>
      </w:r>
      <w:r w:rsidRPr="00997A15">
        <w:rPr>
          <w:rFonts w:ascii="Verdana" w:hAnsi="Verdana"/>
          <w:sz w:val="20"/>
          <w:lang w:eastAsia="cs-CZ"/>
        </w:rPr>
        <w:t>dále jen „</w:t>
      </w:r>
      <w:r w:rsidRPr="00997A15">
        <w:rPr>
          <w:rFonts w:ascii="Verdana" w:hAnsi="Verdana"/>
          <w:b/>
          <w:bCs/>
          <w:sz w:val="20"/>
          <w:lang w:eastAsia="cs-CZ"/>
        </w:rPr>
        <w:t>nemovitosti</w:t>
      </w:r>
      <w:r>
        <w:rPr>
          <w:rFonts w:ascii="Verdana" w:hAnsi="Verdana"/>
          <w:sz w:val="20"/>
          <w:lang w:eastAsia="cs-CZ"/>
        </w:rPr>
        <w:t>“).</w:t>
      </w:r>
    </w:p>
    <w:p w14:paraId="195CD0E5" w14:textId="1A811AA0" w:rsidR="00997A15" w:rsidRPr="00CA17C1" w:rsidRDefault="00997A15" w:rsidP="00997A15">
      <w:pPr>
        <w:widowControl w:val="0"/>
        <w:numPr>
          <w:ilvl w:val="1"/>
          <w:numId w:val="1"/>
        </w:numPr>
        <w:tabs>
          <w:tab w:val="clear" w:pos="576"/>
          <w:tab w:val="left" w:pos="567"/>
        </w:tabs>
        <w:adjustRightInd w:val="0"/>
        <w:spacing w:after="60" w:line="240" w:lineRule="auto"/>
        <w:ind w:left="567" w:hanging="567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>
        <w:rPr>
          <w:rFonts w:eastAsia="Times New Roman"/>
          <w:kern w:val="28"/>
          <w:sz w:val="20"/>
          <w:szCs w:val="20"/>
          <w:lang w:eastAsia="cs-CZ"/>
        </w:rPr>
        <w:t>Poskytovatel</w:t>
      </w:r>
      <w:r w:rsidRPr="00CA17C1">
        <w:rPr>
          <w:rFonts w:eastAsia="Times New Roman"/>
          <w:kern w:val="28"/>
          <w:sz w:val="20"/>
          <w:szCs w:val="20"/>
          <w:lang w:eastAsia="cs-CZ"/>
        </w:rPr>
        <w:t xml:space="preserve"> prohlašuje, že předmět plnění této smlouvy odpovídá jeho podnikatelskému oprávnění a disponuje potřebnými kapacitami k řádnému a včasnému </w:t>
      </w:r>
      <w:r>
        <w:rPr>
          <w:rFonts w:eastAsia="Times New Roman"/>
          <w:kern w:val="28"/>
          <w:sz w:val="20"/>
          <w:szCs w:val="20"/>
          <w:lang w:eastAsia="cs-CZ"/>
        </w:rPr>
        <w:t>provádění činností</w:t>
      </w:r>
      <w:r w:rsidRPr="00CA17C1">
        <w:rPr>
          <w:rFonts w:eastAsia="Times New Roman"/>
          <w:kern w:val="28"/>
          <w:sz w:val="20"/>
          <w:szCs w:val="20"/>
          <w:lang w:eastAsia="cs-CZ"/>
        </w:rPr>
        <w:t xml:space="preserve"> dle této smlouvy. Tuto smlouvu uzavírá v postavení profesionála a zavazuje se postupovat při plnění této smlouvy s odbornou péčí.</w:t>
      </w:r>
    </w:p>
    <w:p w14:paraId="17CBD891" w14:textId="4CC08DEC" w:rsidR="00997A15" w:rsidRPr="00D21826" w:rsidRDefault="00997A15" w:rsidP="00997A15">
      <w:pPr>
        <w:widowControl w:val="0"/>
        <w:numPr>
          <w:ilvl w:val="1"/>
          <w:numId w:val="1"/>
        </w:numPr>
        <w:tabs>
          <w:tab w:val="clear" w:pos="576"/>
          <w:tab w:val="left" w:pos="567"/>
        </w:tabs>
        <w:adjustRightInd w:val="0"/>
        <w:spacing w:after="60" w:line="240" w:lineRule="auto"/>
        <w:ind w:left="567" w:hanging="567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D21826">
        <w:rPr>
          <w:rFonts w:eastAsia="Times New Roman"/>
          <w:kern w:val="28"/>
          <w:sz w:val="20"/>
          <w:szCs w:val="20"/>
          <w:lang w:eastAsia="cs-CZ"/>
        </w:rPr>
        <w:t xml:space="preserve">Zhotovitel dále prohlašuje, že má sjednáno platné pojištění odpovědnosti za škodu/újmu, ve výši odpovídající předmětu této smlouvy. Zhotovitel se zavazuje udržovat toto pojištění v platnosti po celou dobu </w:t>
      </w:r>
      <w:r>
        <w:rPr>
          <w:rFonts w:eastAsia="Times New Roman"/>
          <w:kern w:val="28"/>
          <w:sz w:val="20"/>
          <w:szCs w:val="20"/>
          <w:lang w:eastAsia="cs-CZ"/>
        </w:rPr>
        <w:t>trvání této smlouvy.</w:t>
      </w:r>
    </w:p>
    <w:p w14:paraId="0FF07BF3" w14:textId="7F079DE1" w:rsidR="00943A82" w:rsidRDefault="00846B9A" w:rsidP="00DC406E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smlouvy</w:t>
      </w:r>
    </w:p>
    <w:p w14:paraId="063FCAE2" w14:textId="3638FBB3" w:rsidR="00846B9A" w:rsidRDefault="00846B9A" w:rsidP="00A034CF">
      <w:pPr>
        <w:widowControl w:val="0"/>
        <w:numPr>
          <w:ilvl w:val="1"/>
          <w:numId w:val="1"/>
        </w:numPr>
        <w:tabs>
          <w:tab w:val="clear" w:pos="576"/>
          <w:tab w:val="left" w:pos="567"/>
        </w:tabs>
        <w:adjustRightInd w:val="0"/>
        <w:spacing w:after="60" w:line="240" w:lineRule="auto"/>
        <w:ind w:left="567" w:hanging="567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846B9A">
        <w:rPr>
          <w:rFonts w:eastAsia="Times New Roman"/>
          <w:kern w:val="28"/>
          <w:sz w:val="20"/>
          <w:szCs w:val="20"/>
          <w:lang w:eastAsia="cs-CZ"/>
        </w:rPr>
        <w:t xml:space="preserve">Předmětem této smlouvy je závazek poskytovatele zajistit pro objednatele správu nemovitostí v rozsahu a za podmínek stanovených v této smlouvě. Předmětem této </w:t>
      </w:r>
      <w:r w:rsidRPr="00846B9A">
        <w:rPr>
          <w:rFonts w:eastAsia="Times New Roman"/>
          <w:kern w:val="28"/>
          <w:sz w:val="20"/>
          <w:szCs w:val="20"/>
          <w:lang w:eastAsia="cs-CZ"/>
        </w:rPr>
        <w:lastRenderedPageBreak/>
        <w:t xml:space="preserve">smlouvy je dále závazek objednatele zaplatit poskytovateli za řádně a včas </w:t>
      </w:r>
      <w:r>
        <w:rPr>
          <w:rFonts w:eastAsia="Times New Roman"/>
          <w:kern w:val="28"/>
          <w:sz w:val="20"/>
          <w:szCs w:val="20"/>
          <w:lang w:eastAsia="cs-CZ"/>
        </w:rPr>
        <w:t xml:space="preserve">provedené činnosti </w:t>
      </w:r>
      <w:r w:rsidRPr="00846B9A">
        <w:rPr>
          <w:rFonts w:eastAsia="Times New Roman"/>
          <w:kern w:val="28"/>
          <w:sz w:val="20"/>
          <w:szCs w:val="20"/>
          <w:lang w:eastAsia="cs-CZ"/>
        </w:rPr>
        <w:t xml:space="preserve">odměnu ve výši a za podmínek stanovených v této </w:t>
      </w:r>
      <w:r>
        <w:rPr>
          <w:rFonts w:eastAsia="Times New Roman"/>
          <w:kern w:val="28"/>
          <w:sz w:val="20"/>
          <w:szCs w:val="20"/>
          <w:lang w:eastAsia="cs-CZ"/>
        </w:rPr>
        <w:t>s</w:t>
      </w:r>
      <w:r w:rsidRPr="00846B9A">
        <w:rPr>
          <w:rFonts w:eastAsia="Times New Roman"/>
          <w:kern w:val="28"/>
          <w:sz w:val="20"/>
          <w:szCs w:val="20"/>
          <w:lang w:eastAsia="cs-CZ"/>
        </w:rPr>
        <w:t>mlouvě.</w:t>
      </w:r>
    </w:p>
    <w:p w14:paraId="431CDC9E" w14:textId="2C2B4CC0" w:rsidR="00846B9A" w:rsidRDefault="00846B9A" w:rsidP="00A034CF">
      <w:pPr>
        <w:widowControl w:val="0"/>
        <w:numPr>
          <w:ilvl w:val="1"/>
          <w:numId w:val="1"/>
        </w:numPr>
        <w:tabs>
          <w:tab w:val="clear" w:pos="576"/>
          <w:tab w:val="left" w:pos="567"/>
        </w:tabs>
        <w:adjustRightInd w:val="0"/>
        <w:spacing w:after="60" w:line="240" w:lineRule="auto"/>
        <w:ind w:left="567" w:hanging="567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>
        <w:rPr>
          <w:rFonts w:eastAsia="Times New Roman"/>
          <w:kern w:val="28"/>
          <w:sz w:val="20"/>
          <w:szCs w:val="20"/>
          <w:lang w:eastAsia="cs-CZ"/>
        </w:rPr>
        <w:t>Správa nemovitostí zahrnuje zejména tyto činnosti:</w:t>
      </w:r>
    </w:p>
    <w:p w14:paraId="55C67374" w14:textId="0778FD75" w:rsidR="00714457" w:rsidRPr="00714457" w:rsidRDefault="00714457" w:rsidP="00714457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Pravidelná kontrola nemovitostí. Poskytovatel je povinen neprodleně informovat objednatele o všech závadách a potřebě provedení jakýchkoliv oprav.</w:t>
      </w:r>
    </w:p>
    <w:p w14:paraId="45FC8A0C" w14:textId="170028F3" w:rsidR="00846B9A" w:rsidRPr="00846B9A" w:rsidRDefault="00714457" w:rsidP="00714457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Kontrola temperace budovy, </w:t>
      </w:r>
      <w:r w:rsidR="00846B9A" w:rsidRPr="00846B9A">
        <w:rPr>
          <w:rFonts w:ascii="Verdana" w:hAnsi="Verdana"/>
          <w:sz w:val="20"/>
          <w:lang w:eastAsia="cs-CZ"/>
        </w:rPr>
        <w:t xml:space="preserve">větrání prostor, </w:t>
      </w:r>
      <w:r>
        <w:rPr>
          <w:rFonts w:ascii="Verdana" w:hAnsi="Verdana"/>
          <w:sz w:val="20"/>
          <w:lang w:eastAsia="cs-CZ"/>
        </w:rPr>
        <w:t xml:space="preserve">uklizenosti </w:t>
      </w:r>
      <w:r w:rsidR="00846B9A" w:rsidRPr="00846B9A">
        <w:rPr>
          <w:rFonts w:ascii="Verdana" w:hAnsi="Verdana"/>
          <w:sz w:val="20"/>
          <w:lang w:eastAsia="cs-CZ"/>
        </w:rPr>
        <w:t>vnitřních a vnějších prostor budovy</w:t>
      </w:r>
      <w:r>
        <w:rPr>
          <w:rFonts w:ascii="Verdana" w:hAnsi="Verdana"/>
          <w:sz w:val="20"/>
          <w:lang w:eastAsia="cs-CZ"/>
        </w:rPr>
        <w:t>.</w:t>
      </w:r>
    </w:p>
    <w:p w14:paraId="0448BE29" w14:textId="77777777" w:rsidR="00846B9A" w:rsidRPr="00846B9A" w:rsidRDefault="00846B9A" w:rsidP="00846B9A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46B9A">
        <w:rPr>
          <w:rFonts w:ascii="Verdana" w:hAnsi="Verdana"/>
          <w:sz w:val="20"/>
          <w:lang w:eastAsia="cs-CZ"/>
        </w:rPr>
        <w:t>Zodpovědnost za inventář budovy, vedení příručního skladu čistících prostředků, prádla a dalších materiálů nezbytných k chodu budovy.</w:t>
      </w:r>
    </w:p>
    <w:p w14:paraId="142C24D0" w14:textId="5CB127B2" w:rsidR="00846B9A" w:rsidRDefault="00846B9A" w:rsidP="00846B9A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46B9A">
        <w:rPr>
          <w:rFonts w:ascii="Verdana" w:hAnsi="Verdana"/>
          <w:sz w:val="20"/>
          <w:lang w:eastAsia="cs-CZ"/>
        </w:rPr>
        <w:t xml:space="preserve">Zodpovědnost za dodržování požárních </w:t>
      </w:r>
      <w:r w:rsidR="00A21FEF">
        <w:rPr>
          <w:rFonts w:ascii="Verdana" w:hAnsi="Verdana"/>
          <w:sz w:val="20"/>
          <w:lang w:eastAsia="cs-CZ"/>
        </w:rPr>
        <w:t>předpisů,</w:t>
      </w:r>
      <w:r w:rsidRPr="00846B9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pravidel </w:t>
      </w:r>
      <w:r w:rsidRPr="00846B9A">
        <w:rPr>
          <w:rFonts w:ascii="Verdana" w:hAnsi="Verdana"/>
          <w:sz w:val="20"/>
          <w:lang w:eastAsia="cs-CZ"/>
        </w:rPr>
        <w:t>bezpečnost práce</w:t>
      </w:r>
      <w:r w:rsidR="00A21FEF">
        <w:rPr>
          <w:rFonts w:ascii="Verdana" w:hAnsi="Verdana"/>
          <w:sz w:val="20"/>
          <w:lang w:eastAsia="cs-CZ"/>
        </w:rPr>
        <w:t xml:space="preserve"> a vnitřních předpisů objednatele vztahujících se k provozu nemovitostí</w:t>
      </w:r>
      <w:r w:rsidRPr="00846B9A">
        <w:rPr>
          <w:rFonts w:ascii="Verdana" w:hAnsi="Verdana"/>
          <w:sz w:val="20"/>
          <w:lang w:eastAsia="cs-CZ"/>
        </w:rPr>
        <w:t>.</w:t>
      </w:r>
    </w:p>
    <w:p w14:paraId="4F0088A1" w14:textId="7BC71419" w:rsidR="00FA7547" w:rsidRDefault="00FA7547" w:rsidP="00FA7547">
      <w:pPr>
        <w:widowControl w:val="0"/>
        <w:numPr>
          <w:ilvl w:val="1"/>
          <w:numId w:val="1"/>
        </w:numPr>
        <w:tabs>
          <w:tab w:val="clear" w:pos="576"/>
          <w:tab w:val="left" w:pos="567"/>
        </w:tabs>
        <w:adjustRightInd w:val="0"/>
        <w:spacing w:after="60" w:line="240" w:lineRule="auto"/>
        <w:ind w:left="567" w:hanging="567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>
        <w:rPr>
          <w:rFonts w:eastAsia="Times New Roman"/>
          <w:kern w:val="28"/>
          <w:sz w:val="20"/>
          <w:szCs w:val="20"/>
          <w:lang w:eastAsia="cs-CZ"/>
        </w:rPr>
        <w:t>Objednatel se zavazuje vytvořit poskytovateli podmínky pro řádný výkon jeho činností.</w:t>
      </w:r>
    </w:p>
    <w:p w14:paraId="65782BA4" w14:textId="4B3BC4FA" w:rsidR="00FA7547" w:rsidRPr="00FA7547" w:rsidRDefault="00FA7547" w:rsidP="00FA7547">
      <w:pPr>
        <w:widowControl w:val="0"/>
        <w:numPr>
          <w:ilvl w:val="1"/>
          <w:numId w:val="1"/>
        </w:numPr>
        <w:tabs>
          <w:tab w:val="clear" w:pos="576"/>
          <w:tab w:val="left" w:pos="567"/>
        </w:tabs>
        <w:adjustRightInd w:val="0"/>
        <w:spacing w:after="60" w:line="240" w:lineRule="auto"/>
        <w:ind w:left="567" w:hanging="567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FA7547">
        <w:rPr>
          <w:rFonts w:eastAsia="Times New Roman"/>
          <w:kern w:val="28"/>
          <w:sz w:val="20"/>
          <w:szCs w:val="20"/>
          <w:lang w:eastAsia="cs-CZ"/>
        </w:rPr>
        <w:t>Poskytovatel se zavazuje zachovávat mlčenlivost o všech skutečnostech, o kterých se dozví v souvislosti s plněním této smlouvy.</w:t>
      </w:r>
    </w:p>
    <w:p w14:paraId="2B31EB92" w14:textId="16F164FF" w:rsidR="00846B9A" w:rsidRDefault="00846B9A" w:rsidP="00DC406E">
      <w:pPr>
        <w:pStyle w:val="Nadpis1"/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Odměna a platební podmínky</w:t>
      </w:r>
    </w:p>
    <w:p w14:paraId="6899EE34" w14:textId="39FBCF45" w:rsidR="00846B9A" w:rsidRPr="00846B9A" w:rsidRDefault="00846B9A" w:rsidP="00846B9A">
      <w:pPr>
        <w:widowControl w:val="0"/>
        <w:numPr>
          <w:ilvl w:val="1"/>
          <w:numId w:val="1"/>
        </w:numPr>
        <w:tabs>
          <w:tab w:val="clear" w:pos="576"/>
          <w:tab w:val="left" w:pos="567"/>
        </w:tabs>
        <w:adjustRightInd w:val="0"/>
        <w:spacing w:after="60" w:line="240" w:lineRule="auto"/>
        <w:ind w:left="567" w:hanging="567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846B9A">
        <w:rPr>
          <w:rFonts w:eastAsia="Times New Roman"/>
          <w:kern w:val="28"/>
          <w:sz w:val="20"/>
          <w:szCs w:val="20"/>
          <w:lang w:eastAsia="cs-CZ"/>
        </w:rPr>
        <w:t xml:space="preserve">Za </w:t>
      </w:r>
      <w:r>
        <w:rPr>
          <w:rFonts w:eastAsia="Times New Roman"/>
          <w:kern w:val="28"/>
          <w:sz w:val="20"/>
          <w:szCs w:val="20"/>
          <w:lang w:eastAsia="cs-CZ"/>
        </w:rPr>
        <w:t xml:space="preserve">výkon činností dle </w:t>
      </w:r>
      <w:r w:rsidRPr="00846B9A">
        <w:rPr>
          <w:rFonts w:eastAsia="Times New Roman"/>
          <w:kern w:val="28"/>
          <w:sz w:val="20"/>
          <w:szCs w:val="20"/>
          <w:lang w:eastAsia="cs-CZ"/>
        </w:rPr>
        <w:t xml:space="preserve">této smlouvy náleží poskytovateli </w:t>
      </w:r>
      <w:r w:rsidR="008B43AF">
        <w:rPr>
          <w:rFonts w:eastAsia="Times New Roman"/>
          <w:kern w:val="28"/>
          <w:sz w:val="20"/>
          <w:szCs w:val="20"/>
          <w:lang w:eastAsia="cs-CZ"/>
        </w:rPr>
        <w:t xml:space="preserve">paušální </w:t>
      </w:r>
      <w:r w:rsidRPr="00846B9A">
        <w:rPr>
          <w:rFonts w:eastAsia="Times New Roman"/>
          <w:kern w:val="28"/>
          <w:sz w:val="20"/>
          <w:szCs w:val="20"/>
          <w:lang w:eastAsia="cs-CZ"/>
        </w:rPr>
        <w:t xml:space="preserve">odměna ve výši </w:t>
      </w:r>
      <w:r w:rsidR="00714457">
        <w:rPr>
          <w:rFonts w:eastAsia="Times New Roman"/>
          <w:kern w:val="28"/>
          <w:sz w:val="20"/>
          <w:szCs w:val="20"/>
          <w:lang w:eastAsia="cs-CZ"/>
        </w:rPr>
        <w:t>10.000,-</w:t>
      </w:r>
      <w:r w:rsidRPr="00846B9A">
        <w:rPr>
          <w:rFonts w:eastAsia="Times New Roman"/>
          <w:kern w:val="28"/>
          <w:sz w:val="20"/>
          <w:szCs w:val="20"/>
          <w:lang w:eastAsia="cs-CZ"/>
        </w:rPr>
        <w:t xml:space="preserve"> Kč bez DPH měsíčně. K odměně bude připočtena DPH v aktuální platné výši. Poskytovatel ručí za uplatnění správné sazby DPH vztahující se na </w:t>
      </w:r>
      <w:r>
        <w:rPr>
          <w:rFonts w:eastAsia="Times New Roman"/>
          <w:kern w:val="28"/>
          <w:sz w:val="20"/>
          <w:szCs w:val="20"/>
          <w:lang w:eastAsia="cs-CZ"/>
        </w:rPr>
        <w:t>provádění činností</w:t>
      </w:r>
      <w:r w:rsidRPr="00846B9A">
        <w:rPr>
          <w:rFonts w:eastAsia="Times New Roman"/>
          <w:kern w:val="28"/>
          <w:sz w:val="20"/>
          <w:szCs w:val="20"/>
          <w:lang w:eastAsia="cs-CZ"/>
        </w:rPr>
        <w:t xml:space="preserve"> dle této smlouvy.</w:t>
      </w:r>
    </w:p>
    <w:p w14:paraId="7454406A" w14:textId="7496311F" w:rsidR="00846B9A" w:rsidRPr="00846B9A" w:rsidRDefault="00846B9A" w:rsidP="00846B9A">
      <w:pPr>
        <w:widowControl w:val="0"/>
        <w:numPr>
          <w:ilvl w:val="1"/>
          <w:numId w:val="1"/>
        </w:numPr>
        <w:tabs>
          <w:tab w:val="clear" w:pos="576"/>
          <w:tab w:val="left" w:pos="567"/>
        </w:tabs>
        <w:adjustRightInd w:val="0"/>
        <w:spacing w:after="60" w:line="240" w:lineRule="auto"/>
        <w:ind w:left="567" w:hanging="567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846B9A">
        <w:rPr>
          <w:rFonts w:eastAsia="Times New Roman"/>
          <w:kern w:val="28"/>
          <w:sz w:val="20"/>
          <w:szCs w:val="20"/>
          <w:lang w:eastAsia="cs-CZ"/>
        </w:rPr>
        <w:t xml:space="preserve">Odměna je stanovena dohodou jako konečná, maximální, nejvýše přípustná a zahrnuje veškeré náklady nezbytné k řádnému </w:t>
      </w:r>
      <w:r>
        <w:rPr>
          <w:rFonts w:eastAsia="Times New Roman"/>
          <w:kern w:val="28"/>
          <w:sz w:val="20"/>
          <w:szCs w:val="20"/>
          <w:lang w:eastAsia="cs-CZ"/>
        </w:rPr>
        <w:t>provádění činností</w:t>
      </w:r>
      <w:r w:rsidRPr="00846B9A">
        <w:rPr>
          <w:rFonts w:eastAsia="Times New Roman"/>
          <w:kern w:val="28"/>
          <w:sz w:val="20"/>
          <w:szCs w:val="20"/>
          <w:lang w:eastAsia="cs-CZ"/>
        </w:rPr>
        <w:t xml:space="preserve"> dle této smlouvy.</w:t>
      </w:r>
    </w:p>
    <w:p w14:paraId="5F38288E" w14:textId="02B52724" w:rsidR="00846B9A" w:rsidRPr="00846B9A" w:rsidRDefault="00846B9A" w:rsidP="00846B9A">
      <w:pPr>
        <w:widowControl w:val="0"/>
        <w:numPr>
          <w:ilvl w:val="1"/>
          <w:numId w:val="1"/>
        </w:numPr>
        <w:tabs>
          <w:tab w:val="clear" w:pos="576"/>
          <w:tab w:val="left" w:pos="567"/>
        </w:tabs>
        <w:adjustRightInd w:val="0"/>
        <w:spacing w:after="60" w:line="240" w:lineRule="auto"/>
        <w:ind w:left="567" w:hanging="567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846B9A">
        <w:rPr>
          <w:rFonts w:eastAsia="Times New Roman"/>
          <w:kern w:val="28"/>
          <w:sz w:val="20"/>
          <w:szCs w:val="20"/>
          <w:lang w:eastAsia="cs-CZ"/>
        </w:rPr>
        <w:t>Odměna bude objednatelem hrazena bezhotovostním převodem nebo vkladem na účet poskytovatele uvedený v záhlaví této smlouvy, a to na základě daňových dokladů (faktur) vystavených poskytovatelem vždy za předchozí kalendářní měsíc.</w:t>
      </w:r>
    </w:p>
    <w:p w14:paraId="0878A7C8" w14:textId="25388D61" w:rsidR="00846B9A" w:rsidRPr="00846B9A" w:rsidRDefault="00846B9A" w:rsidP="00846B9A">
      <w:pPr>
        <w:widowControl w:val="0"/>
        <w:numPr>
          <w:ilvl w:val="1"/>
          <w:numId w:val="1"/>
        </w:numPr>
        <w:tabs>
          <w:tab w:val="clear" w:pos="576"/>
          <w:tab w:val="left" w:pos="567"/>
        </w:tabs>
        <w:adjustRightInd w:val="0"/>
        <w:spacing w:after="60" w:line="240" w:lineRule="auto"/>
        <w:ind w:left="567" w:hanging="567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846B9A">
        <w:rPr>
          <w:rFonts w:eastAsia="Times New Roman"/>
          <w:kern w:val="28"/>
          <w:sz w:val="20"/>
          <w:szCs w:val="20"/>
          <w:lang w:eastAsia="cs-CZ"/>
        </w:rPr>
        <w:t xml:space="preserve">Splatnost faktur je </w:t>
      </w:r>
      <w:r w:rsidRPr="00FA7547">
        <w:rPr>
          <w:rFonts w:eastAsia="Times New Roman"/>
          <w:b/>
          <w:bCs/>
          <w:kern w:val="28"/>
          <w:sz w:val="20"/>
          <w:szCs w:val="20"/>
          <w:lang w:eastAsia="cs-CZ"/>
        </w:rPr>
        <w:t>do 30 dnů</w:t>
      </w:r>
      <w:r w:rsidRPr="00846B9A">
        <w:rPr>
          <w:rFonts w:eastAsia="Times New Roman"/>
          <w:kern w:val="28"/>
          <w:sz w:val="20"/>
          <w:szCs w:val="20"/>
          <w:lang w:eastAsia="cs-CZ"/>
        </w:rPr>
        <w:t xml:space="preserve"> od data doručení faktury objednateli. Fakturu, která nebude mít veškeré náležitosti řádného daňového a účetního dokladu, je objednatel oprávněn ve lhůtě splatnosti vrátit. V takovém případě běží ode dne doručení nové/opravené faktury objednateli nová lhůta splatnosti.</w:t>
      </w:r>
    </w:p>
    <w:p w14:paraId="17C94F1E" w14:textId="76EA6F0A" w:rsidR="00846B9A" w:rsidRPr="00846B9A" w:rsidRDefault="00846B9A" w:rsidP="00846B9A">
      <w:pPr>
        <w:widowControl w:val="0"/>
        <w:numPr>
          <w:ilvl w:val="1"/>
          <w:numId w:val="1"/>
        </w:numPr>
        <w:tabs>
          <w:tab w:val="clear" w:pos="576"/>
          <w:tab w:val="left" w:pos="567"/>
        </w:tabs>
        <w:adjustRightInd w:val="0"/>
        <w:spacing w:after="60" w:line="240" w:lineRule="auto"/>
        <w:ind w:left="567" w:hanging="567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846B9A">
        <w:rPr>
          <w:rFonts w:eastAsia="Times New Roman"/>
          <w:kern w:val="28"/>
          <w:sz w:val="20"/>
          <w:szCs w:val="20"/>
          <w:lang w:eastAsia="cs-CZ"/>
        </w:rPr>
        <w:t>Poskytovatel prohlašuje, že jeho účet uvedený v záhlaví této smlouvy je jeho účtem jako poskytovatele zdanitelného plnění dle zákona o dani z přidané hodnoty, který je správcem daně zveřejněn způsobem umožňujícím dálkový přístup, a zavazuje se zajistit, že tomu tak bude také ke dni vystavení daňových dokladů (faktur) na odměnu sjednanou v této smlouvě a také ke dni provedení úhrady odměny objednatelem. V opačném případě nebude objednatel v prodlení v důsledku neprovedení platby odměny do doby, než poskytovatel zjedná nápravu a písemně o tom vyrozumí objednatele.</w:t>
      </w:r>
    </w:p>
    <w:p w14:paraId="20ECF2DD" w14:textId="1AB2CD98" w:rsidR="00846B9A" w:rsidRPr="00846B9A" w:rsidRDefault="00846B9A" w:rsidP="00846B9A">
      <w:pPr>
        <w:widowControl w:val="0"/>
        <w:numPr>
          <w:ilvl w:val="1"/>
          <w:numId w:val="1"/>
        </w:numPr>
        <w:tabs>
          <w:tab w:val="clear" w:pos="576"/>
          <w:tab w:val="left" w:pos="567"/>
        </w:tabs>
        <w:adjustRightInd w:val="0"/>
        <w:spacing w:after="60" w:line="240" w:lineRule="auto"/>
        <w:ind w:left="567" w:hanging="567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846B9A">
        <w:rPr>
          <w:rFonts w:eastAsia="Times New Roman"/>
          <w:kern w:val="28"/>
          <w:sz w:val="20"/>
          <w:szCs w:val="20"/>
          <w:lang w:eastAsia="cs-CZ"/>
        </w:rPr>
        <w:t>V případě prodlení objednatele s úhradou odměny je poskytovatel oprávněn požadovat zaplacení úroku z prodlení v souladu s ustanovením § 1970 občanského zákoníku.</w:t>
      </w:r>
    </w:p>
    <w:p w14:paraId="45BC4681" w14:textId="5885F68A" w:rsidR="00846B9A" w:rsidRPr="00846B9A" w:rsidRDefault="00846B9A" w:rsidP="00846B9A">
      <w:pPr>
        <w:widowControl w:val="0"/>
        <w:numPr>
          <w:ilvl w:val="1"/>
          <w:numId w:val="1"/>
        </w:numPr>
        <w:tabs>
          <w:tab w:val="clear" w:pos="576"/>
          <w:tab w:val="left" w:pos="567"/>
        </w:tabs>
        <w:adjustRightInd w:val="0"/>
        <w:spacing w:after="60" w:line="240" w:lineRule="auto"/>
        <w:ind w:left="567" w:hanging="567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846B9A">
        <w:rPr>
          <w:rFonts w:eastAsia="Times New Roman"/>
          <w:kern w:val="28"/>
          <w:sz w:val="20"/>
          <w:szCs w:val="20"/>
          <w:lang w:eastAsia="cs-CZ"/>
        </w:rPr>
        <w:t>Zveřejní-li správce daně skutečnost, že poskytovatel je nespolehlivým plátcem ve smyslu zákona č. 235/2004 Sb., o dani z přidané hodnoty, je objednatel oprávněn z každé fakturované platby zadržet daň z přidané hodnoty a tuto, aniž by k tomu byl vyzván jako ručitel uhradit za poskytovatele příslušnému správci daně.</w:t>
      </w:r>
    </w:p>
    <w:p w14:paraId="102D930F" w14:textId="696A39A2" w:rsidR="00F9269A" w:rsidRDefault="00F9269A" w:rsidP="00DC406E">
      <w:pPr>
        <w:pStyle w:val="Nadpis1"/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F6F53EE" w14:textId="322C529E" w:rsidR="00E309AF" w:rsidRDefault="00F9269A" w:rsidP="0003288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309AF">
        <w:rPr>
          <w:rFonts w:ascii="Verdana" w:hAnsi="Verdana"/>
          <w:sz w:val="20"/>
          <w:lang w:eastAsia="cs-CZ"/>
        </w:rPr>
        <w:t xml:space="preserve">Tato smlouva je uzavřena s platností </w:t>
      </w:r>
      <w:r w:rsidRPr="00846B9A">
        <w:rPr>
          <w:rFonts w:ascii="Verdana" w:hAnsi="Verdana"/>
          <w:b/>
          <w:sz w:val="20"/>
          <w:lang w:eastAsia="cs-CZ"/>
        </w:rPr>
        <w:t>na dobu určitou</w:t>
      </w:r>
      <w:r w:rsidR="00E96A24" w:rsidRPr="00846B9A">
        <w:rPr>
          <w:rFonts w:ascii="Verdana" w:hAnsi="Verdana"/>
          <w:b/>
          <w:sz w:val="20"/>
          <w:lang w:eastAsia="cs-CZ"/>
        </w:rPr>
        <w:t xml:space="preserve"> </w:t>
      </w:r>
      <w:r w:rsidR="00846B9A" w:rsidRPr="00846B9A">
        <w:rPr>
          <w:rFonts w:ascii="Verdana" w:hAnsi="Verdana"/>
          <w:b/>
          <w:sz w:val="20"/>
          <w:lang w:eastAsia="cs-CZ"/>
        </w:rPr>
        <w:t>do 31.12.2023</w:t>
      </w:r>
      <w:r w:rsidR="00846B9A">
        <w:rPr>
          <w:rFonts w:ascii="Verdana" w:hAnsi="Verdana"/>
          <w:sz w:val="20"/>
          <w:lang w:eastAsia="cs-CZ"/>
        </w:rPr>
        <w:t>.</w:t>
      </w:r>
    </w:p>
    <w:p w14:paraId="6837F5C8" w14:textId="77777777" w:rsidR="00FA7547" w:rsidRPr="00021F3D" w:rsidRDefault="00FA7547" w:rsidP="00FA754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21F3D">
        <w:rPr>
          <w:rFonts w:ascii="Verdana" w:hAnsi="Verdana"/>
          <w:sz w:val="20"/>
          <w:lang w:eastAsia="cs-CZ"/>
        </w:rPr>
        <w:lastRenderedPageBreak/>
        <w:t>Kterákoliv ze smluvních stran je oprávněna tuto smlouvu vypovědět. Výpovědní doba činí tři (3) měsíce a počíná běžet prvním dnem měsíce následujícího po doručení výpovědi druhé smluvní straně.</w:t>
      </w:r>
    </w:p>
    <w:p w14:paraId="5FCB49D5" w14:textId="4B1BC5AD" w:rsidR="00A21FEF" w:rsidRDefault="00A21FEF" w:rsidP="00A21FE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 je dále oprávněn tuto smlouvu vypovědět bez výpovědní doby v případě změny vlastníka nemovitostí.</w:t>
      </w:r>
    </w:p>
    <w:p w14:paraId="5925CACF" w14:textId="0B316EFE" w:rsidR="00FA7547" w:rsidRDefault="00FA7547" w:rsidP="00FA754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21F3D">
        <w:rPr>
          <w:rFonts w:ascii="Verdana" w:hAnsi="Verdana"/>
          <w:sz w:val="20"/>
          <w:lang w:eastAsia="cs-CZ"/>
        </w:rPr>
        <w:t>V případě podstatného porušení této smlouvy jednou ze smluvních stran, je druhá smluvní strany oprávněna tuto smlouvu vypovědět i bez výpovědní doby</w:t>
      </w:r>
      <w:r>
        <w:rPr>
          <w:rFonts w:ascii="Verdana" w:hAnsi="Verdana"/>
          <w:sz w:val="20"/>
          <w:lang w:eastAsia="cs-CZ"/>
        </w:rPr>
        <w:t>, pokud ani přes písemné upozornění a stanovení přiměřené lhůty nedojde ke sjednání nápravy druhou stranou.</w:t>
      </w:r>
    </w:p>
    <w:p w14:paraId="1147C6AB" w14:textId="4F17A51B" w:rsidR="00F56C56" w:rsidRPr="00D547BB" w:rsidRDefault="00E8754B" w:rsidP="00DC406E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196C77AC" w14:textId="77777777" w:rsidR="00DC406E" w:rsidRPr="00D21826" w:rsidRDefault="00DC406E" w:rsidP="00DC406E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ind w:left="567" w:hanging="567"/>
        <w:jc w:val="both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D21826">
        <w:rPr>
          <w:rFonts w:eastAsia="Times New Roman"/>
          <w:kern w:val="28"/>
          <w:sz w:val="20"/>
          <w:szCs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7137C61E" w14:textId="77777777" w:rsidR="00DC406E" w:rsidRPr="00F750D8" w:rsidRDefault="00DC406E" w:rsidP="00DC406E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ind w:left="567" w:hanging="567"/>
        <w:jc w:val="both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D21826">
        <w:rPr>
          <w:rFonts w:eastAsia="Times New Roman"/>
          <w:kern w:val="28"/>
          <w:sz w:val="20"/>
          <w:szCs w:val="20"/>
          <w:lang w:eastAsia="cs-CZ"/>
        </w:rPr>
        <w:t>Práva a povinnosti smluvních</w:t>
      </w:r>
      <w:r w:rsidRPr="00F750D8">
        <w:rPr>
          <w:rFonts w:eastAsia="Times New Roman"/>
          <w:kern w:val="28"/>
          <w:sz w:val="20"/>
          <w:szCs w:val="20"/>
          <w:lang w:eastAsia="cs-CZ"/>
        </w:rPr>
        <w:t xml:space="preserve"> stran touto smlouvou výslovně neupravená se řídí příslušnými ustanoveními zákona č. 89/2012 Sb., občanský zákoník.</w:t>
      </w:r>
    </w:p>
    <w:p w14:paraId="51B1F90F" w14:textId="502697EF" w:rsidR="00DC406E" w:rsidRPr="00F750D8" w:rsidRDefault="00DC406E" w:rsidP="00DC406E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ind w:left="567" w:hanging="567"/>
        <w:jc w:val="both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F750D8">
        <w:rPr>
          <w:rFonts w:eastAsia="Times New Roman"/>
          <w:kern w:val="28"/>
          <w:sz w:val="20"/>
          <w:szCs w:val="20"/>
          <w:lang w:eastAsia="cs-CZ"/>
        </w:rPr>
        <w:t xml:space="preserve">Jakékoli změny a doplňky této smlouvy jsou možné pouze ve formě písemných dodatků, podepsaných oprávněnými zástupci obou smluvních stran. </w:t>
      </w:r>
      <w:r>
        <w:rPr>
          <w:rFonts w:eastAsia="Times New Roman"/>
          <w:kern w:val="28"/>
          <w:sz w:val="20"/>
          <w:szCs w:val="20"/>
          <w:lang w:eastAsia="cs-CZ"/>
        </w:rPr>
        <w:t>Smluvní strany vylučují změnu smlouvy jinou formou.</w:t>
      </w:r>
    </w:p>
    <w:p w14:paraId="294A4F03" w14:textId="77777777" w:rsidR="00DC406E" w:rsidRPr="00F750D8" w:rsidRDefault="00DC406E" w:rsidP="00DC406E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ind w:left="567" w:hanging="567"/>
        <w:jc w:val="both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F750D8">
        <w:rPr>
          <w:rFonts w:eastAsia="Times New Roman"/>
          <w:kern w:val="28"/>
          <w:sz w:val="20"/>
          <w:szCs w:val="20"/>
          <w:lang w:eastAsia="cs-CZ"/>
        </w:rPr>
        <w:t>Tato smlouva je vypracována ve dvou vyhotoveních, z nichž každá smluvní strana obdrží po jednom.</w:t>
      </w:r>
      <w:r>
        <w:rPr>
          <w:rFonts w:eastAsia="Times New Roman"/>
          <w:kern w:val="28"/>
          <w:sz w:val="20"/>
          <w:szCs w:val="20"/>
          <w:lang w:eastAsia="cs-CZ"/>
        </w:rPr>
        <w:t xml:space="preserve"> </w:t>
      </w:r>
      <w:r w:rsidRPr="00CA4E10">
        <w:rPr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22C5E1E2" w14:textId="248A19BC" w:rsidR="00DC406E" w:rsidRPr="00F750D8" w:rsidRDefault="00DC406E" w:rsidP="00DC406E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ind w:left="567" w:hanging="567"/>
        <w:jc w:val="both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F750D8">
        <w:rPr>
          <w:rFonts w:eastAsia="Times New Roman"/>
          <w:kern w:val="28"/>
          <w:sz w:val="20"/>
          <w:szCs w:val="20"/>
          <w:lang w:eastAsia="cs-CZ"/>
        </w:rPr>
        <w:t>Tato smlouva nabývá platnosti a účinnosti</w:t>
      </w:r>
      <w:r>
        <w:rPr>
          <w:rFonts w:eastAsia="Times New Roman"/>
          <w:kern w:val="28"/>
          <w:sz w:val="20"/>
          <w:szCs w:val="20"/>
          <w:lang w:eastAsia="cs-CZ"/>
        </w:rPr>
        <w:t xml:space="preserve"> </w:t>
      </w:r>
      <w:r w:rsidRPr="00F750D8">
        <w:rPr>
          <w:rFonts w:eastAsia="Times New Roman"/>
          <w:kern w:val="28"/>
          <w:sz w:val="20"/>
          <w:szCs w:val="20"/>
          <w:lang w:eastAsia="cs-CZ"/>
        </w:rPr>
        <w:t xml:space="preserve">dnem podpisu </w:t>
      </w:r>
      <w:r>
        <w:rPr>
          <w:rFonts w:eastAsia="Times New Roman"/>
          <w:kern w:val="28"/>
          <w:sz w:val="20"/>
          <w:szCs w:val="20"/>
          <w:lang w:eastAsia="cs-CZ"/>
        </w:rPr>
        <w:t>posledního účastníka.</w:t>
      </w:r>
    </w:p>
    <w:p w14:paraId="1C7772FF" w14:textId="7C2FA4DA" w:rsidR="00DC406E" w:rsidRDefault="00DC406E" w:rsidP="00DC406E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ind w:left="567" w:hanging="567"/>
        <w:jc w:val="both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F750D8">
        <w:rPr>
          <w:rFonts w:eastAsia="Times New Roman"/>
          <w:kern w:val="28"/>
          <w:sz w:val="20"/>
          <w:szCs w:val="20"/>
          <w:lang w:eastAsia="cs-CZ"/>
        </w:rPr>
        <w:t>Smluvní strany si smlouvu přečetly, jejímu obsahu rozumí a na důkaz toho připojují vlastnoruční podpisy svých oprávněných zástupců.</w:t>
      </w:r>
    </w:p>
    <w:p w14:paraId="548A3900" w14:textId="77777777" w:rsidR="001E0235" w:rsidRDefault="001E0235" w:rsidP="00880FF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880FFB" w:rsidRPr="0016146E" w14:paraId="64576C57" w14:textId="77777777" w:rsidTr="00A21FEF">
        <w:trPr>
          <w:jc w:val="center"/>
        </w:trPr>
        <w:tc>
          <w:tcPr>
            <w:tcW w:w="4535" w:type="dxa"/>
          </w:tcPr>
          <w:p w14:paraId="55B9932F" w14:textId="0B4B284B" w:rsidR="00880FFB" w:rsidRPr="0016146E" w:rsidRDefault="00880FFB" w:rsidP="00880F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714457">
              <w:rPr>
                <w:rFonts w:eastAsia="Times New Roman"/>
                <w:sz w:val="20"/>
                <w:szCs w:val="20"/>
                <w:lang w:eastAsia="cs-CZ"/>
              </w:rPr>
              <w:t>03.01.2023</w:t>
            </w:r>
          </w:p>
        </w:tc>
        <w:tc>
          <w:tcPr>
            <w:tcW w:w="4535" w:type="dxa"/>
          </w:tcPr>
          <w:p w14:paraId="4B505847" w14:textId="77777777" w:rsidR="00880FFB" w:rsidRPr="003F7A39" w:rsidRDefault="00880FFB" w:rsidP="003B324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880FFB" w:rsidRPr="0016146E" w14:paraId="6988D0F1" w14:textId="77777777" w:rsidTr="00A21FEF">
        <w:trPr>
          <w:trHeight w:val="120"/>
          <w:jc w:val="center"/>
        </w:trPr>
        <w:tc>
          <w:tcPr>
            <w:tcW w:w="4535" w:type="dxa"/>
          </w:tcPr>
          <w:p w14:paraId="08E42990" w14:textId="0D1F0238" w:rsidR="00880FFB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9A4DBC8" w14:textId="77777777" w:rsidR="00714457" w:rsidRPr="00D643D3" w:rsidRDefault="00714457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583EA0" w14:textId="77777777" w:rsidR="00880FFB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B673433" w14:textId="77777777" w:rsidR="00880FFB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14A6B96" w14:textId="77777777" w:rsidR="00880FFB" w:rsidRPr="00D643D3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F0E11EA" w14:textId="77777777" w:rsidR="00880FFB" w:rsidRPr="00D643D3" w:rsidRDefault="00880FFB" w:rsidP="00880FF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9D20F3A" w14:textId="77777777" w:rsidR="00880FFB" w:rsidRPr="00D643D3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0A9F2BE2" w14:textId="77777777" w:rsidR="00880FFB" w:rsidRPr="00D643D3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535" w:type="dxa"/>
          </w:tcPr>
          <w:p w14:paraId="17632617" w14:textId="77777777" w:rsidR="00880FFB" w:rsidRPr="00441E29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1B9018B" w14:textId="449085C3" w:rsidR="00880FFB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7685849" w14:textId="77777777" w:rsidR="00714457" w:rsidRPr="00441E29" w:rsidRDefault="00714457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550F21A" w14:textId="77777777" w:rsidR="00880FFB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D64BBDE" w14:textId="77777777" w:rsidR="00880FFB" w:rsidRPr="00441E29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41E2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3CBA56E" w14:textId="77777777" w:rsidR="00880FFB" w:rsidRDefault="00A21FEF" w:rsidP="00880F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997A15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COMPAG MLADÁ BOLESLAV s.r.o.</w:t>
            </w:r>
          </w:p>
          <w:p w14:paraId="3D8BA507" w14:textId="77777777" w:rsidR="00A21FEF" w:rsidRDefault="00A21FEF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97A15">
              <w:rPr>
                <w:rFonts w:eastAsia="Times New Roman"/>
                <w:sz w:val="20"/>
                <w:szCs w:val="20"/>
                <w:lang w:eastAsia="cs-CZ"/>
              </w:rPr>
              <w:t>Miloslav Neuman</w:t>
            </w:r>
          </w:p>
          <w:p w14:paraId="5C880731" w14:textId="1F633F99" w:rsidR="00A21FEF" w:rsidRPr="00880FFB" w:rsidRDefault="00A21FEF" w:rsidP="00880FF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97A15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A21FEF" w:rsidRPr="0016146E" w14:paraId="5817B7F5" w14:textId="77777777" w:rsidTr="00A21FEF">
        <w:trPr>
          <w:trHeight w:val="120"/>
          <w:jc w:val="center"/>
        </w:trPr>
        <w:tc>
          <w:tcPr>
            <w:tcW w:w="4535" w:type="dxa"/>
          </w:tcPr>
          <w:p w14:paraId="40C4AE34" w14:textId="77777777" w:rsidR="00A21FEF" w:rsidRPr="00D643D3" w:rsidRDefault="00A21FEF" w:rsidP="00A21F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22DF1C0" w14:textId="77777777" w:rsidR="00A21FEF" w:rsidRDefault="00A21FEF" w:rsidP="00A21F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7A04997" w14:textId="77777777" w:rsidR="00A21FEF" w:rsidRDefault="00A21FEF" w:rsidP="00A21F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B33DC7A" w14:textId="77777777" w:rsidR="00A21FEF" w:rsidRPr="00D643D3" w:rsidRDefault="00A21FEF" w:rsidP="00A21F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F9E1E1F" w14:textId="77777777" w:rsidR="00A21FEF" w:rsidRPr="00D643D3" w:rsidRDefault="00A21FEF" w:rsidP="00A21FE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FF65105" w14:textId="77777777" w:rsidR="00A21FEF" w:rsidRPr="00D643D3" w:rsidRDefault="00A21FEF" w:rsidP="00A21F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78F0AC6" w14:textId="77777777" w:rsidR="00A21FEF" w:rsidRPr="00D643D3" w:rsidRDefault="00A21FEF" w:rsidP="00A21F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535" w:type="dxa"/>
          </w:tcPr>
          <w:p w14:paraId="742507C1" w14:textId="77777777" w:rsidR="00A21FEF" w:rsidRPr="00441E29" w:rsidRDefault="00A21FEF" w:rsidP="00A21F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A76B54" w14:textId="77777777" w:rsidR="00A21FEF" w:rsidRPr="00441E29" w:rsidRDefault="00A21FEF" w:rsidP="00A21F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DD7B9D7" w14:textId="77777777" w:rsidR="00A21FEF" w:rsidRDefault="00A21FEF" w:rsidP="00A21F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4F07726" w14:textId="324145C9" w:rsidR="00A21FEF" w:rsidRPr="003F7A39" w:rsidRDefault="00A21FEF" w:rsidP="00A21F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20F929F7" w14:textId="77777777" w:rsidR="00DC3BDA" w:rsidRDefault="00DC3BDA" w:rsidP="00A12E9C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DC3BDA" w:rsidSect="00A21FEF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9C5C" w14:textId="77777777" w:rsidR="007B22FB" w:rsidRDefault="007B22FB">
      <w:r>
        <w:separator/>
      </w:r>
    </w:p>
  </w:endnote>
  <w:endnote w:type="continuationSeparator" w:id="0">
    <w:p w14:paraId="4BA35936" w14:textId="77777777" w:rsidR="007B22FB" w:rsidRDefault="007B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C4CD" w14:textId="77777777" w:rsidR="007B22FB" w:rsidRDefault="007B22FB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7BE1AA" w14:textId="77777777" w:rsidR="007B22FB" w:rsidRDefault="007B22FB" w:rsidP="00A57CF7">
    <w:pPr>
      <w:pStyle w:val="Zpat"/>
      <w:ind w:right="360"/>
    </w:pPr>
  </w:p>
  <w:p w14:paraId="048CF913" w14:textId="77777777" w:rsidR="007B22FB" w:rsidRDefault="007B22FB"/>
  <w:p w14:paraId="2F3BF7DD" w14:textId="77777777" w:rsidR="007B22FB" w:rsidRDefault="007B22FB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B6EB" w14:textId="77777777" w:rsidR="007B22FB" w:rsidRPr="003D577B" w:rsidRDefault="007B22FB" w:rsidP="00A57CF7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 w:rsidRPr="003D577B">
      <w:rPr>
        <w:sz w:val="18"/>
        <w:szCs w:val="18"/>
      </w:rPr>
      <w:t xml:space="preserve">Stránka </w:t>
    </w:r>
    <w:r w:rsidRPr="003D577B">
      <w:rPr>
        <w:sz w:val="18"/>
        <w:szCs w:val="18"/>
      </w:rPr>
      <w:fldChar w:fldCharType="begin"/>
    </w:r>
    <w:r w:rsidRPr="003D577B">
      <w:rPr>
        <w:sz w:val="18"/>
        <w:szCs w:val="18"/>
      </w:rPr>
      <w:instrText xml:space="preserve">PAGE  </w:instrText>
    </w:r>
    <w:r w:rsidRPr="003D577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3D577B">
      <w:rPr>
        <w:sz w:val="18"/>
        <w:szCs w:val="18"/>
      </w:rPr>
      <w:fldChar w:fldCharType="end"/>
    </w:r>
    <w:r w:rsidRPr="003D577B">
      <w:rPr>
        <w:sz w:val="18"/>
        <w:szCs w:val="18"/>
      </w:rPr>
      <w:t xml:space="preserve"> z </w:t>
    </w:r>
    <w:r w:rsidR="00714457">
      <w:fldChar w:fldCharType="begin"/>
    </w:r>
    <w:r w:rsidR="00714457">
      <w:instrText xml:space="preserve"> NUMPAGES  \* Arabic  \* MERGEFORMAT </w:instrText>
    </w:r>
    <w:r w:rsidR="00714457">
      <w:fldChar w:fldCharType="separate"/>
    </w:r>
    <w:r w:rsidRPr="007B22FB">
      <w:rPr>
        <w:noProof/>
        <w:sz w:val="18"/>
        <w:szCs w:val="18"/>
      </w:rPr>
      <w:t>4</w:t>
    </w:r>
    <w:r w:rsidR="00714457">
      <w:rPr>
        <w:noProof/>
        <w:sz w:val="18"/>
        <w:szCs w:val="18"/>
      </w:rPr>
      <w:fldChar w:fldCharType="end"/>
    </w:r>
  </w:p>
  <w:p w14:paraId="2F8440BF" w14:textId="47A8EE34" w:rsidR="007B22FB" w:rsidRDefault="007B22FB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F4F5AED" wp14:editId="62601F25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6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54FD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1C97C19C" wp14:editId="107A8765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0C2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BB28" w14:textId="77777777" w:rsidR="007B22FB" w:rsidRDefault="007B22FB">
      <w:r>
        <w:separator/>
      </w:r>
    </w:p>
  </w:footnote>
  <w:footnote w:type="continuationSeparator" w:id="0">
    <w:p w14:paraId="1D292855" w14:textId="77777777" w:rsidR="007B22FB" w:rsidRDefault="007B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4330" w14:textId="4D160AF9" w:rsidR="007B22FB" w:rsidRDefault="007B22FB" w:rsidP="00A21FE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6C2E10FE" wp14:editId="3E4EC05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6E35519F" wp14:editId="0E892B5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5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7E3998"/>
    <w:multiLevelType w:val="hybridMultilevel"/>
    <w:tmpl w:val="56184B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C1EA3"/>
    <w:multiLevelType w:val="multilevel"/>
    <w:tmpl w:val="66983D4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33020022">
    <w:abstractNumId w:val="5"/>
  </w:num>
  <w:num w:numId="2" w16cid:durableId="107467020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6DB1"/>
    <w:rsid w:val="00012FF6"/>
    <w:rsid w:val="00014484"/>
    <w:rsid w:val="00032211"/>
    <w:rsid w:val="00032882"/>
    <w:rsid w:val="0004126C"/>
    <w:rsid w:val="00052C31"/>
    <w:rsid w:val="000572A6"/>
    <w:rsid w:val="00060BEF"/>
    <w:rsid w:val="00061889"/>
    <w:rsid w:val="0008675B"/>
    <w:rsid w:val="00086C12"/>
    <w:rsid w:val="00093443"/>
    <w:rsid w:val="000A49D5"/>
    <w:rsid w:val="000A75B9"/>
    <w:rsid w:val="000B0D29"/>
    <w:rsid w:val="000B3347"/>
    <w:rsid w:val="000B4463"/>
    <w:rsid w:val="000B5F89"/>
    <w:rsid w:val="000C4328"/>
    <w:rsid w:val="000D0159"/>
    <w:rsid w:val="000E1533"/>
    <w:rsid w:val="000F4174"/>
    <w:rsid w:val="000F62EF"/>
    <w:rsid w:val="000F798F"/>
    <w:rsid w:val="0010006E"/>
    <w:rsid w:val="00100B63"/>
    <w:rsid w:val="001316EB"/>
    <w:rsid w:val="00136CD0"/>
    <w:rsid w:val="0014746A"/>
    <w:rsid w:val="001520F5"/>
    <w:rsid w:val="00152353"/>
    <w:rsid w:val="00156673"/>
    <w:rsid w:val="0016146E"/>
    <w:rsid w:val="001718CA"/>
    <w:rsid w:val="00180031"/>
    <w:rsid w:val="00181FC5"/>
    <w:rsid w:val="001B28C1"/>
    <w:rsid w:val="001B3866"/>
    <w:rsid w:val="001B65FE"/>
    <w:rsid w:val="001C0812"/>
    <w:rsid w:val="001C5E57"/>
    <w:rsid w:val="001D4BEA"/>
    <w:rsid w:val="001E0235"/>
    <w:rsid w:val="001F0CDA"/>
    <w:rsid w:val="001F4D8D"/>
    <w:rsid w:val="0020024F"/>
    <w:rsid w:val="00205C95"/>
    <w:rsid w:val="00205F49"/>
    <w:rsid w:val="00211446"/>
    <w:rsid w:val="0021485A"/>
    <w:rsid w:val="00215C5A"/>
    <w:rsid w:val="002176F4"/>
    <w:rsid w:val="00230640"/>
    <w:rsid w:val="00236C81"/>
    <w:rsid w:val="0024026F"/>
    <w:rsid w:val="002416DF"/>
    <w:rsid w:val="00245F1E"/>
    <w:rsid w:val="0024738F"/>
    <w:rsid w:val="0025289B"/>
    <w:rsid w:val="00253EA3"/>
    <w:rsid w:val="00262190"/>
    <w:rsid w:val="0026484B"/>
    <w:rsid w:val="0026761F"/>
    <w:rsid w:val="00271473"/>
    <w:rsid w:val="0027350E"/>
    <w:rsid w:val="00274152"/>
    <w:rsid w:val="00282B6F"/>
    <w:rsid w:val="002B7AC2"/>
    <w:rsid w:val="002C1A09"/>
    <w:rsid w:val="002C7F1E"/>
    <w:rsid w:val="002D58E7"/>
    <w:rsid w:val="002E1EFA"/>
    <w:rsid w:val="002E37B0"/>
    <w:rsid w:val="002E79CD"/>
    <w:rsid w:val="002F0E7F"/>
    <w:rsid w:val="002F274A"/>
    <w:rsid w:val="00301713"/>
    <w:rsid w:val="00301FC9"/>
    <w:rsid w:val="00302F91"/>
    <w:rsid w:val="003101C8"/>
    <w:rsid w:val="0031047A"/>
    <w:rsid w:val="00310DF6"/>
    <w:rsid w:val="003113D3"/>
    <w:rsid w:val="00317851"/>
    <w:rsid w:val="00317B52"/>
    <w:rsid w:val="00322D22"/>
    <w:rsid w:val="00326E5E"/>
    <w:rsid w:val="00330FE1"/>
    <w:rsid w:val="003319C2"/>
    <w:rsid w:val="00342C52"/>
    <w:rsid w:val="0034746F"/>
    <w:rsid w:val="00352FBB"/>
    <w:rsid w:val="00354AB6"/>
    <w:rsid w:val="00366FB1"/>
    <w:rsid w:val="00373B16"/>
    <w:rsid w:val="00390F93"/>
    <w:rsid w:val="0039689D"/>
    <w:rsid w:val="00397B61"/>
    <w:rsid w:val="003A0E18"/>
    <w:rsid w:val="003B2CA0"/>
    <w:rsid w:val="003B3249"/>
    <w:rsid w:val="003D4F04"/>
    <w:rsid w:val="003D577B"/>
    <w:rsid w:val="003E2FC0"/>
    <w:rsid w:val="003E3FFC"/>
    <w:rsid w:val="003F7D6E"/>
    <w:rsid w:val="00415B20"/>
    <w:rsid w:val="00423C9E"/>
    <w:rsid w:val="00432CC0"/>
    <w:rsid w:val="00435493"/>
    <w:rsid w:val="00465F91"/>
    <w:rsid w:val="00470FCF"/>
    <w:rsid w:val="004714AE"/>
    <w:rsid w:val="00476E72"/>
    <w:rsid w:val="00482E25"/>
    <w:rsid w:val="0049278E"/>
    <w:rsid w:val="004A131F"/>
    <w:rsid w:val="004A2555"/>
    <w:rsid w:val="004A3411"/>
    <w:rsid w:val="004A69B8"/>
    <w:rsid w:val="004B449B"/>
    <w:rsid w:val="004B48E4"/>
    <w:rsid w:val="004C5937"/>
    <w:rsid w:val="004D2FF1"/>
    <w:rsid w:val="004D4301"/>
    <w:rsid w:val="004D4B0D"/>
    <w:rsid w:val="004D4F0C"/>
    <w:rsid w:val="004E13AE"/>
    <w:rsid w:val="00500D6E"/>
    <w:rsid w:val="00502EF7"/>
    <w:rsid w:val="00505505"/>
    <w:rsid w:val="005104B7"/>
    <w:rsid w:val="00511D1C"/>
    <w:rsid w:val="00515B0A"/>
    <w:rsid w:val="00515C4F"/>
    <w:rsid w:val="005313B8"/>
    <w:rsid w:val="00535EF7"/>
    <w:rsid w:val="00536CAB"/>
    <w:rsid w:val="005414F3"/>
    <w:rsid w:val="00546913"/>
    <w:rsid w:val="005543D7"/>
    <w:rsid w:val="00557096"/>
    <w:rsid w:val="00557D8C"/>
    <w:rsid w:val="00557E96"/>
    <w:rsid w:val="00581809"/>
    <w:rsid w:val="005826D1"/>
    <w:rsid w:val="00584564"/>
    <w:rsid w:val="00585205"/>
    <w:rsid w:val="005860F5"/>
    <w:rsid w:val="005A0022"/>
    <w:rsid w:val="005A0CA9"/>
    <w:rsid w:val="005A5998"/>
    <w:rsid w:val="005A70E1"/>
    <w:rsid w:val="005B702E"/>
    <w:rsid w:val="005C03CA"/>
    <w:rsid w:val="005C3260"/>
    <w:rsid w:val="005C6497"/>
    <w:rsid w:val="005D4FCD"/>
    <w:rsid w:val="005E5CA8"/>
    <w:rsid w:val="00634B44"/>
    <w:rsid w:val="006370D6"/>
    <w:rsid w:val="00642161"/>
    <w:rsid w:val="00644203"/>
    <w:rsid w:val="00647FDA"/>
    <w:rsid w:val="00652DB4"/>
    <w:rsid w:val="00653595"/>
    <w:rsid w:val="00663F33"/>
    <w:rsid w:val="00664B0F"/>
    <w:rsid w:val="00672711"/>
    <w:rsid w:val="006877BF"/>
    <w:rsid w:val="006A2375"/>
    <w:rsid w:val="006A272C"/>
    <w:rsid w:val="006B1896"/>
    <w:rsid w:val="006B7F60"/>
    <w:rsid w:val="006C1C31"/>
    <w:rsid w:val="006C4223"/>
    <w:rsid w:val="006C609D"/>
    <w:rsid w:val="006D7659"/>
    <w:rsid w:val="006E1F40"/>
    <w:rsid w:val="006E5801"/>
    <w:rsid w:val="006E61EB"/>
    <w:rsid w:val="006E7A54"/>
    <w:rsid w:val="006E7D84"/>
    <w:rsid w:val="006F264F"/>
    <w:rsid w:val="006F2ADB"/>
    <w:rsid w:val="006F32A0"/>
    <w:rsid w:val="006F549A"/>
    <w:rsid w:val="007046F7"/>
    <w:rsid w:val="00714457"/>
    <w:rsid w:val="00720BE7"/>
    <w:rsid w:val="00730D88"/>
    <w:rsid w:val="00733BCA"/>
    <w:rsid w:val="007360C6"/>
    <w:rsid w:val="0073643D"/>
    <w:rsid w:val="007444F1"/>
    <w:rsid w:val="0074683A"/>
    <w:rsid w:val="0075045F"/>
    <w:rsid w:val="00777991"/>
    <w:rsid w:val="0078524E"/>
    <w:rsid w:val="007940C2"/>
    <w:rsid w:val="007A2072"/>
    <w:rsid w:val="007A36B3"/>
    <w:rsid w:val="007B22FB"/>
    <w:rsid w:val="007B2B4F"/>
    <w:rsid w:val="007B5C66"/>
    <w:rsid w:val="007C7E44"/>
    <w:rsid w:val="007E1078"/>
    <w:rsid w:val="007E30A3"/>
    <w:rsid w:val="007E5CF5"/>
    <w:rsid w:val="007E5E15"/>
    <w:rsid w:val="007E7190"/>
    <w:rsid w:val="007F387E"/>
    <w:rsid w:val="008164CC"/>
    <w:rsid w:val="00821323"/>
    <w:rsid w:val="008326EE"/>
    <w:rsid w:val="00846B9A"/>
    <w:rsid w:val="00865C05"/>
    <w:rsid w:val="00871948"/>
    <w:rsid w:val="008735A0"/>
    <w:rsid w:val="00876218"/>
    <w:rsid w:val="00880FDD"/>
    <w:rsid w:val="00880FFB"/>
    <w:rsid w:val="008835A2"/>
    <w:rsid w:val="00890D36"/>
    <w:rsid w:val="00890E8B"/>
    <w:rsid w:val="008932B1"/>
    <w:rsid w:val="00893ED8"/>
    <w:rsid w:val="008B43AF"/>
    <w:rsid w:val="008C0780"/>
    <w:rsid w:val="008C2845"/>
    <w:rsid w:val="008C49D1"/>
    <w:rsid w:val="008C6992"/>
    <w:rsid w:val="008D063D"/>
    <w:rsid w:val="008D49FF"/>
    <w:rsid w:val="008D656E"/>
    <w:rsid w:val="008D6E50"/>
    <w:rsid w:val="008E3ACA"/>
    <w:rsid w:val="00906089"/>
    <w:rsid w:val="00906591"/>
    <w:rsid w:val="00906EE1"/>
    <w:rsid w:val="00911AAA"/>
    <w:rsid w:val="009168F1"/>
    <w:rsid w:val="00923612"/>
    <w:rsid w:val="00927678"/>
    <w:rsid w:val="00943A82"/>
    <w:rsid w:val="00945CDB"/>
    <w:rsid w:val="009473AA"/>
    <w:rsid w:val="00947D33"/>
    <w:rsid w:val="009561B8"/>
    <w:rsid w:val="00961A3B"/>
    <w:rsid w:val="009639A0"/>
    <w:rsid w:val="00973534"/>
    <w:rsid w:val="0098273B"/>
    <w:rsid w:val="00983318"/>
    <w:rsid w:val="0099113B"/>
    <w:rsid w:val="00997A15"/>
    <w:rsid w:val="009A2DB3"/>
    <w:rsid w:val="009A47BF"/>
    <w:rsid w:val="009B0AF3"/>
    <w:rsid w:val="009B19DF"/>
    <w:rsid w:val="009B6A60"/>
    <w:rsid w:val="009C3422"/>
    <w:rsid w:val="009D3C9E"/>
    <w:rsid w:val="009D5200"/>
    <w:rsid w:val="009E31EE"/>
    <w:rsid w:val="009E75D9"/>
    <w:rsid w:val="009F5666"/>
    <w:rsid w:val="00A05A88"/>
    <w:rsid w:val="00A07F4B"/>
    <w:rsid w:val="00A12E9C"/>
    <w:rsid w:val="00A14155"/>
    <w:rsid w:val="00A16116"/>
    <w:rsid w:val="00A21FEF"/>
    <w:rsid w:val="00A23AD9"/>
    <w:rsid w:val="00A47EB2"/>
    <w:rsid w:val="00A515BD"/>
    <w:rsid w:val="00A5557D"/>
    <w:rsid w:val="00A57CF7"/>
    <w:rsid w:val="00A64A2B"/>
    <w:rsid w:val="00A70AF4"/>
    <w:rsid w:val="00A715A7"/>
    <w:rsid w:val="00A73BAA"/>
    <w:rsid w:val="00A748BE"/>
    <w:rsid w:val="00A812E8"/>
    <w:rsid w:val="00A90214"/>
    <w:rsid w:val="00AB177C"/>
    <w:rsid w:val="00AB570F"/>
    <w:rsid w:val="00AB6E4E"/>
    <w:rsid w:val="00AB768E"/>
    <w:rsid w:val="00AC42B0"/>
    <w:rsid w:val="00AC4E6D"/>
    <w:rsid w:val="00AC6998"/>
    <w:rsid w:val="00AD2757"/>
    <w:rsid w:val="00AE5B6C"/>
    <w:rsid w:val="00AF4D0E"/>
    <w:rsid w:val="00B0382B"/>
    <w:rsid w:val="00B06BCB"/>
    <w:rsid w:val="00B17945"/>
    <w:rsid w:val="00B207E3"/>
    <w:rsid w:val="00B32A18"/>
    <w:rsid w:val="00B354AD"/>
    <w:rsid w:val="00B5530D"/>
    <w:rsid w:val="00B61E4E"/>
    <w:rsid w:val="00B6335C"/>
    <w:rsid w:val="00B664D0"/>
    <w:rsid w:val="00B85032"/>
    <w:rsid w:val="00B866DA"/>
    <w:rsid w:val="00B92773"/>
    <w:rsid w:val="00B95AB0"/>
    <w:rsid w:val="00B95DE2"/>
    <w:rsid w:val="00B9662F"/>
    <w:rsid w:val="00BA7678"/>
    <w:rsid w:val="00BB0057"/>
    <w:rsid w:val="00BB0E67"/>
    <w:rsid w:val="00BC1164"/>
    <w:rsid w:val="00BD4A63"/>
    <w:rsid w:val="00BE0311"/>
    <w:rsid w:val="00BE09F9"/>
    <w:rsid w:val="00BE35CD"/>
    <w:rsid w:val="00BF1096"/>
    <w:rsid w:val="00BF1136"/>
    <w:rsid w:val="00BF1A42"/>
    <w:rsid w:val="00BF2F7D"/>
    <w:rsid w:val="00BF4024"/>
    <w:rsid w:val="00BF55F1"/>
    <w:rsid w:val="00C02B12"/>
    <w:rsid w:val="00C22A61"/>
    <w:rsid w:val="00C23587"/>
    <w:rsid w:val="00C33EC9"/>
    <w:rsid w:val="00C4075E"/>
    <w:rsid w:val="00C46230"/>
    <w:rsid w:val="00C465CF"/>
    <w:rsid w:val="00C46D00"/>
    <w:rsid w:val="00C52C4A"/>
    <w:rsid w:val="00C55752"/>
    <w:rsid w:val="00C60386"/>
    <w:rsid w:val="00C62A05"/>
    <w:rsid w:val="00C70E46"/>
    <w:rsid w:val="00C87425"/>
    <w:rsid w:val="00C95974"/>
    <w:rsid w:val="00CA1988"/>
    <w:rsid w:val="00CA4E08"/>
    <w:rsid w:val="00CB0B3C"/>
    <w:rsid w:val="00CB63DD"/>
    <w:rsid w:val="00CC3BEB"/>
    <w:rsid w:val="00CC3C0B"/>
    <w:rsid w:val="00CD3D38"/>
    <w:rsid w:val="00CE561B"/>
    <w:rsid w:val="00CF0F19"/>
    <w:rsid w:val="00CF2F26"/>
    <w:rsid w:val="00D01069"/>
    <w:rsid w:val="00D04C54"/>
    <w:rsid w:val="00D11CFD"/>
    <w:rsid w:val="00D14B78"/>
    <w:rsid w:val="00D17C34"/>
    <w:rsid w:val="00D23C5E"/>
    <w:rsid w:val="00D273CC"/>
    <w:rsid w:val="00D3138C"/>
    <w:rsid w:val="00D31870"/>
    <w:rsid w:val="00D32194"/>
    <w:rsid w:val="00D325D9"/>
    <w:rsid w:val="00D432DB"/>
    <w:rsid w:val="00D44964"/>
    <w:rsid w:val="00D471A1"/>
    <w:rsid w:val="00D547BB"/>
    <w:rsid w:val="00D61B9E"/>
    <w:rsid w:val="00D62322"/>
    <w:rsid w:val="00D7230A"/>
    <w:rsid w:val="00D8476C"/>
    <w:rsid w:val="00D90270"/>
    <w:rsid w:val="00D90C81"/>
    <w:rsid w:val="00D93E1B"/>
    <w:rsid w:val="00DA1E56"/>
    <w:rsid w:val="00DC3BDA"/>
    <w:rsid w:val="00DC406E"/>
    <w:rsid w:val="00DD5052"/>
    <w:rsid w:val="00DE0608"/>
    <w:rsid w:val="00DE3DAD"/>
    <w:rsid w:val="00DE7FC1"/>
    <w:rsid w:val="00DF1F28"/>
    <w:rsid w:val="00E054FD"/>
    <w:rsid w:val="00E21F06"/>
    <w:rsid w:val="00E223B8"/>
    <w:rsid w:val="00E26B30"/>
    <w:rsid w:val="00E309AF"/>
    <w:rsid w:val="00E312FD"/>
    <w:rsid w:val="00E34601"/>
    <w:rsid w:val="00E416A3"/>
    <w:rsid w:val="00E4363F"/>
    <w:rsid w:val="00E45E77"/>
    <w:rsid w:val="00E615AB"/>
    <w:rsid w:val="00E81CEC"/>
    <w:rsid w:val="00E857B3"/>
    <w:rsid w:val="00E87035"/>
    <w:rsid w:val="00E8754B"/>
    <w:rsid w:val="00E96A24"/>
    <w:rsid w:val="00EA3D91"/>
    <w:rsid w:val="00EB1EC4"/>
    <w:rsid w:val="00EB2B44"/>
    <w:rsid w:val="00EB5412"/>
    <w:rsid w:val="00EB717D"/>
    <w:rsid w:val="00EB71F4"/>
    <w:rsid w:val="00EE0FFF"/>
    <w:rsid w:val="00F11A21"/>
    <w:rsid w:val="00F20019"/>
    <w:rsid w:val="00F26C94"/>
    <w:rsid w:val="00F33084"/>
    <w:rsid w:val="00F3327C"/>
    <w:rsid w:val="00F4137F"/>
    <w:rsid w:val="00F42769"/>
    <w:rsid w:val="00F506A8"/>
    <w:rsid w:val="00F53AB3"/>
    <w:rsid w:val="00F56C56"/>
    <w:rsid w:val="00F607DB"/>
    <w:rsid w:val="00F60B50"/>
    <w:rsid w:val="00F615E9"/>
    <w:rsid w:val="00F62635"/>
    <w:rsid w:val="00F728CB"/>
    <w:rsid w:val="00F77ADE"/>
    <w:rsid w:val="00F77C79"/>
    <w:rsid w:val="00F834E4"/>
    <w:rsid w:val="00F872B9"/>
    <w:rsid w:val="00F9269A"/>
    <w:rsid w:val="00FA29CD"/>
    <w:rsid w:val="00FA3172"/>
    <w:rsid w:val="00FA5CAF"/>
    <w:rsid w:val="00FA7547"/>
    <w:rsid w:val="00FC4067"/>
    <w:rsid w:val="00FC55CB"/>
    <w:rsid w:val="00FD184B"/>
    <w:rsid w:val="00FD47BE"/>
    <w:rsid w:val="00FE37A1"/>
    <w:rsid w:val="00FE6BDD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D4A473"/>
  <w15:docId w15:val="{E6EBFE14-0F0E-41FD-9E65-4CABFE4F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5104B7"/>
    <w:rPr>
      <w:sz w:val="24"/>
      <w:lang w:eastAsia="de-DE"/>
    </w:rPr>
  </w:style>
  <w:style w:type="table" w:styleId="Mkatabulky">
    <w:name w:val="Table Grid"/>
    <w:basedOn w:val="Normlntabulka"/>
    <w:rsid w:val="0017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1A55-B3AE-4098-91E8-CE932483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1040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ONMB a.s.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osc26648</dc:creator>
  <cp:lastModifiedBy>Ladislav Řípa</cp:lastModifiedBy>
  <cp:revision>5</cp:revision>
  <cp:lastPrinted>2023-02-15T10:48:00Z</cp:lastPrinted>
  <dcterms:created xsi:type="dcterms:W3CDTF">2023-02-15T09:25:00Z</dcterms:created>
  <dcterms:modified xsi:type="dcterms:W3CDTF">2023-02-15T12:46:00Z</dcterms:modified>
</cp:coreProperties>
</file>