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4"/>
        </w:rPr>
      </w:pPr>
      <w:r>
        <w:rPr>
          <w:rFonts w:ascii="Times New Roman" w:hAnsi="Times New Roman"/>
          <w:b/>
          <w:sz w:val="28"/>
          <w:szCs w:val="28"/>
        </w:rPr>
        <w:t xml:space="preserve">Kupní smlouva na dodávku elektromateriálu </w:t>
        <w:br/>
      </w:r>
      <w:r>
        <w:rPr>
          <w:rFonts w:ascii="Times New Roman" w:hAnsi="Times New Roman"/>
          <w:sz w:val="24"/>
        </w:rPr>
        <w:t>(ve smyslu ustanovení § 2079 a násl. zákona č. 89/2012 Sb., občanského zákoníku)</w:t>
      </w:r>
    </w:p>
    <w:p>
      <w:pPr>
        <w:pStyle w:val="PlainText"/>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rPr>
      </w:pPr>
      <w:r>
        <w:rPr>
          <w:rStyle w:val="Strong"/>
          <w:rFonts w:ascii="Times New Roman" w:hAnsi="Times New Roman"/>
          <w:sz w:val="24"/>
          <w:shd w:fill="FFFFFF" w:val="clear"/>
        </w:rPr>
        <w:t>Základní škola Tišnov, příspěvková organizace</w:t>
      </w:r>
    </w:p>
    <w:p>
      <w:pPr>
        <w:pStyle w:val="Normal"/>
        <w:rPr>
          <w:rFonts w:ascii="Times New Roman" w:hAnsi="Times New Roman"/>
          <w:sz w:val="24"/>
        </w:rPr>
      </w:pPr>
      <w:r>
        <w:rPr>
          <w:rFonts w:ascii="Times New Roman" w:hAnsi="Times New Roman"/>
          <w:sz w:val="24"/>
        </w:rPr>
        <w:t>se sídlem nám. 28. října 1708, 666 01 Tišnov</w:t>
      </w:r>
    </w:p>
    <w:p>
      <w:pPr>
        <w:pStyle w:val="Normal"/>
        <w:rPr>
          <w:rFonts w:ascii="Times New Roman" w:hAnsi="Times New Roman"/>
          <w:sz w:val="24"/>
        </w:rPr>
      </w:pPr>
      <w:r>
        <w:rPr>
          <w:rFonts w:ascii="Times New Roman" w:hAnsi="Times New Roman"/>
          <w:sz w:val="24"/>
        </w:rPr>
        <w:t>zastoupen: PaedDr. Radmilou Zhořovou, ředitelkou školy</w:t>
      </w:r>
    </w:p>
    <w:p>
      <w:pPr>
        <w:pStyle w:val="Normal"/>
        <w:rPr>
          <w:rFonts w:ascii="Times New Roman" w:hAnsi="Times New Roman"/>
          <w:sz w:val="24"/>
        </w:rPr>
      </w:pPr>
      <w:r>
        <w:rPr>
          <w:rFonts w:ascii="Times New Roman" w:hAnsi="Times New Roman"/>
          <w:sz w:val="24"/>
        </w:rPr>
        <w:t>IČO: 70283940</w:t>
      </w:r>
    </w:p>
    <w:p>
      <w:pPr>
        <w:pStyle w:val="Normal"/>
        <w:jc w:val="both"/>
        <w:rPr>
          <w:rFonts w:ascii="Times New Roman" w:hAnsi="Times New Roman"/>
          <w:sz w:val="24"/>
        </w:rPr>
      </w:pPr>
      <w:r>
        <w:rPr>
          <w:rFonts w:ascii="Times New Roman" w:hAnsi="Times New Roman"/>
          <w:sz w:val="24"/>
        </w:rPr>
        <w:t>jako objednatel na straně jedné</w:t>
      </w:r>
    </w:p>
    <w:p>
      <w:pPr>
        <w:pStyle w:val="Normal"/>
        <w:jc w:val="both"/>
        <w:rPr>
          <w:rFonts w:ascii="Times New Roman" w:hAnsi="Times New Roman"/>
          <w:sz w:val="24"/>
        </w:rPr>
      </w:pPr>
      <w:r>
        <w:rPr>
          <w:rFonts w:ascii="Times New Roman" w:hAnsi="Times New Roman"/>
          <w:sz w:val="24"/>
        </w:rPr>
        <w:t>(dále jen</w:t>
      </w:r>
      <w:r>
        <w:rPr>
          <w:rFonts w:ascii="Times New Roman" w:hAnsi="Times New Roman"/>
          <w:color w:val="000000"/>
          <w:sz w:val="24"/>
        </w:rPr>
        <w:t xml:space="preserve"> „</w:t>
      </w:r>
      <w:r>
        <w:rPr>
          <w:rFonts w:ascii="Times New Roman" w:hAnsi="Times New Roman"/>
          <w:b/>
          <w:color w:val="000000"/>
          <w:sz w:val="24"/>
        </w:rPr>
        <w:t>Objednavatel</w:t>
      </w:r>
      <w:r>
        <w:rPr>
          <w:rFonts w:ascii="Times New Roman" w:hAnsi="Times New Roman"/>
          <w:color w:val="000000"/>
          <w:sz w:val="24"/>
        </w:rPr>
        <w:t>“)</w:t>
      </w:r>
    </w:p>
    <w:p>
      <w:pPr>
        <w:pStyle w:val="PlainText"/>
        <w:jc w:val="center"/>
        <w:rPr>
          <w:rFonts w:ascii="Times New Roman" w:hAnsi="Times New Roman"/>
          <w:sz w:val="24"/>
          <w:szCs w:val="24"/>
        </w:rPr>
      </w:pPr>
      <w:r>
        <w:rPr>
          <w:rFonts w:ascii="Times New Roman" w:hAnsi="Times New Roman"/>
          <w:sz w:val="24"/>
          <w:szCs w:val="24"/>
        </w:rPr>
      </w:r>
    </w:p>
    <w:p>
      <w:pPr>
        <w:pStyle w:val="PlainText"/>
        <w:jc w:val="both"/>
        <w:rPr>
          <w:rFonts w:ascii="Times New Roman" w:hAnsi="Times New Roman"/>
          <w:b/>
          <w:b/>
          <w:sz w:val="24"/>
          <w:szCs w:val="24"/>
        </w:rPr>
      </w:pPr>
      <w:r>
        <w:rPr>
          <w:rFonts w:ascii="Times New Roman" w:hAnsi="Times New Roman"/>
          <w:b/>
          <w:sz w:val="24"/>
          <w:szCs w:val="24"/>
        </w:rPr>
        <w:t>a</w:t>
      </w:r>
    </w:p>
    <w:p>
      <w:pPr>
        <w:pStyle w:val="PlainText"/>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rPr>
      </w:pPr>
      <w:r>
        <w:rPr>
          <w:rFonts w:ascii="Times New Roman" w:hAnsi="Times New Roman"/>
          <w:b/>
          <w:sz w:val="24"/>
        </w:rPr>
        <w:t>Odehnal s.r.o</w:t>
      </w:r>
      <w:r>
        <w:rPr>
          <w:rFonts w:ascii="Times New Roman" w:hAnsi="Times New Roman"/>
          <w:sz w:val="24"/>
        </w:rPr>
        <w:t>.</w:t>
        <w:tab/>
      </w:r>
    </w:p>
    <w:p>
      <w:pPr>
        <w:pStyle w:val="Normal"/>
        <w:jc w:val="both"/>
        <w:rPr>
          <w:rFonts w:ascii="Times New Roman" w:hAnsi="Times New Roman"/>
          <w:sz w:val="24"/>
        </w:rPr>
      </w:pPr>
      <w:r>
        <w:rPr>
          <w:rFonts w:ascii="Times New Roman" w:hAnsi="Times New Roman"/>
          <w:sz w:val="24"/>
        </w:rPr>
        <w:t>Řepka 17</w:t>
      </w:r>
    </w:p>
    <w:p>
      <w:pPr>
        <w:pStyle w:val="Normal"/>
        <w:jc w:val="both"/>
        <w:rPr>
          <w:rFonts w:ascii="Times New Roman" w:hAnsi="Times New Roman"/>
          <w:sz w:val="24"/>
        </w:rPr>
      </w:pPr>
      <w:r>
        <w:rPr>
          <w:rFonts w:ascii="Times New Roman" w:hAnsi="Times New Roman"/>
          <w:sz w:val="24"/>
        </w:rPr>
        <w:t>67923 Lomnice</w:t>
        <w:tab/>
        <w:tab/>
        <w:t xml:space="preserve">                                                                                   </w:t>
      </w:r>
    </w:p>
    <w:p>
      <w:pPr>
        <w:pStyle w:val="Normal"/>
        <w:jc w:val="both"/>
        <w:rPr>
          <w:rFonts w:ascii="Times New Roman" w:hAnsi="Times New Roman"/>
          <w:sz w:val="24"/>
        </w:rPr>
      </w:pPr>
      <w:r>
        <w:rPr>
          <w:rFonts w:ascii="Times New Roman" w:hAnsi="Times New Roman"/>
          <w:sz w:val="24"/>
        </w:rPr>
        <w:t>IČ: 29259843</w:t>
      </w:r>
    </w:p>
    <w:p>
      <w:pPr>
        <w:pStyle w:val="Normal"/>
        <w:jc w:val="both"/>
        <w:rPr>
          <w:rFonts w:ascii="Times New Roman" w:hAnsi="Times New Roman"/>
          <w:sz w:val="24"/>
        </w:rPr>
      </w:pPr>
      <w:r>
        <w:rPr>
          <w:rFonts w:ascii="Times New Roman" w:hAnsi="Times New Roman"/>
          <w:sz w:val="24"/>
        </w:rPr>
        <w:t>DIČ: CZ29259843</w:t>
        <w:tab/>
        <w:tab/>
        <w:tab/>
        <w:tab/>
        <w:tab/>
        <w:tab/>
        <w:tab/>
        <w:tab/>
        <w:tab/>
      </w:r>
    </w:p>
    <w:p>
      <w:pPr>
        <w:pStyle w:val="Normal"/>
        <w:jc w:val="both"/>
        <w:rPr>
          <w:rFonts w:ascii="Times New Roman" w:hAnsi="Times New Roman"/>
          <w:sz w:val="24"/>
        </w:rPr>
      </w:pPr>
      <w:r>
        <w:rPr>
          <w:rFonts w:ascii="Times New Roman" w:hAnsi="Times New Roman"/>
          <w:sz w:val="24"/>
        </w:rPr>
        <w:t>zastoupený: Michalem Odehnalem, jednatelem</w:t>
      </w:r>
    </w:p>
    <w:p>
      <w:pPr>
        <w:pStyle w:val="Normal"/>
        <w:jc w:val="both"/>
        <w:rPr>
          <w:rFonts w:ascii="Times New Roman" w:hAnsi="Times New Roman"/>
          <w:sz w:val="24"/>
        </w:rPr>
      </w:pPr>
      <w:r>
        <w:rPr>
          <w:rFonts w:ascii="Times New Roman" w:hAnsi="Times New Roman"/>
          <w:sz w:val="24"/>
        </w:rPr>
      </w:r>
    </w:p>
    <w:p>
      <w:pPr>
        <w:pStyle w:val="PlainText"/>
        <w:jc w:val="both"/>
        <w:rPr>
          <w:rFonts w:ascii="Times New Roman" w:hAnsi="Times New Roman"/>
          <w:sz w:val="24"/>
          <w:szCs w:val="24"/>
        </w:rPr>
      </w:pPr>
      <w:r>
        <w:rPr>
          <w:rFonts w:ascii="Times New Roman" w:hAnsi="Times New Roman"/>
          <w:sz w:val="24"/>
          <w:szCs w:val="24"/>
        </w:rPr>
        <w:t xml:space="preserve">jako dodavatel na straně druhé </w:t>
      </w:r>
    </w:p>
    <w:p>
      <w:pPr>
        <w:pStyle w:val="PlainText"/>
        <w:jc w:val="both"/>
        <w:rPr>
          <w:rFonts w:ascii="Times New Roman" w:hAnsi="Times New Roman"/>
          <w:sz w:val="24"/>
          <w:szCs w:val="24"/>
        </w:rPr>
      </w:pPr>
      <w:r>
        <w:rPr>
          <w:rFonts w:ascii="Times New Roman" w:hAnsi="Times New Roman"/>
          <w:sz w:val="24"/>
          <w:szCs w:val="24"/>
        </w:rPr>
        <w:t>(dále jen jako „</w:t>
      </w:r>
      <w:r>
        <w:rPr>
          <w:rFonts w:ascii="Times New Roman" w:hAnsi="Times New Roman"/>
          <w:b/>
          <w:sz w:val="24"/>
          <w:szCs w:val="24"/>
        </w:rPr>
        <w:t>Dodavatel</w:t>
      </w:r>
      <w:r>
        <w:rPr>
          <w:rFonts w:ascii="Times New Roman" w:hAnsi="Times New Roman"/>
          <w:sz w:val="24"/>
          <w:szCs w:val="24"/>
        </w:rPr>
        <w:t>“)</w:t>
      </w:r>
    </w:p>
    <w:p>
      <w:pPr>
        <w:pStyle w:val="PlainText"/>
        <w:jc w:val="both"/>
        <w:rPr>
          <w:rFonts w:ascii="Times New Roman" w:hAnsi="Times New Roman"/>
          <w:sz w:val="24"/>
          <w:szCs w:val="24"/>
        </w:rPr>
      </w:pPr>
      <w:r>
        <w:rPr>
          <w:rFonts w:ascii="Times New Roman" w:hAnsi="Times New Roman"/>
          <w:sz w:val="24"/>
          <w:szCs w:val="24"/>
        </w:rPr>
      </w:r>
    </w:p>
    <w:p>
      <w:pPr>
        <w:pStyle w:val="Normal"/>
        <w:jc w:val="both"/>
        <w:rPr>
          <w:sz w:val="32"/>
        </w:rPr>
      </w:pPr>
      <w:r>
        <w:rPr>
          <w:rFonts w:ascii="Times New Roman" w:hAnsi="Times New Roman"/>
          <w:sz w:val="24"/>
        </w:rPr>
        <w:t>(Objednatel a Dodavatel dále rovněž společně označováni jako „</w:t>
      </w:r>
      <w:r>
        <w:rPr>
          <w:rFonts w:ascii="Times New Roman" w:hAnsi="Times New Roman"/>
          <w:b/>
          <w:sz w:val="24"/>
        </w:rPr>
        <w:t>Smluvní s</w:t>
      </w:r>
      <w:r>
        <w:rPr>
          <w:rFonts w:ascii="Times New Roman" w:hAnsi="Times New Roman"/>
          <w:b/>
          <w:bCs/>
          <w:sz w:val="24"/>
        </w:rPr>
        <w:t>trany</w:t>
      </w:r>
      <w:r>
        <w:rPr>
          <w:rFonts w:ascii="Times New Roman" w:hAnsi="Times New Roman"/>
          <w:sz w:val="24"/>
        </w:rPr>
        <w:t>“ nebo každá z těchto smluvních stran samostatně jako „</w:t>
      </w:r>
      <w:r>
        <w:rPr>
          <w:rFonts w:ascii="Times New Roman" w:hAnsi="Times New Roman"/>
          <w:b/>
          <w:sz w:val="24"/>
        </w:rPr>
        <w:t>Smluvní s</w:t>
      </w:r>
      <w:r>
        <w:rPr>
          <w:rFonts w:ascii="Times New Roman" w:hAnsi="Times New Roman"/>
          <w:b/>
          <w:bCs/>
          <w:sz w:val="24"/>
        </w:rPr>
        <w:t>trana</w:t>
      </w:r>
      <w:r>
        <w:rPr>
          <w:rFonts w:ascii="Times New Roman" w:hAnsi="Times New Roman"/>
          <w:sz w:val="24"/>
        </w:rPr>
        <w:t>“ nebo též jako „</w:t>
      </w:r>
      <w:r>
        <w:rPr>
          <w:rFonts w:ascii="Times New Roman" w:hAnsi="Times New Roman"/>
          <w:b/>
          <w:sz w:val="24"/>
        </w:rPr>
        <w:t>Účastník</w:t>
      </w:r>
      <w:r>
        <w:rPr>
          <w:rFonts w:ascii="Times New Roman" w:hAnsi="Times New Roman"/>
          <w:sz w:val="24"/>
        </w:rPr>
        <w:t>“) uzavřeli níže uvedeného dne tuto kupní smlouvu na dodávku elektro materiálu, LED osvětlení</w:t>
      </w:r>
    </w:p>
    <w:p>
      <w:pPr>
        <w:pStyle w:val="Normal"/>
        <w:jc w:val="both"/>
        <w:rPr>
          <w:sz w:val="32"/>
        </w:rPr>
      </w:pPr>
      <w:r>
        <w:rPr>
          <w:rFonts w:ascii="Times New Roman" w:hAnsi="Times New Roman"/>
          <w:sz w:val="24"/>
        </w:rPr>
        <w:t>včetně montáže.</w:t>
      </w:r>
    </w:p>
    <w:p>
      <w:pPr>
        <w:pStyle w:val="PlainText"/>
        <w:tabs>
          <w:tab w:val="clear" w:pos="708"/>
          <w:tab w:val="left" w:pos="0" w:leader="none"/>
          <w:tab w:val="left" w:pos="284" w:leader="none"/>
        </w:tabs>
        <w:ind w:left="720" w:hanging="0"/>
        <w:rPr>
          <w:rFonts w:ascii="Times New Roman" w:hAnsi="Times New Roman"/>
          <w:b/>
          <w:b/>
          <w:sz w:val="24"/>
          <w:szCs w:val="24"/>
        </w:rPr>
      </w:pPr>
      <w:r>
        <w:rPr>
          <w:rFonts w:ascii="Times New Roman" w:hAnsi="Times New Roman"/>
          <w:b/>
          <w:sz w:val="24"/>
          <w:szCs w:val="24"/>
        </w:rPr>
      </w:r>
    </w:p>
    <w:p>
      <w:pPr>
        <w:pStyle w:val="ListParagraph"/>
        <w:numPr>
          <w:ilvl w:val="1"/>
          <w:numId w:val="1"/>
        </w:numPr>
        <w:ind w:left="709" w:hanging="709"/>
        <w:jc w:val="both"/>
        <w:rPr/>
      </w:pPr>
      <w:r>
        <w:rPr/>
        <w:t>Dodavatel je vybraným zájemcem na dodávku elektromateriálu.</w:t>
      </w:r>
    </w:p>
    <w:p>
      <w:pPr>
        <w:pStyle w:val="Normal"/>
        <w:ind w:left="709" w:hanging="0"/>
        <w:jc w:val="both"/>
        <w:rPr/>
      </w:pPr>
      <w:r>
        <w:rPr/>
      </w:r>
    </w:p>
    <w:p>
      <w:pPr>
        <w:pStyle w:val="Envelopereturn"/>
        <w:keepNext w:val="true"/>
        <w:jc w:val="both"/>
        <w:rPr>
          <w:sz w:val="24"/>
          <w:szCs w:val="24"/>
        </w:rPr>
      </w:pPr>
      <w:r>
        <w:rPr>
          <w:sz w:val="24"/>
          <w:szCs w:val="24"/>
        </w:rPr>
      </w:r>
    </w:p>
    <w:p>
      <w:pPr>
        <w:pStyle w:val="PlainText"/>
        <w:numPr>
          <w:ilvl w:val="0"/>
          <w:numId w:val="1"/>
        </w:numPr>
        <w:tabs>
          <w:tab w:val="clear" w:pos="708"/>
          <w:tab w:val="left" w:pos="142" w:leader="none"/>
        </w:tabs>
        <w:ind w:left="720" w:hanging="578"/>
        <w:rPr>
          <w:rFonts w:ascii="Times New Roman" w:hAnsi="Times New Roman" w:cs="Times New Roman"/>
          <w:b/>
          <w:b/>
          <w:sz w:val="24"/>
          <w:szCs w:val="24"/>
        </w:rPr>
      </w:pPr>
      <w:r>
        <w:rPr>
          <w:rFonts w:cs="Times New Roman" w:ascii="Times New Roman" w:hAnsi="Times New Roman"/>
          <w:b/>
          <w:sz w:val="24"/>
          <w:szCs w:val="24"/>
        </w:rPr>
        <w:t>Předmět smlouvy</w:t>
      </w:r>
    </w:p>
    <w:p>
      <w:pPr>
        <w:pStyle w:val="PlainText"/>
        <w:tabs>
          <w:tab w:val="clear" w:pos="708"/>
          <w:tab w:val="left" w:pos="0" w:leader="none"/>
          <w:tab w:val="left" w:pos="284" w:leader="none"/>
        </w:tabs>
        <w:ind w:left="720" w:hanging="0"/>
        <w:rPr>
          <w:rFonts w:ascii="Times New Roman" w:hAnsi="Times New Roman" w:cs="Times New Roman"/>
          <w:b/>
          <w:b/>
          <w:sz w:val="24"/>
          <w:szCs w:val="24"/>
        </w:rPr>
      </w:pPr>
      <w:r>
        <w:rPr>
          <w:rFonts w:cs="Times New Roman" w:ascii="Times New Roman" w:hAnsi="Times New Roman"/>
          <w:b/>
          <w:sz w:val="24"/>
          <w:szCs w:val="24"/>
        </w:rPr>
      </w:r>
    </w:p>
    <w:p>
      <w:pPr>
        <w:pStyle w:val="Envelopereturn"/>
        <w:keepNext w:val="true"/>
        <w:numPr>
          <w:ilvl w:val="1"/>
          <w:numId w:val="1"/>
        </w:numPr>
        <w:ind w:left="709" w:hanging="720"/>
        <w:jc w:val="both"/>
        <w:rPr>
          <w:bCs/>
          <w:iCs/>
          <w:sz w:val="24"/>
          <w:szCs w:val="24"/>
        </w:rPr>
      </w:pPr>
      <w:r>
        <w:rPr>
          <w:bCs/>
          <w:iCs/>
          <w:sz w:val="24"/>
          <w:szCs w:val="24"/>
        </w:rPr>
        <w:t>Dodavatel se touto kupní smlouvou zavazuje dodat Objednateli na základě nejvhodnější nabídky elektromateriál, 32 ks LED osvětlení včetně montáže  (dále jen zboží). Objednatel se zavazuje zaplatit Dodavateli kupní cenu za dodané zboží za podmínek stanovených v této kupní smlouvě.</w:t>
      </w:r>
    </w:p>
    <w:p>
      <w:pPr>
        <w:pStyle w:val="Envelopereturn"/>
        <w:keepNext w:val="true"/>
        <w:ind w:left="709" w:hanging="0"/>
        <w:jc w:val="both"/>
        <w:rPr>
          <w:bCs/>
          <w:iCs/>
          <w:sz w:val="24"/>
          <w:szCs w:val="24"/>
        </w:rPr>
      </w:pPr>
      <w:r>
        <w:rPr>
          <w:bCs/>
          <w:iCs/>
          <w:sz w:val="24"/>
          <w:szCs w:val="24"/>
        </w:rPr>
      </w:r>
    </w:p>
    <w:p>
      <w:pPr>
        <w:pStyle w:val="Envelopereturn"/>
        <w:keepNext w:val="true"/>
        <w:numPr>
          <w:ilvl w:val="1"/>
          <w:numId w:val="1"/>
        </w:numPr>
        <w:ind w:left="709" w:hanging="720"/>
        <w:jc w:val="both"/>
        <w:rPr>
          <w:bCs/>
          <w:iCs/>
          <w:sz w:val="24"/>
          <w:szCs w:val="24"/>
        </w:rPr>
      </w:pPr>
      <w:r>
        <w:rPr>
          <w:sz w:val="24"/>
          <w:szCs w:val="24"/>
        </w:rPr>
        <w:t>Účelem této kupní smlouvy je upravit podmínky, za nichž bude Dodavatel dodávat Objednateli Zboží, a upravit vzájemná práva a povinnosti Smluvních stran související s dodávkami Zboží.</w:t>
      </w:r>
    </w:p>
    <w:p>
      <w:pPr>
        <w:pStyle w:val="ListParagraph"/>
        <w:rPr/>
      </w:pPr>
      <w:r>
        <w:rPr/>
      </w:r>
    </w:p>
    <w:p>
      <w:pPr>
        <w:pStyle w:val="Envelopereturn"/>
        <w:keepNext w:val="true"/>
        <w:numPr>
          <w:ilvl w:val="1"/>
          <w:numId w:val="1"/>
        </w:numPr>
        <w:ind w:left="709" w:hanging="720"/>
        <w:jc w:val="both"/>
        <w:rPr>
          <w:bCs/>
          <w:iCs/>
          <w:sz w:val="24"/>
          <w:szCs w:val="24"/>
        </w:rPr>
      </w:pPr>
      <w:r>
        <w:rPr>
          <w:sz w:val="24"/>
          <w:szCs w:val="24"/>
        </w:rPr>
        <w:t>Dodávka Zboží bude realizována do 22. 2. 2023.</w:t>
      </w:r>
    </w:p>
    <w:p>
      <w:pPr>
        <w:pStyle w:val="Normal"/>
        <w:rPr>
          <w:sz w:val="24"/>
        </w:rPr>
      </w:pPr>
      <w:r>
        <w:rPr>
          <w:sz w:val="24"/>
        </w:rPr>
      </w:r>
    </w:p>
    <w:p>
      <w:pPr>
        <w:pStyle w:val="Envelopereturn"/>
        <w:keepNext w:val="true"/>
        <w:jc w:val="both"/>
        <w:rPr>
          <w:sz w:val="24"/>
          <w:szCs w:val="24"/>
        </w:rPr>
      </w:pPr>
      <w:r>
        <w:rPr>
          <w:sz w:val="24"/>
          <w:szCs w:val="24"/>
        </w:rPr>
      </w:r>
    </w:p>
    <w:p>
      <w:pPr>
        <w:pStyle w:val="PlainText"/>
        <w:numPr>
          <w:ilvl w:val="0"/>
          <w:numId w:val="1"/>
        </w:numPr>
        <w:tabs>
          <w:tab w:val="clear" w:pos="708"/>
          <w:tab w:val="left" w:pos="142" w:leader="none"/>
        </w:tabs>
        <w:ind w:left="720" w:hanging="578"/>
        <w:rPr>
          <w:rFonts w:ascii="Times New Roman" w:hAnsi="Times New Roman" w:cs="Times New Roman"/>
          <w:b/>
          <w:b/>
          <w:sz w:val="24"/>
          <w:szCs w:val="24"/>
        </w:rPr>
      </w:pPr>
      <w:r>
        <w:rPr>
          <w:rFonts w:cs="Times New Roman" w:ascii="Times New Roman" w:hAnsi="Times New Roman"/>
          <w:b/>
          <w:sz w:val="24"/>
          <w:szCs w:val="24"/>
        </w:rPr>
        <w:t>Objednávky</w:t>
      </w:r>
    </w:p>
    <w:p>
      <w:pPr>
        <w:pStyle w:val="Normal"/>
        <w:tabs>
          <w:tab w:val="clear" w:pos="708"/>
          <w:tab w:val="left" w:pos="0" w:leader="none"/>
          <w:tab w:val="left" w:pos="284" w:leader="none"/>
        </w:tabs>
        <w:ind w:left="720" w:hanging="0"/>
        <w:rPr>
          <w:rFonts w:ascii="Times New Roman" w:hAnsi="Times New Roman"/>
          <w:b/>
          <w:b/>
          <w:sz w:val="24"/>
        </w:rPr>
      </w:pPr>
      <w:r>
        <w:rPr>
          <w:rFonts w:ascii="Times New Roman" w:hAnsi="Times New Roman"/>
          <w:b/>
          <w:sz w:val="24"/>
        </w:rPr>
      </w:r>
    </w:p>
    <w:p>
      <w:pPr>
        <w:pStyle w:val="ListParagraph"/>
        <w:numPr>
          <w:ilvl w:val="1"/>
          <w:numId w:val="1"/>
        </w:numPr>
        <w:spacing w:before="0" w:after="120"/>
        <w:ind w:left="709" w:hanging="709"/>
        <w:jc w:val="both"/>
        <w:rPr/>
      </w:pPr>
      <w:r>
        <w:rPr/>
        <w:t>Dodavatel se zavazuje dodat Objednateli Zboží na základě objednávky  vystavené a zaslané Objednatelem.</w:t>
      </w:r>
    </w:p>
    <w:p>
      <w:pPr>
        <w:pStyle w:val="ListParagraph"/>
        <w:numPr>
          <w:ilvl w:val="1"/>
          <w:numId w:val="1"/>
        </w:numPr>
        <w:spacing w:before="0" w:after="120"/>
        <w:ind w:left="709" w:hanging="709"/>
        <w:jc w:val="both"/>
        <w:rPr/>
      </w:pPr>
      <w:r>
        <w:rPr/>
        <w:t>Objednatel v objednávce uvede:</w:t>
      </w:r>
    </w:p>
    <w:p>
      <w:pPr>
        <w:pStyle w:val="Normal"/>
        <w:numPr>
          <w:ilvl w:val="2"/>
          <w:numId w:val="1"/>
        </w:numPr>
        <w:spacing w:before="0" w:after="120"/>
        <w:jc w:val="both"/>
        <w:rPr>
          <w:rFonts w:ascii="Times New Roman" w:hAnsi="Times New Roman"/>
          <w:sz w:val="24"/>
        </w:rPr>
      </w:pPr>
      <w:r>
        <w:rPr>
          <w:rFonts w:ascii="Times New Roman" w:hAnsi="Times New Roman"/>
          <w:sz w:val="24"/>
        </w:rPr>
        <w:t>identifikační údaje Objednatele;</w:t>
      </w:r>
    </w:p>
    <w:p>
      <w:pPr>
        <w:pStyle w:val="Normal"/>
        <w:numPr>
          <w:ilvl w:val="2"/>
          <w:numId w:val="1"/>
        </w:numPr>
        <w:spacing w:before="0" w:after="120"/>
        <w:jc w:val="both"/>
        <w:rPr>
          <w:rFonts w:ascii="Times New Roman" w:hAnsi="Times New Roman"/>
          <w:sz w:val="24"/>
        </w:rPr>
      </w:pPr>
      <w:r>
        <w:rPr>
          <w:rFonts w:ascii="Times New Roman" w:hAnsi="Times New Roman"/>
          <w:sz w:val="24"/>
        </w:rPr>
        <w:t>identifikační údaje Dodavatele;</w:t>
      </w:r>
    </w:p>
    <w:p>
      <w:pPr>
        <w:pStyle w:val="Normal"/>
        <w:numPr>
          <w:ilvl w:val="2"/>
          <w:numId w:val="1"/>
        </w:numPr>
        <w:spacing w:before="0" w:after="120"/>
        <w:jc w:val="both"/>
        <w:rPr>
          <w:rFonts w:ascii="Times New Roman" w:hAnsi="Times New Roman"/>
          <w:sz w:val="24"/>
        </w:rPr>
      </w:pPr>
      <w:r>
        <w:rPr>
          <w:rFonts w:ascii="Times New Roman" w:hAnsi="Times New Roman"/>
          <w:sz w:val="24"/>
        </w:rPr>
        <w:t xml:space="preserve">požadované druhy Zboží, které má Dodavatel na základě objednávky Objednateli dodat; </w:t>
      </w:r>
    </w:p>
    <w:p>
      <w:pPr>
        <w:pStyle w:val="Normal"/>
        <w:numPr>
          <w:ilvl w:val="2"/>
          <w:numId w:val="1"/>
        </w:numPr>
        <w:spacing w:before="0" w:after="120"/>
        <w:jc w:val="both"/>
        <w:rPr>
          <w:rFonts w:ascii="Times New Roman" w:hAnsi="Times New Roman"/>
          <w:sz w:val="24"/>
        </w:rPr>
      </w:pPr>
      <w:r>
        <w:rPr>
          <w:rFonts w:ascii="Times New Roman" w:hAnsi="Times New Roman"/>
          <w:sz w:val="24"/>
        </w:rPr>
        <w:t>množství pro každý požadovaný druh Zboží;</w:t>
      </w:r>
    </w:p>
    <w:p>
      <w:pPr>
        <w:pStyle w:val="Normal"/>
        <w:numPr>
          <w:ilvl w:val="2"/>
          <w:numId w:val="1"/>
        </w:numPr>
        <w:spacing w:before="0" w:after="120"/>
        <w:jc w:val="both"/>
        <w:rPr>
          <w:rFonts w:ascii="Times New Roman" w:hAnsi="Times New Roman"/>
          <w:sz w:val="24"/>
        </w:rPr>
      </w:pPr>
      <w:r>
        <w:rPr>
          <w:rFonts w:ascii="Times New Roman" w:hAnsi="Times New Roman"/>
          <w:sz w:val="24"/>
        </w:rPr>
        <w:t>datum vystavení objednávky;</w:t>
      </w:r>
    </w:p>
    <w:p>
      <w:pPr>
        <w:pStyle w:val="Normal"/>
        <w:numPr>
          <w:ilvl w:val="2"/>
          <w:numId w:val="1"/>
        </w:numPr>
        <w:spacing w:before="0" w:after="120"/>
        <w:jc w:val="both"/>
        <w:rPr>
          <w:rFonts w:ascii="Times New Roman" w:hAnsi="Times New Roman"/>
          <w:sz w:val="24"/>
        </w:rPr>
      </w:pPr>
      <w:r>
        <w:rPr>
          <w:rFonts w:ascii="Times New Roman" w:hAnsi="Times New Roman"/>
          <w:sz w:val="24"/>
        </w:rPr>
        <w:t>místo dodání;</w:t>
      </w:r>
    </w:p>
    <w:p>
      <w:pPr>
        <w:pStyle w:val="Normal"/>
        <w:numPr>
          <w:ilvl w:val="2"/>
          <w:numId w:val="1"/>
        </w:numPr>
        <w:spacing w:before="0" w:after="120"/>
        <w:jc w:val="both"/>
        <w:rPr>
          <w:rFonts w:ascii="Times New Roman" w:hAnsi="Times New Roman"/>
          <w:sz w:val="24"/>
        </w:rPr>
      </w:pPr>
      <w:r>
        <w:rPr>
          <w:rFonts w:ascii="Times New Roman" w:hAnsi="Times New Roman"/>
          <w:sz w:val="24"/>
        </w:rPr>
        <w:t>případné další údaje.</w:t>
      </w:r>
    </w:p>
    <w:p>
      <w:pPr>
        <w:pStyle w:val="Normal"/>
        <w:spacing w:before="0" w:after="120"/>
        <w:jc w:val="both"/>
        <w:rPr>
          <w:rFonts w:ascii="Times New Roman" w:hAnsi="Times New Roman"/>
          <w:sz w:val="24"/>
        </w:rPr>
      </w:pPr>
      <w:r>
        <w:rPr>
          <w:rFonts w:ascii="Times New Roman" w:hAnsi="Times New Roman"/>
          <w:sz w:val="24"/>
        </w:rPr>
      </w:r>
    </w:p>
    <w:p>
      <w:pPr>
        <w:pStyle w:val="ListParagraph"/>
        <w:numPr>
          <w:ilvl w:val="1"/>
          <w:numId w:val="1"/>
        </w:numPr>
        <w:spacing w:before="0" w:after="120"/>
        <w:ind w:left="709" w:hanging="709"/>
        <w:jc w:val="both"/>
        <w:rPr/>
      </w:pPr>
      <w:r>
        <w:rPr/>
        <w:t xml:space="preserve">Objednatel zašle objednávku Dodavateli elektronicky prostřednictvím e-mailu. </w:t>
      </w:r>
    </w:p>
    <w:p>
      <w:pPr>
        <w:pStyle w:val="ListParagraph"/>
        <w:numPr>
          <w:ilvl w:val="1"/>
          <w:numId w:val="1"/>
        </w:numPr>
        <w:spacing w:before="0" w:after="120"/>
        <w:ind w:left="709" w:hanging="709"/>
        <w:jc w:val="both"/>
        <w:rPr/>
      </w:pPr>
      <w:r>
        <w:rPr/>
        <w:t>Objednatelem řádně vystavená a odeslaná objednávka je v souladu s tímto článkem smlouvy. Dodavatel je povinen řádně vystavenou objednávku, kterou obdrží od Objednatele, bez zbytečného odkladu, nejpozději však následující pracovní den, písemně potvrdit, přičemž za písemné potvrzení se považuje i elektronické potvrzení objednávky.</w:t>
      </w:r>
    </w:p>
    <w:p>
      <w:pPr>
        <w:pStyle w:val="ListParagraph"/>
        <w:numPr>
          <w:ilvl w:val="0"/>
          <w:numId w:val="1"/>
        </w:numPr>
        <w:ind w:left="720" w:hanging="578"/>
        <w:rPr>
          <w:b/>
          <w:b/>
        </w:rPr>
      </w:pPr>
      <w:bookmarkStart w:id="0" w:name="_Toc320533202"/>
      <w:bookmarkStart w:id="1" w:name="_Toc257835075"/>
      <w:bookmarkStart w:id="2" w:name="_Toc254199742"/>
      <w:bookmarkStart w:id="3" w:name="_Toc254199717"/>
      <w:r>
        <w:rPr>
          <w:b/>
        </w:rPr>
        <w:t xml:space="preserve">Podmínky plnění </w:t>
      </w:r>
      <w:bookmarkEnd w:id="0"/>
      <w:bookmarkEnd w:id="1"/>
      <w:bookmarkEnd w:id="2"/>
      <w:bookmarkEnd w:id="3"/>
    </w:p>
    <w:p>
      <w:pPr>
        <w:pStyle w:val="Normal"/>
        <w:rPr/>
      </w:pPr>
      <w:r>
        <w:rPr/>
      </w:r>
    </w:p>
    <w:p>
      <w:pPr>
        <w:pStyle w:val="ListParagraph"/>
        <w:numPr>
          <w:ilvl w:val="1"/>
          <w:numId w:val="1"/>
        </w:numPr>
        <w:ind w:left="709" w:hanging="720"/>
        <w:rPr/>
      </w:pPr>
      <w:r>
        <w:rPr/>
        <w:t>Dodavatel se zavazuje dodat Objednateli Zboží ve lhůtě uvedené v objednávce.</w:t>
      </w:r>
    </w:p>
    <w:p>
      <w:pPr>
        <w:pStyle w:val="ListParagraph"/>
        <w:rPr/>
      </w:pPr>
      <w:r>
        <w:rPr/>
      </w:r>
    </w:p>
    <w:p>
      <w:pPr>
        <w:pStyle w:val="ListParagraph"/>
        <w:numPr>
          <w:ilvl w:val="1"/>
          <w:numId w:val="1"/>
        </w:numPr>
        <w:ind w:left="709" w:hanging="720"/>
        <w:jc w:val="both"/>
        <w:rPr/>
      </w:pPr>
      <w:r>
        <w:rPr/>
        <w:t>Dodací list vystavený Dodavatelem musí obsahovat:</w:t>
      </w:r>
    </w:p>
    <w:p>
      <w:pPr>
        <w:pStyle w:val="ListParagraph"/>
        <w:numPr>
          <w:ilvl w:val="0"/>
          <w:numId w:val="3"/>
        </w:numPr>
        <w:ind w:left="1134" w:hanging="360"/>
        <w:jc w:val="both"/>
        <w:rPr/>
      </w:pPr>
      <w:r>
        <w:rPr/>
        <w:t>identifikační údaje Objednatele;</w:t>
      </w:r>
    </w:p>
    <w:p>
      <w:pPr>
        <w:pStyle w:val="ListParagraph"/>
        <w:numPr>
          <w:ilvl w:val="0"/>
          <w:numId w:val="3"/>
        </w:numPr>
        <w:ind w:left="1134" w:hanging="360"/>
        <w:jc w:val="both"/>
        <w:rPr/>
      </w:pPr>
      <w:r>
        <w:rPr/>
        <w:t>identifikační údaje Dodavatele;</w:t>
      </w:r>
    </w:p>
    <w:p>
      <w:pPr>
        <w:pStyle w:val="ListParagraph"/>
        <w:numPr>
          <w:ilvl w:val="0"/>
          <w:numId w:val="3"/>
        </w:numPr>
        <w:ind w:left="1134" w:hanging="360"/>
        <w:jc w:val="both"/>
        <w:rPr/>
      </w:pPr>
      <w:r>
        <w:rPr/>
        <w:t>množství pro každý dodávaný druh Zboží;</w:t>
      </w:r>
    </w:p>
    <w:p>
      <w:pPr>
        <w:pStyle w:val="ListParagraph"/>
        <w:numPr>
          <w:ilvl w:val="0"/>
          <w:numId w:val="3"/>
        </w:numPr>
        <w:ind w:left="1134" w:hanging="360"/>
        <w:jc w:val="both"/>
        <w:rPr/>
      </w:pPr>
      <w:r>
        <w:rPr/>
        <w:t>datum vystavení dodacího listu;</w:t>
      </w:r>
    </w:p>
    <w:p>
      <w:pPr>
        <w:pStyle w:val="ListParagraph"/>
        <w:numPr>
          <w:ilvl w:val="0"/>
          <w:numId w:val="3"/>
        </w:numPr>
        <w:ind w:left="1134" w:hanging="360"/>
        <w:jc w:val="both"/>
        <w:rPr/>
      </w:pPr>
      <w:r>
        <w:rPr/>
        <w:t>místo dodání;</w:t>
      </w:r>
    </w:p>
    <w:p>
      <w:pPr>
        <w:pStyle w:val="ListParagraph"/>
        <w:numPr>
          <w:ilvl w:val="0"/>
          <w:numId w:val="3"/>
        </w:numPr>
        <w:ind w:left="1134" w:hanging="360"/>
        <w:jc w:val="both"/>
        <w:rPr/>
      </w:pPr>
      <w:r>
        <w:rPr/>
        <w:t>potvrzení o převzetí Zboží (podpis a razítko);</w:t>
      </w:r>
    </w:p>
    <w:p>
      <w:pPr>
        <w:pStyle w:val="Normal"/>
        <w:jc w:val="both"/>
        <w:rPr/>
      </w:pPr>
      <w:r>
        <w:rPr/>
      </w:r>
    </w:p>
    <w:p>
      <w:pPr>
        <w:pStyle w:val="Normal"/>
        <w:numPr>
          <w:ilvl w:val="1"/>
          <w:numId w:val="1"/>
        </w:numPr>
        <w:ind w:left="709" w:hanging="720"/>
        <w:jc w:val="both"/>
        <w:rPr>
          <w:rFonts w:ascii="Times New Roman" w:hAnsi="Times New Roman"/>
          <w:sz w:val="24"/>
        </w:rPr>
      </w:pPr>
      <w:r>
        <w:rPr>
          <w:rFonts w:ascii="Times New Roman" w:hAnsi="Times New Roman"/>
          <w:sz w:val="24"/>
        </w:rPr>
        <w:t xml:space="preserve">Objednatel je povinen bezprostředně po dodání Zboží provést jeho kontrolu za účelem zjištění, zda souhlasí objednaný počet kusů či množství pro každý druh Zboží, zda byly dodány požadované druhy. </w:t>
      </w:r>
    </w:p>
    <w:p>
      <w:pPr>
        <w:pStyle w:val="ListParagraph"/>
        <w:rPr>
          <w:iCs/>
        </w:rPr>
      </w:pPr>
      <w:r>
        <w:rPr>
          <w:iCs/>
        </w:rPr>
      </w:r>
    </w:p>
    <w:p>
      <w:pPr>
        <w:pStyle w:val="PlainText"/>
        <w:numPr>
          <w:ilvl w:val="0"/>
          <w:numId w:val="1"/>
        </w:numPr>
        <w:tabs>
          <w:tab w:val="clear" w:pos="708"/>
          <w:tab w:val="left" w:pos="0" w:leader="none"/>
          <w:tab w:val="left" w:pos="284" w:leader="none"/>
        </w:tabs>
        <w:ind w:left="720" w:hanging="578"/>
        <w:rPr>
          <w:rFonts w:ascii="Times New Roman" w:hAnsi="Times New Roman" w:cs="Times New Roman"/>
          <w:b/>
          <w:b/>
          <w:sz w:val="24"/>
          <w:szCs w:val="24"/>
        </w:rPr>
      </w:pPr>
      <w:r>
        <w:rPr>
          <w:rFonts w:cs="Times New Roman" w:ascii="Times New Roman" w:hAnsi="Times New Roman"/>
          <w:b/>
          <w:sz w:val="24"/>
          <w:szCs w:val="24"/>
        </w:rPr>
        <w:t>Cena Zboží</w:t>
      </w:r>
    </w:p>
    <w:p>
      <w:pPr>
        <w:pStyle w:val="PlainText"/>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1"/>
          <w:numId w:val="2"/>
        </w:numPr>
        <w:tabs>
          <w:tab w:val="clear" w:pos="708"/>
          <w:tab w:val="left" w:pos="2127" w:leader="none"/>
          <w:tab w:val="left" w:pos="3119" w:leader="none"/>
        </w:tabs>
        <w:ind w:left="709" w:hanging="709"/>
        <w:jc w:val="both"/>
        <w:rPr>
          <w:rFonts w:ascii="Times New Roman" w:hAnsi="Times New Roman"/>
          <w:sz w:val="24"/>
        </w:rPr>
      </w:pPr>
      <w:r>
        <w:rPr>
          <w:rFonts w:ascii="Times New Roman" w:hAnsi="Times New Roman"/>
          <w:sz w:val="24"/>
        </w:rPr>
        <w:t xml:space="preserve">Dodavatel se zavazuje, že kupní cena Zboží nepřekročí cenovou nabídku ze dne 6. 2. 2023. Cena zboží bez DPH je 69 252,91 Kč, DPH 21 % 14 543,09 Kč, cena s DPH  je  </w:t>
      </w:r>
      <w:r>
        <w:rPr>
          <w:rFonts w:ascii="Times New Roman" w:hAnsi="Times New Roman"/>
          <w:b/>
          <w:bCs/>
          <w:sz w:val="24"/>
        </w:rPr>
        <w:t>83 796,- Kč.</w:t>
      </w:r>
      <w:r>
        <w:rPr>
          <w:rFonts w:ascii="Times New Roman" w:hAnsi="Times New Roman"/>
          <w:sz w:val="24"/>
        </w:rPr>
        <w:t xml:space="preserve"> Objednatel se zavazuje zaplatit Dodavateli kupní cenu za dodané Zboží na základě faktury vystavené příslušným Dodavatelem v souladu s touto kupní smlouvou. </w:t>
      </w:r>
    </w:p>
    <w:p>
      <w:pPr>
        <w:pStyle w:val="ListParagraph"/>
        <w:rPr/>
      </w:pPr>
      <w:r>
        <w:rPr/>
      </w:r>
    </w:p>
    <w:p>
      <w:pPr>
        <w:pStyle w:val="ListParagraph"/>
        <w:rPr/>
      </w:pPr>
      <w:r>
        <w:rPr/>
      </w:r>
    </w:p>
    <w:p>
      <w:pPr>
        <w:pStyle w:val="Normal"/>
        <w:numPr>
          <w:ilvl w:val="1"/>
          <w:numId w:val="2"/>
        </w:numPr>
        <w:tabs>
          <w:tab w:val="clear" w:pos="708"/>
          <w:tab w:val="left" w:pos="2127" w:leader="none"/>
          <w:tab w:val="left" w:pos="3119" w:leader="none"/>
        </w:tabs>
        <w:ind w:left="709" w:hanging="709"/>
        <w:jc w:val="both"/>
        <w:rPr>
          <w:rFonts w:ascii="Times New Roman" w:hAnsi="Times New Roman"/>
          <w:sz w:val="24"/>
        </w:rPr>
      </w:pPr>
      <w:r>
        <w:rPr>
          <w:rFonts w:ascii="Times New Roman" w:hAnsi="Times New Roman"/>
          <w:sz w:val="24"/>
        </w:rPr>
        <w:t xml:space="preserve">Objednatel uhradí cenu Zboží bezhotovostně bankovním převodem na účet příslušného Dodavatele na základě Dodavatelem vystaveného a Objednatelem prokazatelně doručeného daňového dokladu. </w:t>
      </w:r>
    </w:p>
    <w:p>
      <w:pPr>
        <w:pStyle w:val="ListParagraph"/>
        <w:rPr/>
      </w:pPr>
      <w:r>
        <w:rPr/>
      </w:r>
    </w:p>
    <w:p>
      <w:pPr>
        <w:pStyle w:val="Normal"/>
        <w:numPr>
          <w:ilvl w:val="1"/>
          <w:numId w:val="2"/>
        </w:numPr>
        <w:tabs>
          <w:tab w:val="clear" w:pos="708"/>
          <w:tab w:val="left" w:pos="2127" w:leader="none"/>
          <w:tab w:val="left" w:pos="3119" w:leader="none"/>
        </w:tabs>
        <w:ind w:left="709" w:hanging="709"/>
        <w:jc w:val="both"/>
        <w:rPr>
          <w:rFonts w:ascii="Times New Roman" w:hAnsi="Times New Roman"/>
          <w:sz w:val="24"/>
        </w:rPr>
      </w:pPr>
      <w:r>
        <w:rPr>
          <w:rFonts w:ascii="Times New Roman" w:hAnsi="Times New Roman"/>
          <w:sz w:val="24"/>
        </w:rPr>
        <w:t xml:space="preserve"> </w:t>
      </w:r>
      <w:r>
        <w:rPr>
          <w:rFonts w:ascii="Times New Roman" w:hAnsi="Times New Roman"/>
          <w:sz w:val="24"/>
        </w:rPr>
        <w:t>Dodavatel sdělí Objednateli číslo Bezpečného účtu. V případě zadržení platby začne běžet splatnost až ode dne sdělení čísla Bezpečného účtu. Pokud bude do té doby Objednatel vyzván k úhradě DPH z takové zadržené platby v pozici ručitele, bude DPH přímo uhrazena příslušnému správci daně a poté dojde k úhradě části platby bez DPH Dodavateli. Pokud dojde k indikaci naplnění jakýchkoli jiných podmínek ručení Objednatele za DPH účtovanou Dodavatelem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Dodavateli žádný nárok na úhradu případných úroků z prodlení, penále, náhrady škody nebo jakýchkoli dalších sankcí vůči Objednateli, a to ani v případě, že by mu podobné sankce byly vyměřeny správcem daně.</w:t>
      </w:r>
    </w:p>
    <w:p>
      <w:pPr>
        <w:pStyle w:val="Normal"/>
        <w:tabs>
          <w:tab w:val="clear" w:pos="708"/>
          <w:tab w:val="left" w:pos="2127" w:leader="none"/>
          <w:tab w:val="left" w:pos="3119" w:leader="none"/>
        </w:tabs>
        <w:ind w:left="709" w:hanging="0"/>
        <w:jc w:val="both"/>
        <w:rPr>
          <w:rFonts w:ascii="Times New Roman" w:hAnsi="Times New Roman"/>
          <w:sz w:val="24"/>
        </w:rPr>
      </w:pPr>
      <w:r>
        <w:rPr>
          <w:rFonts w:ascii="Times New Roman" w:hAnsi="Times New Roman"/>
          <w:sz w:val="24"/>
        </w:rPr>
      </w:r>
    </w:p>
    <w:p>
      <w:pPr>
        <w:pStyle w:val="Normal"/>
        <w:numPr>
          <w:ilvl w:val="1"/>
          <w:numId w:val="2"/>
        </w:numPr>
        <w:tabs>
          <w:tab w:val="clear" w:pos="708"/>
          <w:tab w:val="left" w:pos="2127" w:leader="none"/>
          <w:tab w:val="left" w:pos="3119" w:leader="none"/>
        </w:tabs>
        <w:ind w:left="709" w:hanging="709"/>
        <w:jc w:val="both"/>
        <w:rPr>
          <w:rFonts w:ascii="Times New Roman" w:hAnsi="Times New Roman"/>
          <w:sz w:val="24"/>
        </w:rPr>
      </w:pPr>
      <w:r>
        <w:rPr>
          <w:rFonts w:ascii="Times New Roman" w:hAnsi="Times New Roman"/>
          <w:sz w:val="24"/>
        </w:rPr>
        <w:t xml:space="preserve">Daňový doklad (faktura) musí obsahovat veškeré náležitosti požadované příslušnými právními předpisy, vždy musí obsahovat cenu Zboží s DPH i bez DPH. Přílohou a součástí daňového dokladu musí být Objednatelem potvrzený dodací list o předání a převzetí Zboží, obsahující vždy i označení dodaného Zboží spolu s uvedením výrobního čísla daného zařízení, jako bezvadné a Objednatelem potvrzený doklad o odstranění všech vad Zboží uvedených v dodacím listu. </w:t>
      </w:r>
    </w:p>
    <w:p>
      <w:pPr>
        <w:pStyle w:val="Normal"/>
        <w:tabs>
          <w:tab w:val="clear" w:pos="708"/>
          <w:tab w:val="left" w:pos="2127" w:leader="none"/>
          <w:tab w:val="left" w:pos="3119" w:leader="none"/>
        </w:tabs>
        <w:ind w:left="709" w:hanging="0"/>
        <w:jc w:val="both"/>
        <w:rPr>
          <w:rFonts w:ascii="Times New Roman" w:hAnsi="Times New Roman"/>
          <w:sz w:val="24"/>
        </w:rPr>
      </w:pPr>
      <w:r>
        <w:rPr>
          <w:rFonts w:ascii="Times New Roman" w:hAnsi="Times New Roman"/>
          <w:sz w:val="24"/>
        </w:rPr>
      </w:r>
    </w:p>
    <w:p>
      <w:pPr>
        <w:pStyle w:val="Normal"/>
        <w:numPr>
          <w:ilvl w:val="1"/>
          <w:numId w:val="2"/>
        </w:numPr>
        <w:tabs>
          <w:tab w:val="clear" w:pos="708"/>
          <w:tab w:val="left" w:pos="2127" w:leader="none"/>
          <w:tab w:val="left" w:pos="3119" w:leader="none"/>
        </w:tabs>
        <w:ind w:left="709" w:hanging="709"/>
        <w:jc w:val="both"/>
        <w:rPr>
          <w:rFonts w:ascii="Times New Roman" w:hAnsi="Times New Roman"/>
          <w:sz w:val="24"/>
        </w:rPr>
      </w:pPr>
      <w:r>
        <w:rPr>
          <w:rFonts w:ascii="Times New Roman" w:hAnsi="Times New Roman"/>
          <w:sz w:val="24"/>
        </w:rPr>
        <w:t>V případě, že daňový doklad (faktura) nebude mít odpovídající náležitosti stanovené v tomto článku, je Objednatel oprávněn zaslat ji ve lhůtě splatnosti zpět příslušnému Dodavateli k doplnění či úpravě, aniž se dostane do prodlení se splatností – lhůta splatnosti počíná běžet znovu od opětovného doručení náležitě doplněného či opraveného dokladu Objednatele.</w:t>
      </w:r>
    </w:p>
    <w:p>
      <w:pPr>
        <w:pStyle w:val="ListParagraph"/>
        <w:rPr/>
      </w:pPr>
      <w:r>
        <w:rPr/>
      </w:r>
    </w:p>
    <w:p>
      <w:pPr>
        <w:pStyle w:val="Normal"/>
        <w:numPr>
          <w:ilvl w:val="1"/>
          <w:numId w:val="2"/>
        </w:numPr>
        <w:tabs>
          <w:tab w:val="clear" w:pos="708"/>
          <w:tab w:val="left" w:pos="2127" w:leader="none"/>
          <w:tab w:val="left" w:pos="3119" w:leader="none"/>
        </w:tabs>
        <w:ind w:left="709" w:hanging="709"/>
        <w:jc w:val="both"/>
        <w:rPr>
          <w:rFonts w:ascii="Times New Roman" w:hAnsi="Times New Roman"/>
          <w:sz w:val="24"/>
        </w:rPr>
      </w:pPr>
      <w:r>
        <w:rPr>
          <w:rFonts w:ascii="Times New Roman" w:hAnsi="Times New Roman"/>
          <w:sz w:val="24"/>
        </w:rPr>
        <w:t>Splatnost daňového dokladu je stanovena dohodou Smluvních stran na 14 dnů od okamžiku jeho doručení Objednateli. Cena Zboží se považuje za uhrazenou okamžikem připsání příslušné částky na účet daného Dodavatele.</w:t>
      </w:r>
    </w:p>
    <w:p>
      <w:pPr>
        <w:pStyle w:val="ListParagraph"/>
        <w:rPr/>
      </w:pPr>
      <w:r>
        <w:rPr/>
      </w:r>
    </w:p>
    <w:p>
      <w:pPr>
        <w:pStyle w:val="ListParagraph"/>
        <w:numPr>
          <w:ilvl w:val="0"/>
          <w:numId w:val="1"/>
        </w:numPr>
        <w:ind w:left="720" w:hanging="578"/>
        <w:rPr>
          <w:b/>
          <w:b/>
        </w:rPr>
      </w:pPr>
      <w:r>
        <w:rPr>
          <w:b/>
        </w:rPr>
        <w:t>Nabytí vlastnického práva a přechod nebezpečí škody na Zboží</w:t>
      </w:r>
    </w:p>
    <w:p>
      <w:pPr>
        <w:pStyle w:val="Normal"/>
        <w:rPr>
          <w:rFonts w:ascii="Times New Roman" w:hAnsi="Times New Roman"/>
          <w:sz w:val="24"/>
        </w:rPr>
      </w:pPr>
      <w:r>
        <w:rPr>
          <w:rFonts w:ascii="Times New Roman" w:hAnsi="Times New Roman"/>
          <w:sz w:val="24"/>
        </w:rPr>
      </w:r>
    </w:p>
    <w:p>
      <w:pPr>
        <w:pStyle w:val="ListParagraph"/>
        <w:numPr>
          <w:ilvl w:val="1"/>
          <w:numId w:val="1"/>
        </w:numPr>
        <w:ind w:left="709" w:hanging="720"/>
        <w:jc w:val="both"/>
        <w:rPr/>
      </w:pPr>
      <w:r>
        <w:rPr/>
        <w:t xml:space="preserve">Vlastnické právo ke Zboží přechází z Dodavatele na Objednatele v okamžiku převzetí Zboží a zaplacením ceny na základě faktury. </w:t>
      </w:r>
    </w:p>
    <w:p>
      <w:pPr>
        <w:pStyle w:val="ListParagraph"/>
        <w:ind w:left="709" w:hanging="720"/>
        <w:jc w:val="both"/>
        <w:rPr/>
      </w:pPr>
      <w:r>
        <w:rPr/>
      </w:r>
    </w:p>
    <w:p>
      <w:pPr>
        <w:pStyle w:val="ListParagraph"/>
        <w:numPr>
          <w:ilvl w:val="0"/>
          <w:numId w:val="1"/>
        </w:numPr>
        <w:ind w:left="720" w:hanging="578"/>
        <w:rPr>
          <w:b/>
          <w:b/>
        </w:rPr>
      </w:pPr>
      <w:r>
        <w:rPr>
          <w:b/>
        </w:rPr>
        <w:t>Smluvní pokuty</w:t>
      </w:r>
    </w:p>
    <w:p>
      <w:pPr>
        <w:pStyle w:val="Normal"/>
        <w:rPr/>
      </w:pPr>
      <w:r>
        <w:rPr/>
      </w:r>
    </w:p>
    <w:p>
      <w:pPr>
        <w:pStyle w:val="ListParagraph"/>
        <w:numPr>
          <w:ilvl w:val="1"/>
          <w:numId w:val="1"/>
        </w:numPr>
        <w:ind w:left="709" w:hanging="720"/>
        <w:jc w:val="both"/>
        <w:rPr/>
      </w:pPr>
      <w:r>
        <w:rPr/>
        <w:t xml:space="preserve">Objednatel je oprávněn požadovat po příslušném Dodavateli uhrazení smluvní pokuty ve výši 0,1 % z ceny Zboží dle jednotlivé dílčí smlouvy, a to za každý započatý den prodlení s dodáním Zboží či jen jeho části.  </w:t>
      </w:r>
    </w:p>
    <w:p>
      <w:pPr>
        <w:pStyle w:val="Envelopereturn"/>
        <w:keepNext w:val="true"/>
        <w:tabs>
          <w:tab w:val="clear" w:pos="708"/>
          <w:tab w:val="left" w:pos="1578" w:leader="none"/>
        </w:tabs>
        <w:ind w:left="709" w:hanging="0"/>
        <w:jc w:val="both"/>
        <w:rPr>
          <w:sz w:val="24"/>
          <w:szCs w:val="24"/>
        </w:rPr>
      </w:pPr>
      <w:r>
        <w:rPr>
          <w:sz w:val="24"/>
          <w:szCs w:val="24"/>
        </w:rPr>
        <w:tab/>
      </w:r>
    </w:p>
    <w:p>
      <w:pPr>
        <w:pStyle w:val="Envelopereturn"/>
        <w:keepNext w:val="true"/>
        <w:numPr>
          <w:ilvl w:val="1"/>
          <w:numId w:val="1"/>
        </w:numPr>
        <w:ind w:left="709" w:hanging="720"/>
        <w:jc w:val="both"/>
        <w:rPr>
          <w:sz w:val="24"/>
          <w:szCs w:val="24"/>
        </w:rPr>
      </w:pPr>
      <w:r>
        <w:rPr>
          <w:sz w:val="24"/>
          <w:szCs w:val="24"/>
        </w:rPr>
        <w:t>Objednatel je oprávněn požadovat po příslušném Dodavateli uhrazení smluvní pokuty ve výši 0,1 % z ceny vadného Zboží za každý započatý den prodlení s odstraněním vady po termínu k odstranění vady stanoveném touto Rámcovou smlouvou nebo způsobem v této Rámcové smlouvě uvedeným.</w:t>
      </w:r>
    </w:p>
    <w:p>
      <w:pPr>
        <w:pStyle w:val="Envelopereturn"/>
        <w:keepNext w:val="true"/>
        <w:ind w:left="709" w:hanging="0"/>
        <w:jc w:val="both"/>
        <w:rPr>
          <w:sz w:val="24"/>
          <w:szCs w:val="24"/>
        </w:rPr>
      </w:pPr>
      <w:r>
        <w:rPr>
          <w:sz w:val="24"/>
          <w:szCs w:val="24"/>
        </w:rPr>
      </w:r>
    </w:p>
    <w:p>
      <w:pPr>
        <w:pStyle w:val="PlainText"/>
        <w:numPr>
          <w:ilvl w:val="0"/>
          <w:numId w:val="1"/>
        </w:numPr>
        <w:tabs>
          <w:tab w:val="clear" w:pos="708"/>
          <w:tab w:val="left" w:pos="0" w:leader="none"/>
          <w:tab w:val="left" w:pos="284" w:leader="none"/>
        </w:tabs>
        <w:ind w:left="720" w:hanging="578"/>
        <w:rPr>
          <w:rFonts w:ascii="Times New Roman" w:hAnsi="Times New Roman" w:cs="Times New Roman"/>
          <w:b/>
          <w:b/>
          <w:sz w:val="24"/>
          <w:szCs w:val="24"/>
        </w:rPr>
      </w:pPr>
      <w:r>
        <w:rPr>
          <w:rFonts w:cs="Times New Roman" w:ascii="Times New Roman" w:hAnsi="Times New Roman"/>
          <w:b/>
          <w:sz w:val="24"/>
          <w:szCs w:val="24"/>
        </w:rPr>
        <w:t>Záruka, záruční servis a odpovědnost za vady</w:t>
      </w:r>
    </w:p>
    <w:p>
      <w:pPr>
        <w:pStyle w:val="Normal"/>
        <w:rPr>
          <w:rFonts w:ascii="Times New Roman" w:hAnsi="Times New Roman"/>
          <w:sz w:val="24"/>
        </w:rPr>
      </w:pPr>
      <w:r>
        <w:rPr>
          <w:rFonts w:ascii="Times New Roman" w:hAnsi="Times New Roman"/>
          <w:sz w:val="24"/>
        </w:rPr>
      </w:r>
    </w:p>
    <w:p>
      <w:pPr>
        <w:pStyle w:val="ListParagraph"/>
        <w:numPr>
          <w:ilvl w:val="1"/>
          <w:numId w:val="1"/>
        </w:numPr>
        <w:ind w:left="709" w:hanging="720"/>
        <w:jc w:val="both"/>
        <w:rPr/>
      </w:pPr>
      <w:r>
        <w:rPr/>
        <w:t xml:space="preserve">Dodavatel poskytuje na jimi dodané Zboží včetně všech součástí a příslušenství záruku v délce trvání 24 měsíců ode dne předání a převzetí Zboží. Záruka se prodlužuje o dobu, která uplyne ode dne uplatnění reklamace do odstranění vady, na kterou se vztahuje záruka dle této kupní smlouvy. </w:t>
      </w:r>
    </w:p>
    <w:p>
      <w:pPr>
        <w:pStyle w:val="ListParagraph"/>
        <w:ind w:left="709" w:hanging="0"/>
        <w:jc w:val="both"/>
        <w:rPr/>
      </w:pPr>
      <w:r>
        <w:rPr/>
      </w:r>
    </w:p>
    <w:p>
      <w:pPr>
        <w:pStyle w:val="ListParagraph"/>
        <w:numPr>
          <w:ilvl w:val="1"/>
          <w:numId w:val="1"/>
        </w:numPr>
        <w:ind w:left="709" w:hanging="720"/>
        <w:jc w:val="both"/>
        <w:rPr/>
      </w:pPr>
      <w:r>
        <w:rPr/>
        <w:t xml:space="preserve">Poskytnutá záruka znamená, že </w:t>
      </w:r>
      <w:r>
        <w:rPr>
          <w:bCs/>
        </w:rPr>
        <w:t>Zboží bude bez jakýchkoliv omezení způsobilé pro použití ke smluvenému (jinak obvyklému) účelu a že si zachová obvyklé vlastnosti</w:t>
      </w:r>
      <w:r>
        <w:rPr/>
        <w:t xml:space="preserve">. </w:t>
      </w:r>
    </w:p>
    <w:p>
      <w:pPr>
        <w:pStyle w:val="ListParagraph"/>
        <w:rPr/>
      </w:pPr>
      <w:r>
        <w:rPr/>
      </w:r>
    </w:p>
    <w:p>
      <w:pPr>
        <w:pStyle w:val="ListParagraph"/>
        <w:numPr>
          <w:ilvl w:val="1"/>
          <w:numId w:val="1"/>
        </w:numPr>
        <w:ind w:left="709" w:hanging="720"/>
        <w:jc w:val="both"/>
        <w:rPr/>
      </w:pPr>
      <w:r>
        <w:rPr/>
        <w:t xml:space="preserve">Dodavatel se zavazuje přijímat písemná i telefonická oznámení o vadách jimi dodaného Zboží, na které se vztahuje záruka dle této kupní smlouvy, přičemž za písemná oznámení o vadách bude považováno též oznámení na e-mailovou adresu. Nedohodnou-li se Smluvní strany jinak, činí maximální termín pro odstranění vady malého rozsahu, tedy vady, která neznemožňuje užívání či provoz Zboží, za předpokladu, že není pro odstranění vady zapotřebí zajistit náhradní díl Zboží, 15 pracovních dnů ode dne následujícího po dni oznámení vady. V případě, že bude k odstranění vady malého rozsahu nutné zajistit náhradní díl Zboží, prodlužuje se lhůta na 20 pracovních dnů.  </w:t>
      </w:r>
    </w:p>
    <w:p>
      <w:pPr>
        <w:pStyle w:val="ListParagraph"/>
        <w:rPr/>
      </w:pPr>
      <w:r>
        <w:rPr/>
      </w:r>
    </w:p>
    <w:p>
      <w:pPr>
        <w:pStyle w:val="ListParagraph"/>
        <w:numPr>
          <w:ilvl w:val="1"/>
          <w:numId w:val="1"/>
        </w:numPr>
        <w:ind w:left="709" w:hanging="720"/>
        <w:jc w:val="both"/>
        <w:rPr/>
      </w:pPr>
      <w:r>
        <w:rPr/>
        <w:t xml:space="preserve">V případě vady Zboží, která činí Zboží nezpůsobilé k řádnému a bezproblémovému provozu, pak lhůta pro odstranění takovéto vady činí 15 pracovních dnů ode dne následujícího po dni oznámení vady. </w:t>
      </w:r>
    </w:p>
    <w:p>
      <w:pPr>
        <w:pStyle w:val="ListParagraph"/>
        <w:rPr/>
      </w:pPr>
      <w:r>
        <w:rPr/>
      </w:r>
    </w:p>
    <w:p>
      <w:pPr>
        <w:pStyle w:val="Normal"/>
        <w:jc w:val="both"/>
        <w:rPr/>
      </w:pPr>
      <w:r>
        <w:rPr/>
      </w:r>
    </w:p>
    <w:p>
      <w:pPr>
        <w:pStyle w:val="Normal"/>
        <w:jc w:val="both"/>
        <w:rPr/>
      </w:pPr>
      <w:r>
        <w:rPr/>
      </w:r>
    </w:p>
    <w:p>
      <w:pPr>
        <w:pStyle w:val="PlainText"/>
        <w:tabs>
          <w:tab w:val="clear" w:pos="708"/>
          <w:tab w:val="left" w:pos="0" w:leader="none"/>
          <w:tab w:val="left" w:pos="284" w:leader="none"/>
        </w:tabs>
        <w:jc w:val="both"/>
        <w:rPr>
          <w:rFonts w:ascii="Times New Roman" w:hAnsi="Times New Roman" w:cs="Times New Roman"/>
          <w:b/>
          <w:b/>
          <w:sz w:val="24"/>
          <w:szCs w:val="24"/>
        </w:rPr>
      </w:pPr>
      <w:r>
        <w:rPr>
          <w:rFonts w:cs="Times New Roman" w:ascii="Times New Roman" w:hAnsi="Times New Roman"/>
          <w:b/>
          <w:sz w:val="24"/>
          <w:szCs w:val="24"/>
        </w:rPr>
      </w:r>
    </w:p>
    <w:p>
      <w:pPr>
        <w:pStyle w:val="PlainText"/>
        <w:tabs>
          <w:tab w:val="clear" w:pos="708"/>
          <w:tab w:val="left" w:pos="0" w:leader="none"/>
          <w:tab w:val="left" w:pos="284" w:leader="none"/>
        </w:tabs>
        <w:jc w:val="both"/>
        <w:rPr>
          <w:rFonts w:ascii="Times New Roman" w:hAnsi="Times New Roman" w:cs="Times New Roman"/>
          <w:b/>
          <w:b/>
          <w:sz w:val="24"/>
          <w:szCs w:val="24"/>
        </w:rPr>
      </w:pPr>
      <w:r>
        <w:rPr>
          <w:rFonts w:cs="Times New Roman" w:ascii="Times New Roman" w:hAnsi="Times New Roman"/>
          <w:b/>
          <w:sz w:val="24"/>
          <w:szCs w:val="24"/>
        </w:rPr>
      </w:r>
    </w:p>
    <w:p>
      <w:pPr>
        <w:pStyle w:val="PlainText"/>
        <w:tabs>
          <w:tab w:val="clear" w:pos="708"/>
          <w:tab w:val="left" w:pos="0" w:leader="none"/>
          <w:tab w:val="left" w:pos="284" w:leader="none"/>
        </w:tabs>
        <w:jc w:val="both"/>
        <w:rPr>
          <w:rFonts w:ascii="Times New Roman" w:hAnsi="Times New Roman" w:cs="Times New Roman"/>
          <w:b/>
          <w:b/>
          <w:sz w:val="24"/>
          <w:szCs w:val="24"/>
        </w:rPr>
      </w:pPr>
      <w:r>
        <w:rPr>
          <w:rFonts w:cs="Times New Roman" w:ascii="Times New Roman" w:hAnsi="Times New Roman"/>
          <w:b/>
          <w:sz w:val="24"/>
          <w:szCs w:val="24"/>
        </w:rPr>
      </w:r>
    </w:p>
    <w:p>
      <w:pPr>
        <w:pStyle w:val="PlainText"/>
        <w:tabs>
          <w:tab w:val="clear" w:pos="708"/>
          <w:tab w:val="left" w:pos="0" w:leader="none"/>
          <w:tab w:val="left" w:pos="284" w:leader="none"/>
        </w:tabs>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rPr/>
      </w:pPr>
      <w:r>
        <w:rPr/>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PlainText"/>
        <w:rPr>
          <w:rFonts w:ascii="Times New Roman" w:hAnsi="Times New Roman" w:cs="Times New Roman"/>
          <w:sz w:val="24"/>
          <w:szCs w:val="24"/>
        </w:rPr>
      </w:pPr>
      <w:r>
        <w:rPr>
          <w:rFonts w:cs="Times New Roman" w:ascii="Times New Roman" w:hAnsi="Times New Roman"/>
          <w:sz w:val="24"/>
          <w:szCs w:val="24"/>
        </w:rPr>
        <w:t>V Tišnově dne 7. 2. 2023</w:t>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PlainText"/>
        <w:rPr>
          <w:rFonts w:ascii="Times New Roman" w:hAnsi="Times New Roman" w:cs="Times New Roman"/>
          <w:sz w:val="24"/>
          <w:szCs w:val="24"/>
        </w:rPr>
      </w:pPr>
      <w:r>
        <w:rPr>
          <w:rFonts w:cs="Times New Roman" w:ascii="Times New Roman" w:hAnsi="Times New Roman"/>
          <w:sz w:val="24"/>
          <w:szCs w:val="24"/>
        </w:rPr>
        <w:t>podpis Objednatele</w:t>
        <w:tab/>
        <w:tab/>
        <w:tab/>
        <w:tab/>
        <w:tab/>
        <w:tab/>
        <w:tab/>
        <w:t>podpis  Dodavatele</w:t>
      </w:r>
    </w:p>
    <w:p>
      <w:pPr>
        <w:pStyle w:val="PlainText"/>
        <w:rPr>
          <w:rFonts w:ascii="Times New Roman" w:hAnsi="Times New Roman" w:cs="Times New Roman"/>
          <w:sz w:val="24"/>
          <w:szCs w:val="24"/>
        </w:rPr>
      </w:pPr>
      <w:r>
        <w:rPr/>
      </w:r>
    </w:p>
    <w:sectPr>
      <w:headerReference w:type="default" r:id="rId2"/>
      <w:headerReference w:type="first" r:id="rId3"/>
      <w:footerReference w:type="default" r:id="rId4"/>
      <w:footerReference w:type="first" r:id="rId5"/>
      <w:type w:val="nextPage"/>
      <w:pgSz w:w="11906" w:h="16838"/>
      <w:pgMar w:left="1417" w:right="1417" w:header="708" w:top="1417" w:footer="708" w:bottom="141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Courier New">
    <w:charset w:val="ee"/>
    <w:family w:val="roman"/>
    <w:pitch w:val="variable"/>
  </w:font>
  <w:font w:name="Liberation Sans">
    <w:altName w:val="Arial"/>
    <w:charset w:val="ee"/>
    <w:family w:val="roman"/>
    <w:pitch w:val="variable"/>
  </w:font>
  <w:font w:name="Times New Roman">
    <w:charset w:val="ee"/>
    <w:family w:val="roman"/>
    <w:pitch w:val="variable"/>
  </w:font>
  <w:font w:name="Garamond">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rFonts w:ascii="Garamond" w:hAnsi="Garamond"/>
        <w:sz w:val="24"/>
      </w:rPr>
    </w:pPr>
    <w:r>
      <w:rPr>
        <w:rFonts w:cs="Arial" w:ascii="Garamond" w:hAnsi="Garamond"/>
        <w:sz w:val="24"/>
      </w:rPr>
      <w:fldChar w:fldCharType="begin"/>
    </w:r>
    <w:r>
      <w:rPr>
        <w:sz w:val="24"/>
        <w:rFonts w:cs="Arial" w:ascii="Garamond" w:hAnsi="Garamond"/>
      </w:rPr>
      <w:instrText> PAGE </w:instrText>
    </w:r>
    <w:r>
      <w:rPr>
        <w:sz w:val="24"/>
        <w:rFonts w:cs="Arial" w:ascii="Garamond" w:hAnsi="Garamond"/>
      </w:rPr>
      <w:fldChar w:fldCharType="separate"/>
    </w:r>
    <w:r>
      <w:rPr>
        <w:sz w:val="24"/>
        <w:rFonts w:cs="Arial" w:ascii="Garamond" w:hAnsi="Garamond"/>
      </w:rPr>
      <w:t>4</w:t>
    </w:r>
    <w:r>
      <w:rPr>
        <w:sz w:val="24"/>
        <w:rFonts w:cs="Arial" w:ascii="Garamond" w:hAnsi="Garamond"/>
      </w:rPr>
      <w:fldChar w:fldCharType="end"/>
    </w:r>
  </w:p>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4273411"/>
    </w:sdtPr>
    <w:sdtContent>
      <w:p>
        <w:pPr>
          <w:pStyle w:val="Zpat"/>
          <w:jc w:val="center"/>
          <w:rPr/>
        </w:pPr>
        <w:r>
          <w:rPr/>
          <w:fldChar w:fldCharType="begin"/>
        </w:r>
        <w:r>
          <w:rPr/>
          <w:instrText> PAGE </w:instrText>
        </w:r>
        <w:r>
          <w:rPr/>
          <w:fldChar w:fldCharType="separate"/>
        </w:r>
        <w:r>
          <w:rPr/>
          <w:t>1</w:t>
        </w:r>
        <w:r>
          <w:rPr/>
          <w:fldChar w:fldCharType="end"/>
        </w:r>
      </w:p>
    </w:sdtContent>
  </w:sdt>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lainText"/>
      <w:rPr>
        <w:rFonts w:ascii="Arial" w:hAnsi="Arial" w:cs="Arial"/>
        <w:sz w:val="24"/>
        <w:szCs w:val="24"/>
        <w:u w:val="single"/>
      </w:rPr>
    </w:pPr>
    <w:r>
      <w:rPr>
        <w:rFonts w:cs="Arial" w:ascii="Arial" w:hAnsi="Arial"/>
        <w:sz w:val="24"/>
        <w:szCs w:val="24"/>
        <w:u w:val="single"/>
      </w:rPr>
    </w:r>
  </w:p>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szCs w:val="24"/>
        <w:rFonts w:cs="Times New Roman"/>
      </w:rPr>
    </w:lvl>
    <w:lvl w:ilvl="1">
      <w:start w:val="1"/>
      <w:numFmt w:val="decimal"/>
      <w:lvlText w:val="%1.%2."/>
      <w:lvlJc w:val="left"/>
      <w:pPr>
        <w:ind w:left="720" w:hanging="720"/>
      </w:pPr>
      <w:rPr>
        <w:sz w:val="24"/>
        <w:i w:val="false"/>
        <w:b w:val="false"/>
        <w:szCs w:val="24"/>
        <w:rFonts w:cs="Times New Roman"/>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2">
    <w:lvl w:ilvl="0">
      <w:start w:val="6"/>
      <w:numFmt w:val="decimal"/>
      <w:lvlText w:val="%1."/>
      <w:lvlJc w:val="left"/>
      <w:pPr>
        <w:tabs>
          <w:tab w:val="num" w:pos="360"/>
        </w:tabs>
        <w:ind w:left="360" w:hanging="360"/>
      </w:pPr>
    </w:lvl>
    <w:lvl w:ilvl="1">
      <w:start w:val="1"/>
      <w:numFmt w:val="decimal"/>
      <w:lvlText w:val="5.%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8"/>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6c3b"/>
    <w:pPr>
      <w:widowControl/>
      <w:bidi w:val="0"/>
      <w:spacing w:lineRule="auto" w:line="240" w:before="0" w:after="0"/>
      <w:jc w:val="left"/>
    </w:pPr>
    <w:rPr>
      <w:rFonts w:ascii="Arial" w:hAnsi="Arial" w:eastAsia="Times New Roman" w:cs="Times New Roman"/>
      <w:color w:val="auto"/>
      <w:kern w:val="0"/>
      <w:sz w:val="20"/>
      <w:szCs w:val="24"/>
      <w:lang w:val="cs-CZ" w:eastAsia="cs-CZ" w:bidi="ar-SA"/>
    </w:rPr>
  </w:style>
  <w:style w:type="character" w:styleId="DefaultParagraphFont" w:default="1">
    <w:name w:val="Default Paragraph Font"/>
    <w:uiPriority w:val="1"/>
    <w:semiHidden/>
    <w:unhideWhenUsed/>
    <w:qFormat/>
    <w:rPr/>
  </w:style>
  <w:style w:type="character" w:styleId="ZpatChar" w:customStyle="1">
    <w:name w:val="Zápatí Char"/>
    <w:basedOn w:val="DefaultParagraphFont"/>
    <w:link w:val="Zpat"/>
    <w:uiPriority w:val="99"/>
    <w:qFormat/>
    <w:rsid w:val="004c6c3b"/>
    <w:rPr>
      <w:rFonts w:ascii="Arial" w:hAnsi="Arial" w:eastAsia="Times New Roman" w:cs="Times New Roman"/>
      <w:sz w:val="20"/>
      <w:szCs w:val="24"/>
      <w:lang w:eastAsia="cs-CZ"/>
    </w:rPr>
  </w:style>
  <w:style w:type="character" w:styleId="Internetovodkaz">
    <w:name w:val="Internetový odkaz"/>
    <w:basedOn w:val="DefaultParagraphFont"/>
    <w:uiPriority w:val="99"/>
    <w:rsid w:val="004c6c3b"/>
    <w:rPr>
      <w:rFonts w:cs="Times New Roman"/>
      <w:color w:val="0000FF"/>
      <w:u w:val="single"/>
    </w:rPr>
  </w:style>
  <w:style w:type="character" w:styleId="ZhlavChar" w:customStyle="1">
    <w:name w:val="Záhlaví Char"/>
    <w:basedOn w:val="DefaultParagraphFont"/>
    <w:link w:val="Zhlav"/>
    <w:uiPriority w:val="99"/>
    <w:qFormat/>
    <w:rsid w:val="004c6c3b"/>
    <w:rPr>
      <w:rFonts w:ascii="Arial" w:hAnsi="Arial" w:eastAsia="Times New Roman" w:cs="Arial"/>
      <w:szCs w:val="24"/>
      <w:lang w:eastAsia="cs-CZ"/>
    </w:rPr>
  </w:style>
  <w:style w:type="character" w:styleId="ProsttextChar" w:customStyle="1">
    <w:name w:val="Prostý text Char"/>
    <w:basedOn w:val="DefaultParagraphFont"/>
    <w:link w:val="Prosttext"/>
    <w:uiPriority w:val="99"/>
    <w:qFormat/>
    <w:rsid w:val="004c6c3b"/>
    <w:rPr>
      <w:rFonts w:ascii="Courier New" w:hAnsi="Courier New" w:eastAsia="Times New Roman" w:cs="Courier New"/>
      <w:sz w:val="20"/>
      <w:szCs w:val="20"/>
      <w:lang w:eastAsia="cs-CZ"/>
    </w:rPr>
  </w:style>
  <w:style w:type="character" w:styleId="Strong">
    <w:name w:val="Strong"/>
    <w:basedOn w:val="DefaultParagraphFont"/>
    <w:uiPriority w:val="22"/>
    <w:qFormat/>
    <w:rsid w:val="004c6c3b"/>
    <w:rPr>
      <w:b/>
      <w:bC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pat">
    <w:name w:val="Footer"/>
    <w:basedOn w:val="Normal"/>
    <w:link w:val="ZpatChar"/>
    <w:uiPriority w:val="99"/>
    <w:rsid w:val="004c6c3b"/>
    <w:pPr>
      <w:tabs>
        <w:tab w:val="clear" w:pos="708"/>
        <w:tab w:val="center" w:pos="4536" w:leader="none"/>
        <w:tab w:val="right" w:pos="9072" w:leader="none"/>
      </w:tabs>
    </w:pPr>
    <w:rPr/>
  </w:style>
  <w:style w:type="paragraph" w:styleId="Zhlav">
    <w:name w:val="Header"/>
    <w:basedOn w:val="Normal"/>
    <w:link w:val="ZhlavChar"/>
    <w:uiPriority w:val="99"/>
    <w:rsid w:val="004c6c3b"/>
    <w:pPr>
      <w:tabs>
        <w:tab w:val="clear" w:pos="708"/>
        <w:tab w:val="center" w:pos="4536" w:leader="none"/>
        <w:tab w:val="right" w:pos="9072" w:leader="none"/>
      </w:tabs>
    </w:pPr>
    <w:rPr>
      <w:rFonts w:cs="Arial"/>
      <w:sz w:val="22"/>
    </w:rPr>
  </w:style>
  <w:style w:type="paragraph" w:styleId="PlainText">
    <w:name w:val="Plain Text"/>
    <w:basedOn w:val="Normal"/>
    <w:link w:val="ProsttextChar"/>
    <w:uiPriority w:val="99"/>
    <w:qFormat/>
    <w:rsid w:val="004c6c3b"/>
    <w:pPr/>
    <w:rPr>
      <w:rFonts w:ascii="Courier New" w:hAnsi="Courier New" w:cs="Courier New"/>
      <w:szCs w:val="20"/>
    </w:rPr>
  </w:style>
  <w:style w:type="paragraph" w:styleId="ListParagraph">
    <w:name w:val="List Paragraph"/>
    <w:basedOn w:val="Normal"/>
    <w:uiPriority w:val="34"/>
    <w:qFormat/>
    <w:rsid w:val="004c6c3b"/>
    <w:pPr>
      <w:ind w:left="708" w:hanging="0"/>
    </w:pPr>
    <w:rPr>
      <w:rFonts w:ascii="Times New Roman" w:hAnsi="Times New Roman"/>
      <w:sz w:val="24"/>
    </w:rPr>
  </w:style>
  <w:style w:type="paragraph" w:styleId="Envelopereturn">
    <w:name w:val="envelope return"/>
    <w:basedOn w:val="Normal"/>
    <w:uiPriority w:val="99"/>
    <w:qFormat/>
    <w:rsid w:val="004c6c3b"/>
    <w:pPr/>
    <w:rPr>
      <w:rFonts w:ascii="Times New Roman" w:hAnsi="Times New Roman"/>
      <w:sz w:val="22"/>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Application>LibreOffice/6.4.0.3$Windows_X86_64 LibreOffice_project/b0a288ab3d2d4774cb44b62f04d5d28733ac6df8</Application>
  <Pages>4</Pages>
  <Words>1120</Words>
  <Characters>6504</Characters>
  <CharactersWithSpaces>7640</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2019-11-21T07:43:00Z</dcterms:created>
  <dc:creator>Mgr. Tomáš Biem</dc:creator>
  <dc:description/>
  <dc:language>cs-CZ</dc:language>
  <cp:lastModifiedBy/>
  <cp:lastPrinted>2023-02-24T09:28:56Z</cp:lastPrinted>
  <dcterms:modified xsi:type="dcterms:W3CDTF">2023-02-24T11:00:58Z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