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36" w:h="226" w:wrap="none" w:hAnchor="page" w:x="8968" w:y="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rStyle w:val="CharStyle3"/>
          <w:sz w:val="15"/>
          <w:szCs w:val="15"/>
        </w:rPr>
        <w:t>2023001396</w:t>
      </w:r>
    </w:p>
    <w:p>
      <w:pPr>
        <w:widowControl w:val="0"/>
        <w:spacing w:line="360" w:lineRule="exact"/>
      </w:pPr>
      <w:r>
        <w:drawing>
          <wp:anchor distT="0" distB="225425" distL="0" distR="0" simplePos="0" relativeHeight="62914690" behindDoc="1" locked="0" layoutInCell="1" allowOverlap="1">
            <wp:simplePos x="0" y="0"/>
            <wp:positionH relativeFrom="page">
              <wp:posOffset>5529580</wp:posOffset>
            </wp:positionH>
            <wp:positionV relativeFrom="margin">
              <wp:posOffset>0</wp:posOffset>
            </wp:positionV>
            <wp:extent cx="1481455" cy="3898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3898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303" w:right="860" w:bottom="1057" w:left="147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4"/>
          <w:b/>
          <w:bCs/>
        </w:rPr>
        <w:t>RÁMCOVÁ KUPNÍ SMLOUVA</w:t>
      </w:r>
      <w:bookmarkEnd w:id="0"/>
    </w:p>
    <w:p>
      <w:pPr>
        <w:pStyle w:val="Style15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2451100</wp:posOffset>
                </wp:positionV>
                <wp:extent cx="1637030" cy="171323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1713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IČ: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DIČ: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(dále jen „prodávající“)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700000000000003pt;margin-top:193.pt;width:128.90000000000001pt;height:134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(dále jen „prodávající“)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r>
        <w:rPr>
          <w:rStyle w:val="CharStyle16"/>
        </w:rPr>
        <w:t>uzavřená v souladu s ustanovením § 2079 a násl. zákona č. 89/2012 Sb., občanský zákoník, 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3000"/>
        <w:gridCol w:w="5842"/>
      </w:tblGrid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Style w:val="CharStyle21"/>
                <w:b/>
                <w:bCs/>
                <w:sz w:val="17"/>
                <w:szCs w:val="17"/>
              </w:rPr>
              <w:t>Zdravotnická záchranná služba Jihomoravského kraje,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Style w:val="CharStyle21"/>
                <w:b/>
                <w:bCs/>
                <w:sz w:val="17"/>
                <w:szCs w:val="17"/>
              </w:rPr>
              <w:t>příspěvková organizace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spacing w:val="4"/>
                <w:shd w:val="clear" w:color="auto" w:fill="000000"/>
              </w:rPr>
              <w:t>........</w:t>
            </w:r>
            <w:r>
              <w:rPr>
                <w:rStyle w:val="CharStyle21"/>
                <w:spacing w:val="5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  <w:spacing w:val="2"/>
                <w:u w:val="single"/>
                <w:shd w:val="clear" w:color="auto" w:fill="000000"/>
              </w:rPr>
              <w:t>................</w:t>
            </w:r>
            <w:r>
              <w:rPr>
                <w:rStyle w:val="CharStyle21"/>
                <w:spacing w:val="3"/>
                <w:u w:val="single"/>
                <w:shd w:val="clear" w:color="auto" w:fill="000000"/>
              </w:rPr>
              <w:t>......</w:t>
            </w:r>
            <w:r>
              <w:rPr>
                <w:rStyle w:val="CharStyle21"/>
                <w:shd w:val="clear" w:color="auto" w:fill="000000"/>
              </w:rPr>
              <w:t>...​</w:t>
            </w:r>
            <w:r>
              <w:rPr>
                <w:rStyle w:val="CharStyle21"/>
                <w:spacing w:val="8"/>
                <w:shd w:val="clear" w:color="auto" w:fill="000000"/>
              </w:rPr>
              <w:t>...</w:t>
            </w:r>
            <w:r>
              <w:rPr>
                <w:rStyle w:val="CharStyle21"/>
                <w:spacing w:val="9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​.......​</w:t>
            </w:r>
            <w:r>
              <w:rPr>
                <w:rStyle w:val="CharStyle21"/>
                <w:spacing w:val="6"/>
                <w:shd w:val="clear" w:color="auto" w:fill="000000"/>
              </w:rPr>
              <w:t>...</w:t>
            </w:r>
            <w:r>
              <w:rPr>
                <w:rStyle w:val="CharStyle21"/>
                <w:spacing w:val="7"/>
                <w:shd w:val="clear" w:color="auto" w:fill="000000"/>
              </w:rPr>
              <w:t>...</w:t>
            </w:r>
            <w:r>
              <w:rPr>
                <w:rStyle w:val="CharStyle21"/>
                <w:shd w:val="clear" w:color="auto" w:fill="000000"/>
              </w:rPr>
              <w:t>​........​</w:t>
            </w:r>
            <w:r>
              <w:rPr>
                <w:rStyle w:val="CharStyle21"/>
                <w:spacing w:val="6"/>
                <w:shd w:val="clear" w:color="auto" w:fill="000000"/>
              </w:rPr>
              <w:t>....</w:t>
            </w:r>
            <w:r>
              <w:rPr>
                <w:rStyle w:val="CharStyle21"/>
                <w:spacing w:val="7"/>
                <w:shd w:val="clear" w:color="auto" w:fill="000000"/>
              </w:rPr>
              <w:t>....</w:t>
            </w:r>
            <w:r>
              <w:rPr>
                <w:rStyle w:val="CharStyle21"/>
                <w:shd w:val="clear" w:color="auto" w:fill="000000"/>
              </w:rPr>
              <w:t>​.......​.......​......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Krajský soud v Brně sp. zn. Pr 1245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1"/>
              </w:rPr>
              <w:t>MONETA Money Bank, a.s., č. ú. 117203514/0600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9"/>
          <w:szCs w:val="19"/>
        </w:rPr>
      </w:pPr>
      <w:r>
        <w:rPr>
          <w:rStyle w:val="CharStyle18"/>
          <w:sz w:val="19"/>
          <w:szCs w:val="19"/>
        </w:rPr>
        <w:t>(dále jen „kupující“)</w:t>
      </w:r>
    </w:p>
    <w:p>
      <w:pPr>
        <w:widowControl w:val="0"/>
        <w:spacing w:after="65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  <w:b/>
          <w:bCs/>
        </w:rPr>
        <w:t>bioMérieux CZ, s.r.o.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9"/>
        </w:rPr>
        <w:t>Hvězdová 1716/2b, Praha 4, 140 78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9"/>
        </w:rPr>
        <w:t>Mgr. Radek Sluka, Ph.D., jednající na základě plné moci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9"/>
          <w:shd w:val="clear" w:color="auto" w:fill="000000"/>
        </w:rPr>
        <w:t>.......​</w:t>
      </w:r>
      <w:r>
        <w:rPr>
          <w:rStyle w:val="CharStyle9"/>
          <w:spacing w:val="3"/>
          <w:shd w:val="clear" w:color="auto" w:fill="000000"/>
        </w:rPr>
        <w:t>......</w:t>
      </w:r>
      <w:r>
        <w:rPr>
          <w:rStyle w:val="CharStyle9"/>
          <w:spacing w:val="4"/>
          <w:shd w:val="clear" w:color="auto" w:fill="000000"/>
        </w:rPr>
        <w:t>...</w:t>
      </w:r>
      <w:r>
        <w:rPr>
          <w:rStyle w:val="CharStyle9"/>
          <w:shd w:val="clear" w:color="auto" w:fill="000000"/>
        </w:rPr>
        <w:t>​.......</w:t>
      </w:r>
      <w:r>
        <w:rPr>
          <w:rStyle w:val="CharStyle9"/>
          <w:spacing w:val="1"/>
          <w:shd w:val="clear" w:color="auto" w:fill="000000"/>
        </w:rPr>
        <w:t>........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9"/>
        </w:rPr>
        <w:t>27391981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9"/>
        </w:rPr>
        <w:t>CZ27391981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9"/>
        </w:rPr>
        <w:t>Městský soud v Praze, sp. zn. C110836/MSPH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680"/>
        <w:jc w:val="left"/>
      </w:pPr>
      <w:r>
        <w:rPr>
          <w:rStyle w:val="CharStyle9"/>
        </w:rPr>
        <w:t>Komerční banka, a.s., č. ú. 115-2456840277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>Prodávající je oprávněn na základě svého vlastnického práva nakládat se zbožím ve formě hemokultivačních lahviček (dále jen „zboží“), jejichž specifikace, včetně jednotkových cen, je uvedena v příloze č. 1, která je nedílnou součástí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7" w:lineRule="auto"/>
        <w:ind w:left="380" w:right="0" w:hanging="380"/>
        <w:jc w:val="both"/>
      </w:pPr>
      <w:r>
        <w:rPr>
          <w:rStyle w:val="CharStyle9"/>
        </w:rPr>
        <w:t>Součástí dodávky zboží podle čl. 2 této smlouvy je vždy rovněž dodání dokladů, které se k dodávanému zboží vztahují a návody k použití v českém jazyce.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 xml:space="preserve">Prodávající se zavazuje plnit svůj závazek k dodání zboží podle čl. 1 této smlouvy vždy nejpozději do </w:t>
      </w:r>
      <w:r>
        <w:rPr>
          <w:rStyle w:val="CharStyle9"/>
          <w:b/>
          <w:bCs/>
          <w:sz w:val="17"/>
          <w:szCs w:val="17"/>
        </w:rPr>
        <w:t xml:space="preserve">deseti dní </w:t>
      </w:r>
      <w:r>
        <w:rPr>
          <w:rStyle w:val="CharStyle9"/>
        </w:rPr>
        <w:t>ode dne účinnosti příslušné dílčí kupní smlouvy. Tento závazek se bude považovat za splněný po předání a převzetí příslušného zboží prostého všech vad, formou písemného předávacího protokolu, podepsaného oběma stranami. Místem plnění tohoto závazku prodávajícího, je centrální sklad v sídle kupujícího.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2" w:lineRule="auto"/>
        <w:ind w:left="380" w:right="0" w:hanging="380"/>
        <w:jc w:val="both"/>
      </w:pPr>
      <w:r>
        <w:rPr>
          <w:rStyle w:val="CharStyle9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>Kupující se zavazuje zaplatit prodávajícímu za předmět koupě a prodeje podle čl. 1 této smlouvy kupní cenu ve výši součinu počtu dodaných kusů zboží podle čl. 1 této smlouvy a jednotkových cen tohoto zboží. Součástí těchto cen jsou veškeré náklady prodávajícího na splnění jeho závazku k dodání zboží podle této smlouvy. Výše uvedené ceny se prodávající zavazuje garantovat po dobu podle čl. 20 této smlouvy. Změna ceny je možná v souvislosti se změnou zákonné sazby DPH.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9"/>
          <w:shd w:val="clear" w:color="auto" w:fill="000000"/>
          <w:lang w:val="en-US" w:eastAsia="en-US" w:bidi="en-US"/>
        </w:rPr>
        <w:t>.</w:t>
      </w:r>
      <w:r>
        <w:rPr>
          <w:rStyle w:val="CharStyle9"/>
          <w:shd w:val="clear" w:color="auto" w:fill="000000"/>
        </w:rPr>
        <w:t>​..</w:t>
      </w:r>
      <w:r>
        <w:rPr>
          <w:rStyle w:val="CharStyle9"/>
        </w:rPr>
        <w:t xml:space="preserve"> 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9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9"/>
          <w:color w:val="7AB2E5"/>
          <w:lang w:val="en-US" w:eastAsia="en-US" w:bidi="en-US"/>
        </w:rPr>
        <w:t xml:space="preserve"> </w:t>
      </w:r>
      <w:r>
        <w:rPr>
          <w:rStyle w:val="CharStyle9"/>
        </w:rPr>
        <w:t xml:space="preserve">Na faktuře/daňovém dokladu musí být mimo jiné vždy uvedeno toto číslo veřejné zakázky, ke které se faktura vztahuje: </w:t>
      </w:r>
      <w:r>
        <w:rPr>
          <w:rStyle w:val="CharStyle9"/>
          <w:b/>
          <w:bCs/>
          <w:sz w:val="17"/>
          <w:szCs w:val="17"/>
        </w:rPr>
        <w:t xml:space="preserve">P23V00000482. </w:t>
      </w:r>
      <w:r>
        <w:rPr>
          <w:rStyle w:val="CharStyle9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>S převodem zboží je podle čl. 1 této smlouvy spojena záruka za jeho jakost v trvání doby použitelnosti (resp. expirační doby) vyznačené na zboží, nejméně však v trvání 24 měsíců ode dne dodání příslušného zboží. V rámci této záruky se prodávající zavazuje, že zboží podle čl. 1 této smlouvy bude dodáno vždy nové, v neporušeném balení s řádným označením dle platných právních předpisů, a s minimální expirační dobou po celou dobu uvedené záruční lhůty a bude mít po tuto dobu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48 hodin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2" w:lineRule="auto"/>
        <w:ind w:left="380" w:right="0" w:hanging="380"/>
        <w:jc w:val="both"/>
      </w:pPr>
      <w:r>
        <w:rPr>
          <w:rStyle w:val="CharStyle9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7" w:lineRule="auto"/>
        <w:ind w:left="380" w:right="0" w:hanging="380"/>
        <w:jc w:val="both"/>
      </w:pPr>
      <w:r>
        <w:rPr>
          <w:rStyle w:val="CharStyle9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>Pro případ prodlení se splněním závazku prodávajícího k dodání zboží ve lhůtě podle čl. 4 této smlouvy se prodávající zavazuje platit kupujícímu smluvní pokutu ve výši 0,1 % z kupní ceny nedodaného zboží za každý započatý den tohoto prodlení. Pro případ prodlení s odstraněním vady ve lhůtě podle čl. 9 této smlouvy se prodávající zavazuje platit kupujícímu smluvní pokutu ve výši 0,1% z kupní ceny reklamovaného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4" w:lineRule="auto"/>
        <w:ind w:left="380" w:right="0" w:hanging="380"/>
        <w:jc w:val="both"/>
      </w:pPr>
      <w:r>
        <w:rPr>
          <w:rStyle w:val="CharStyle9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9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7" w:lineRule="auto"/>
        <w:ind w:left="380" w:right="0" w:hanging="380"/>
        <w:jc w:val="both"/>
      </w:pPr>
      <w:r>
        <w:rPr>
          <w:rStyle w:val="CharStyle9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9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2" w:lineRule="auto"/>
        <w:ind w:left="440" w:right="0" w:hanging="440"/>
        <w:jc w:val="both"/>
      </w:pPr>
      <w:r>
        <w:rPr>
          <w:rStyle w:val="CharStyle9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rStyle w:val="CharStyle9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4" w:lineRule="auto"/>
        <w:ind w:left="440" w:right="0" w:hanging="440"/>
        <w:jc w:val="both"/>
      </w:pPr>
      <w:r>
        <w:rPr>
          <w:rStyle w:val="CharStyle9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62" w:lineRule="auto"/>
        <w:ind w:left="440" w:right="0" w:hanging="440"/>
        <w:jc w:val="both"/>
      </w:pPr>
      <w:r>
        <w:rPr>
          <w:rStyle w:val="CharStyle9"/>
        </w:rPr>
        <w:t>Tato smlouva nabývá účinnosti po jejím podpisu oběma smluvními stranami dnem jejího uveřejnění v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0" w:right="0" w:firstLine="0"/>
        <w:jc w:val="left"/>
      </w:pPr>
      <w:r>
        <w:rPr>
          <w:rStyle w:val="CharStyle9"/>
        </w:rPr>
        <w:t>Tato smlouva se uzavírá na dobu určitou, a to do 31. 12. 2024.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560" w:line="262" w:lineRule="auto"/>
        <w:ind w:left="440" w:right="0" w:hanging="440"/>
        <w:jc w:val="both"/>
      </w:pPr>
      <w:r>
        <w:drawing>
          <wp:anchor distT="164465" distB="0" distL="522605" distR="114300" simplePos="0" relativeHeight="125829380" behindDoc="0" locked="0" layoutInCell="1" allowOverlap="1">
            <wp:simplePos x="0" y="0"/>
            <wp:positionH relativeFrom="page">
              <wp:posOffset>1301115</wp:posOffset>
            </wp:positionH>
            <wp:positionV relativeFrom="paragraph">
              <wp:posOffset>774065</wp:posOffset>
            </wp:positionV>
            <wp:extent cx="1713230" cy="822960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713230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609600</wp:posOffset>
                </wp:positionV>
                <wp:extent cx="1139825" cy="18605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.!?....Ť...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0.299999999999997pt;margin-top:48.pt;width:89.75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.!?....Ť...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9"/>
        </w:rPr>
        <w:t>Dáno ve dvou originálních písemných vyhotoveních, z nichž každá ze smluvních stran obdrží po jednom.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660" w:right="0" w:firstLine="0"/>
        <w:jc w:val="left"/>
      </w:pPr>
      <w:r>
        <w:rPr>
          <w:rStyle w:val="CharStyle9"/>
        </w:rPr>
        <w:t>V Praze dne 15.2.2023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43"/>
        </w:rPr>
        <w:t>Digitálně podepsal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178" w:lineRule="auto"/>
        <w:ind w:right="0" w:hanging="1300"/>
        <w:jc w:val="left"/>
      </w:pPr>
      <w:r>
        <w:rPr>
          <w:rStyle w:val="CharStyle43"/>
          <w:sz w:val="22"/>
          <w:szCs w:val="22"/>
        </w:rPr>
        <w:t xml:space="preserve">Mgr. Radek </w:t>
      </w:r>
      <w:r>
        <w:rPr>
          <w:rStyle w:val="CharStyle43"/>
        </w:rPr>
        <w:t>Mgr. Radek Sluka, Ph.D.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137" w:lineRule="auto"/>
        <w:ind w:left="1660" w:right="0" w:firstLine="0"/>
        <w:jc w:val="left"/>
      </w:pPr>
      <w:r>
        <w:rPr>
          <w:rStyle w:val="CharStyle43"/>
          <w:sz w:val="22"/>
          <w:szCs w:val="22"/>
        </w:rPr>
        <w:t xml:space="preserve">Sluka, Ph.D. </w:t>
      </w:r>
      <w:r>
        <w:rPr>
          <w:rStyle w:val="CharStyle43"/>
        </w:rPr>
        <w:t>Datum: 2023.02.15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right="0" w:firstLine="0"/>
        <w:jc w:val="left"/>
      </w:pPr>
      <w:r>
        <w:rPr>
          <w:rStyle w:val="CharStyle43"/>
        </w:rPr>
        <w:t>14:28:47 +01'00'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12700</wp:posOffset>
                </wp:positionV>
                <wp:extent cx="1246505" cy="45402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650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 xml:space="preserve">Mgr. Radek Sluka, Ph.D. obchodní ředitel 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9.5pt;margin-top:1.pt;width:98.150000000000006pt;height:35.7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 xml:space="preserve">Mgr. Radek Sluka, Ph.D. obchodní ředitel </w:t>
                      </w:r>
                      <w:r>
                        <w:rPr>
                          <w:rStyle w:val="CharStyle11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9"/>
        </w:rPr>
        <w:t>MUDr. Hana Albrechtová ředitelka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5" w:right="1336" w:bottom="1633" w:left="1354" w:header="0" w:footer="3" w:gutter="0"/>
          <w:cols w:space="720"/>
          <w:noEndnote/>
          <w:rtlGutter w:val="0"/>
          <w:docGrid w:linePitch="360"/>
        </w:sectPr>
      </w:pPr>
      <w:r>
        <w:rPr>
          <w:rStyle w:val="CharStyle11"/>
          <w:b/>
          <w:bCs/>
        </w:rPr>
        <w:t>Kupující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83" w:lineRule="auto"/>
        <w:ind w:left="0" w:right="0" w:firstLine="260"/>
        <w:jc w:val="left"/>
      </w:pPr>
      <w:r>
        <w:rPr>
          <w:rStyle w:val="CharStyle11"/>
          <w:b/>
          <w:bCs/>
        </w:rPr>
        <w:t>Příloha č. 1 Specifikace, ceník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83" w:lineRule="auto"/>
        <w:ind w:left="0" w:right="0" w:firstLine="260"/>
        <w:jc w:val="left"/>
      </w:pPr>
      <w:r>
        <w:rPr>
          <w:rStyle w:val="CharStyle11"/>
          <w:b/>
          <w:bCs/>
        </w:rPr>
        <w:t>Specifikace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260"/>
        <w:jc w:val="left"/>
      </w:pPr>
      <w:r>
        <w:rPr>
          <w:rStyle w:val="CharStyle11"/>
          <w:b/>
          <w:bCs/>
        </w:rPr>
        <w:t>Lahvička SA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7" w:val="left"/>
        </w:tabs>
        <w:bidi w:val="0"/>
        <w:spacing w:before="0" w:after="0" w:line="286" w:lineRule="auto"/>
        <w:ind w:left="0" w:right="0" w:firstLine="260"/>
        <w:jc w:val="left"/>
      </w:pPr>
      <w:r>
        <w:rPr>
          <w:rStyle w:val="CharStyle11"/>
          <w:b/>
          <w:bCs/>
        </w:rPr>
        <w:t>určena pro záchyt aerobních a fakultativně anaerobních bakterií, kvasinek a plísní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7" w:val="left"/>
        </w:tabs>
        <w:bidi w:val="0"/>
        <w:spacing w:before="0" w:after="0" w:line="286" w:lineRule="auto"/>
        <w:ind w:left="0" w:right="0" w:firstLine="260"/>
        <w:jc w:val="left"/>
      </w:pPr>
      <w:r>
        <w:rPr>
          <w:rStyle w:val="CharStyle11"/>
          <w:b/>
          <w:bCs/>
        </w:rPr>
        <w:t>určena pro testování krve a jiných běžně sterilních tělních tekutin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7" w:val="left"/>
        </w:tabs>
        <w:bidi w:val="0"/>
        <w:spacing w:before="0" w:after="0" w:line="286" w:lineRule="auto"/>
        <w:ind w:left="260" w:right="0" w:firstLine="0"/>
        <w:jc w:val="left"/>
      </w:pPr>
      <w:r>
        <w:rPr>
          <w:rStyle w:val="CharStyle11"/>
          <w:b/>
          <w:bCs/>
        </w:rPr>
        <w:t>lahvičky jsou určeny pro kultivaci vzorků v automatickém hemokultivačním systému BACT/ALERT 3D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after="0" w:line="286" w:lineRule="auto"/>
        <w:ind w:left="0" w:right="0" w:firstLine="260"/>
        <w:jc w:val="left"/>
      </w:pPr>
      <w:r>
        <w:rPr>
          <w:rStyle w:val="CharStyle11"/>
          <w:b/>
          <w:bCs/>
        </w:rPr>
        <w:t>inokulovaný objem 8-10 ml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after="220" w:line="286" w:lineRule="auto"/>
        <w:ind w:left="260" w:right="0" w:firstLine="0"/>
        <w:jc w:val="left"/>
      </w:pPr>
      <w:r>
        <w:rPr>
          <w:rStyle w:val="CharStyle11"/>
          <w:b/>
          <w:bCs/>
        </w:rPr>
        <w:t>ínokulované lahvičky lze až 24h uchovávat pří pokojově teplotě před vložením do hemokultivačního přístroje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rStyle w:val="CharStyle11"/>
          <w:b/>
          <w:bCs/>
        </w:rPr>
        <w:t>Lahvička SN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2" w:val="left"/>
        </w:tabs>
        <w:bidi w:val="0"/>
        <w:spacing w:before="0" w:after="0"/>
        <w:ind w:left="0" w:right="0" w:firstLine="260"/>
        <w:jc w:val="left"/>
      </w:pPr>
      <w:r>
        <w:rPr>
          <w:rStyle w:val="CharStyle11"/>
          <w:b/>
          <w:bCs/>
        </w:rPr>
        <w:t>určena pro záchyt anaerobních bakterií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after="0"/>
        <w:ind w:left="0" w:right="0" w:firstLine="260"/>
        <w:jc w:val="left"/>
      </w:pPr>
      <w:r>
        <w:rPr>
          <w:rStyle w:val="CharStyle11"/>
          <w:b/>
          <w:bCs/>
        </w:rPr>
        <w:t>určena pro testování krve a jiných běžně sterilních tělních tekutin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after="0"/>
        <w:ind w:left="260" w:right="0" w:firstLine="0"/>
        <w:jc w:val="left"/>
      </w:pPr>
      <w:r>
        <w:rPr>
          <w:rStyle w:val="CharStyle11"/>
          <w:b/>
          <w:bCs/>
        </w:rPr>
        <w:t>lahvičky jsou určeny pro kultivaci vzorků v automatickém hemokultivačním systému BACT/ALERT 3D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after="0"/>
        <w:ind w:left="0" w:right="0" w:firstLine="260"/>
        <w:jc w:val="left"/>
      </w:pPr>
      <w:r>
        <w:rPr>
          <w:rStyle w:val="CharStyle11"/>
          <w:b/>
          <w:bCs/>
        </w:rPr>
        <w:t>inokulovaný objem 8-10 ml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after="1760"/>
        <w:ind w:left="260" w:right="0" w:firstLine="0"/>
        <w:jc w:val="left"/>
      </w:pPr>
      <w:r>
        <w:rPr>
          <w:rStyle w:val="CharStyle11"/>
          <w:b/>
          <w:bCs/>
        </w:rPr>
        <w:t>Ínokulované lahvičky lze až 24h uchovávat při pokojově teplotě před vložením do hemokultivačního přístroje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1"/>
          <w:b/>
          <w:bCs/>
        </w:rPr>
        <w:t>Ceník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18"/>
          <w:b/>
          <w:bCs/>
        </w:rPr>
        <w:t>Hemokultivační lahvičky</w:t>
      </w:r>
    </w:p>
    <w:tbl>
      <w:tblPr>
        <w:tblOverlap w:val="never"/>
        <w:jc w:val="center"/>
        <w:tblLayout w:type="fixed"/>
      </w:tblPr>
      <w:tblGrid>
        <w:gridCol w:w="4910"/>
        <w:gridCol w:w="4301"/>
      </w:tblGrid>
      <w:tr>
        <w:trPr>
          <w:trHeight w:val="46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21"/>
                <w:b/>
                <w:bCs/>
                <w:sz w:val="17"/>
                <w:szCs w:val="17"/>
              </w:rPr>
              <w:t>Lahvička SA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21"/>
                <w:b/>
                <w:bCs/>
                <w:sz w:val="17"/>
                <w:szCs w:val="17"/>
              </w:rPr>
              <w:t>Jednotková cena v Kč bez DPH: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1"/>
                <w:b/>
                <w:bCs/>
                <w:sz w:val="17"/>
                <w:szCs w:val="17"/>
              </w:rPr>
              <w:t>156,60 Kč</w:t>
            </w:r>
          </w:p>
        </w:tc>
      </w:tr>
      <w:tr>
        <w:trPr>
          <w:trHeight w:val="245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Style w:val="CharStyle21"/>
                <w:b/>
                <w:bCs/>
                <w:sz w:val="17"/>
                <w:szCs w:val="17"/>
              </w:rPr>
              <w:t>Jednotková cena v Kč vč.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1"/>
                <w:b/>
                <w:bCs/>
                <w:sz w:val="17"/>
                <w:szCs w:val="17"/>
              </w:rPr>
              <w:t>189,49 Kč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60"/>
        <w:jc w:val="left"/>
      </w:pPr>
      <w:r>
        <w:rPr>
          <w:rStyle w:val="CharStyle11"/>
          <w:b/>
          <w:bCs/>
        </w:rPr>
        <w:t>Lahvička SN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6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12700</wp:posOffset>
                </wp:positionV>
                <wp:extent cx="603250" cy="28956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156,60 Kč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189,49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6.25pt;margin-top:1.pt;width:47.5pt;height:22.8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156,60 Kč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189,49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1"/>
          <w:b/>
          <w:bCs/>
        </w:rPr>
        <w:t>Jednotková cena v Kč bez DPH: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60"/>
        <w:jc w:val="left"/>
      </w:pPr>
      <w:r>
        <w:rPr>
          <w:rStyle w:val="CharStyle11"/>
          <w:b/>
          <w:bCs/>
        </w:rPr>
        <w:t>Jednotková cena v Kč vč. DPH:</w:t>
      </w:r>
    </w:p>
    <w:sectPr>
      <w:footnotePr>
        <w:pos w:val="pageBottom"/>
        <w:numFmt w:val="decimal"/>
        <w:numRestart w:val="continuous"/>
      </w:footnotePr>
      <w:pgSz w:w="11900" w:h="16840"/>
      <w:pgMar w:top="1145" w:right="1338" w:bottom="1145" w:left="13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9972040</wp:posOffset>
              </wp:positionV>
              <wp:extent cx="248729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872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11_2023 Hemokultivační lahvičky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.600000000000009pt;margin-top:785.20000000000005pt;width:195.84999999999999pt;height:8.6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11_2023 Hemokultivační lahvičky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3">
    <w:name w:val="Základní text (3)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line="27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spacing w:after="2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auto"/>
      <w:spacing w:after="460" w:line="252" w:lineRule="auto"/>
      <w:ind w:left="2020" w:hanging="130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2">
    <w:name w:val="Základní text (3)"/>
    <w:basedOn w:val="Normal"/>
    <w:link w:val="CharStyle43"/>
    <w:pPr>
      <w:widowControl w:val="0"/>
      <w:shd w:val="clear" w:color="auto" w:fill="auto"/>
      <w:spacing w:line="209" w:lineRule="auto"/>
      <w:ind w:left="29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