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DDF8008" w14:textId="77777777" w:rsidR="00DB7265" w:rsidRDefault="00DB7265" w:rsidP="00A34598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356F17F0" w14:textId="2D101AC3" w:rsidR="00A34598" w:rsidRPr="00B50E10" w:rsidRDefault="00A34598" w:rsidP="00A34598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MS UTILITIES &amp; SERVICES a.s. </w:t>
      </w:r>
    </w:p>
    <w:p w14:paraId="01F62BF5" w14:textId="77777777" w:rsidR="00A34598" w:rsidRPr="00B50E10" w:rsidRDefault="00A34598" w:rsidP="00A3459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Bezručova 1200, Nový Bohumín, 735 81  Bohumín</w:t>
      </w:r>
    </w:p>
    <w:p w14:paraId="5C00FA58" w14:textId="77777777" w:rsidR="00A34598" w:rsidRPr="00B50E10" w:rsidRDefault="00A34598" w:rsidP="00A3459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29400074</w:t>
      </w:r>
    </w:p>
    <w:p w14:paraId="2C90DF7C" w14:textId="77777777" w:rsidR="00A34598" w:rsidRPr="00B50E10" w:rsidRDefault="00A34598" w:rsidP="00A3459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CZ29400074</w:t>
      </w:r>
    </w:p>
    <w:p w14:paraId="4CDA5689" w14:textId="77777777" w:rsidR="00A34598" w:rsidRDefault="00A34598" w:rsidP="00A3459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4511</w:t>
      </w:r>
    </w:p>
    <w:p w14:paraId="6F36B257" w14:textId="4C464815" w:rsidR="00A34598" w:rsidRDefault="00A34598" w:rsidP="00A3459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  <w:t>Ing. Michal Neumann, předseda představenstva</w:t>
      </w:r>
    </w:p>
    <w:p w14:paraId="20649504" w14:textId="4A6B495C" w:rsidR="00A34598" w:rsidRPr="00B50E10" w:rsidRDefault="00A34598" w:rsidP="00A34598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Ing. Jan </w:t>
      </w:r>
      <w:proofErr w:type="spellStart"/>
      <w:r>
        <w:rPr>
          <w:rFonts w:asciiTheme="minorHAnsi" w:hAnsiTheme="minorHAnsi" w:cstheme="minorHAnsi"/>
          <w:sz w:val="22"/>
          <w:szCs w:val="22"/>
        </w:rPr>
        <w:t>Zaškolný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MBA, </w:t>
      </w:r>
      <w:r w:rsidR="00F51CBC">
        <w:rPr>
          <w:rFonts w:asciiTheme="minorHAnsi" w:hAnsiTheme="minorHAnsi" w:cstheme="minorHAnsi"/>
          <w:sz w:val="22"/>
          <w:szCs w:val="22"/>
        </w:rPr>
        <w:t xml:space="preserve">místopředseda </w:t>
      </w:r>
      <w:r>
        <w:rPr>
          <w:rFonts w:asciiTheme="minorHAnsi" w:hAnsiTheme="minorHAnsi" w:cstheme="minorHAnsi"/>
          <w:sz w:val="22"/>
          <w:szCs w:val="22"/>
        </w:rPr>
        <w:t xml:space="preserve">představenstva </w:t>
      </w:r>
    </w:p>
    <w:p w14:paraId="4DB57306" w14:textId="77777777" w:rsidR="00A34598" w:rsidRPr="00B50E10" w:rsidRDefault="00A34598" w:rsidP="00A34598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450A8C57" w14:textId="77777777" w:rsidR="00A34598" w:rsidRPr="00B50E10" w:rsidRDefault="00A34598" w:rsidP="00A34598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20D2139E" w14:textId="77777777" w:rsidR="00A34598" w:rsidRPr="00B50E10" w:rsidRDefault="00A34598" w:rsidP="00A34598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KNEBL, spol. s r.o. </w:t>
      </w:r>
    </w:p>
    <w:p w14:paraId="364766AC" w14:textId="77777777" w:rsidR="00A34598" w:rsidRPr="00B50E10" w:rsidRDefault="00A34598" w:rsidP="00A3459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Leoše Janáčka 379, 763 26  Luhačovice</w:t>
      </w:r>
    </w:p>
    <w:p w14:paraId="6C3A98E4" w14:textId="77777777" w:rsidR="00A34598" w:rsidRPr="00B50E10" w:rsidRDefault="00A34598" w:rsidP="00A3459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25559214</w:t>
      </w:r>
    </w:p>
    <w:p w14:paraId="1F085CD0" w14:textId="77777777" w:rsidR="00A34598" w:rsidRPr="00B50E10" w:rsidRDefault="00A34598" w:rsidP="00A3459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CZ25559214</w:t>
      </w:r>
    </w:p>
    <w:p w14:paraId="1EDD6651" w14:textId="77777777" w:rsidR="00A34598" w:rsidRDefault="00A34598" w:rsidP="00A3459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Brně, oddíl C, vložka 33488</w:t>
      </w:r>
    </w:p>
    <w:p w14:paraId="2EAAE13B" w14:textId="77777777" w:rsidR="00A34598" w:rsidRDefault="00A34598" w:rsidP="00A34598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Anna Kneblová, jednatelka </w:t>
      </w:r>
    </w:p>
    <w:p w14:paraId="6C8F69ED" w14:textId="77777777" w:rsidR="00A34598" w:rsidRPr="00B50E10" w:rsidRDefault="00A34598" w:rsidP="00A34598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54DF8C9A" w14:textId="77777777" w:rsidR="00A34598" w:rsidRPr="00B50E10" w:rsidRDefault="00A34598" w:rsidP="00A34598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1F21D22E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A34598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6F88E734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A34598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721AB471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A34598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05894B51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A34598">
        <w:rPr>
          <w:rFonts w:asciiTheme="minorHAnsi" w:hAnsiTheme="minorHAnsi" w:cstheme="minorHAnsi"/>
          <w:sz w:val="22"/>
          <w:szCs w:val="22"/>
        </w:rPr>
        <w:tab/>
      </w:r>
      <w:r w:rsidR="006D15EF">
        <w:rPr>
          <w:rFonts w:asciiTheme="minorHAnsi" w:hAnsiTheme="minorHAnsi" w:cstheme="minorHAnsi"/>
          <w:sz w:val="22"/>
          <w:szCs w:val="22"/>
        </w:rPr>
        <w:t xml:space="preserve">Ing. Vladimír Matta, </w:t>
      </w:r>
      <w:r w:rsidR="00066ECB" w:rsidRPr="00B50E10">
        <w:rPr>
          <w:rFonts w:asciiTheme="minorHAnsi" w:hAnsiTheme="minorHAnsi" w:cstheme="minorHAnsi"/>
          <w:sz w:val="22"/>
          <w:szCs w:val="22"/>
        </w:rPr>
        <w:t>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3E55B452" w14:textId="758A9B3E" w:rsidR="00A34598" w:rsidRPr="00B50E10" w:rsidRDefault="00FC1646" w:rsidP="00A34598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A34598" w:rsidRPr="00A34598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A34598" w:rsidRPr="004C411D">
        <w:rPr>
          <w:rStyle w:val="Tun-Znak"/>
          <w:rFonts w:asciiTheme="minorHAnsi" w:hAnsiTheme="minorHAnsi" w:cstheme="minorHAnsi"/>
          <w:sz w:val="22"/>
          <w:szCs w:val="22"/>
        </w:rPr>
        <w:t>problémy dýchacích cest a pohybové problémy s využitím přírodní minerální vody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44C47060" w14:textId="5AB0D42B" w:rsidR="00723302" w:rsidRPr="00B50E10" w:rsidRDefault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223BAC">
        <w:rPr>
          <w:rStyle w:val="Tun-Znak"/>
          <w:rFonts w:asciiTheme="minorHAnsi" w:hAnsiTheme="minorHAnsi" w:cstheme="minorHAnsi"/>
          <w:sz w:val="22"/>
          <w:szCs w:val="22"/>
        </w:rPr>
        <w:t xml:space="preserve">turnus </w:t>
      </w:r>
      <w:r w:rsidR="00723302" w:rsidRPr="00223BAC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223BAC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223BAC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223BAC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223BAC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223BAC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223BAC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223BAC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  <w:r w:rsidR="00723302" w:rsidRPr="00223BAC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83E8F32" w14:textId="2ACD03BE" w:rsidR="00723302" w:rsidRPr="00223BAC" w:rsidRDefault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971A6D" w:rsidRPr="00223BAC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223BAC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F5304E" w:rsidRPr="00DB7265">
        <w:rPr>
          <w:rStyle w:val="Tun-Znak"/>
          <w:rFonts w:asciiTheme="minorHAnsi" w:hAnsiTheme="minorHAnsi" w:cstheme="minorHAnsi"/>
          <w:sz w:val="22"/>
          <w:szCs w:val="22"/>
        </w:rPr>
        <w:t>16</w:t>
      </w:r>
      <w:r w:rsidR="00F5304E" w:rsidRPr="00223BAC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Pr="00223BAC">
        <w:rPr>
          <w:rStyle w:val="Tun-Znak"/>
          <w:rFonts w:asciiTheme="minorHAnsi" w:hAnsiTheme="minorHAnsi" w:cstheme="minorHAnsi"/>
          <w:sz w:val="22"/>
          <w:szCs w:val="22"/>
        </w:rPr>
        <w:t>účastníků</w:t>
      </w:r>
      <w:r w:rsidR="00971A6D" w:rsidRPr="00F51CBC">
        <w:rPr>
          <w:rStyle w:val="Tun-Znak"/>
          <w:rFonts w:asciiTheme="minorHAnsi" w:hAnsiTheme="minorHAnsi" w:cstheme="minorHAnsi"/>
          <w:b/>
          <w:sz w:val="22"/>
          <w:szCs w:val="22"/>
        </w:rPr>
        <w:tab/>
        <w:t xml:space="preserve">- </w:t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4BE4B37A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F5304E">
        <w:rPr>
          <w:rStyle w:val="Tun-Znak"/>
          <w:rFonts w:asciiTheme="minorHAnsi" w:hAnsiTheme="minorHAnsi" w:cstheme="minorHAnsi"/>
          <w:sz w:val="22"/>
          <w:szCs w:val="22"/>
        </w:rPr>
        <w:t>163 000 Kč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5C82BFDF" w14:textId="77777777" w:rsidR="00F5304E" w:rsidRDefault="00EA2CA7" w:rsidP="00F530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F5304E"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F5304E"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nemoci, správný životní styl a </w:t>
      </w:r>
    </w:p>
    <w:p w14:paraId="1F07A408" w14:textId="77777777" w:rsidR="00F5304E" w:rsidRDefault="00F5304E" w:rsidP="00F530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stravování v rozsahu minimálně 60 minutové přednášky zajištěné odborníkem v oboru zdravotnictví nebo </w:t>
      </w:r>
    </w:p>
    <w:p w14:paraId="032C8E78" w14:textId="77777777" w:rsidR="00F5304E" w:rsidRDefault="00F5304E" w:rsidP="00F530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dietologie</w:t>
      </w:r>
    </w:p>
    <w:p w14:paraId="5F62309D" w14:textId="77777777" w:rsidR="00F5304E" w:rsidRPr="00125DDE" w:rsidRDefault="00F5304E" w:rsidP="00F530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 možností zapůjčení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 průběhu pobytu), zapůjčení zdarma</w:t>
      </w:r>
    </w:p>
    <w:p w14:paraId="54EFD885" w14:textId="77777777" w:rsidR="00F5304E" w:rsidRPr="00125DDE" w:rsidRDefault="00F5304E" w:rsidP="00F530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>cykloturistiky s možností zapůjčení jízdního kola (kdykoliv v průběhu pobytu)</w:t>
      </w:r>
    </w:p>
    <w:p w14:paraId="10523CDD" w14:textId="77777777" w:rsidR="00F5304E" w:rsidRDefault="00F5304E" w:rsidP="00F5304E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plavání ve vnitřním nebo vnějším rekreačním (volnočasovém) bazénu (kdykoliv v průběhu pobytu), vstup   </w:t>
      </w:r>
    </w:p>
    <w:p w14:paraId="3DF595E5" w14:textId="77777777" w:rsidR="00F5304E" w:rsidRDefault="00F5304E" w:rsidP="00F5304E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zdarma </w:t>
      </w:r>
    </w:p>
    <w:p w14:paraId="11844118" w14:textId="77777777" w:rsidR="00F5304E" w:rsidRPr="00125DDE" w:rsidRDefault="00F5304E" w:rsidP="00F530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minimálně jednoho kulturního programu (např. divadelní vystoupení, společenský večer) za pobyt </w:t>
      </w:r>
    </w:p>
    <w:p w14:paraId="19C1F376" w14:textId="77777777" w:rsidR="00F5304E" w:rsidRDefault="00F5304E" w:rsidP="00F5304E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celoročního využití sportovní místnosti nebo sportovního hřiště pro individuální cvičení (kdykoliv v průběhu    </w:t>
      </w:r>
    </w:p>
    <w:p w14:paraId="40A5C31E" w14:textId="77777777" w:rsidR="00F5304E" w:rsidRDefault="00F5304E" w:rsidP="00F5304E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pobytu), vstup zdarma</w:t>
      </w:r>
    </w:p>
    <w:p w14:paraId="323B3A27" w14:textId="77777777" w:rsidR="00F5304E" w:rsidRDefault="00F5304E" w:rsidP="00F5304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4F72670E" w14:textId="7E647991" w:rsidR="00C468F3" w:rsidRPr="00B50E10" w:rsidRDefault="00C468F3" w:rsidP="00C468F3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2FA43290" w14:textId="77777777" w:rsidR="00FB64A4" w:rsidRDefault="00FB64A4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6859A199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14CB4EE6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6D15EF">
        <w:rPr>
          <w:rFonts w:asciiTheme="minorHAnsi" w:hAnsiTheme="minorHAnsi" w:cstheme="minorHAnsi"/>
          <w:sz w:val="20"/>
          <w:szCs w:val="20"/>
        </w:rPr>
        <w:t>3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1E138D81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9CAAC7" w14:textId="695082CF" w:rsidR="00F5304E" w:rsidRDefault="007D0611" w:rsidP="00F5304E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F5304E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 w:rsidRPr="00F5304E">
        <w:rPr>
          <w:rFonts w:asciiTheme="minorHAnsi" w:hAnsiTheme="minorHAnsi" w:cstheme="minorHAnsi"/>
          <w:sz w:val="20"/>
          <w:szCs w:val="20"/>
        </w:rPr>
        <w:t xml:space="preserve"> </w:t>
      </w:r>
      <w:r w:rsidR="00F5304E">
        <w:rPr>
          <w:rFonts w:asciiTheme="minorHAnsi" w:hAnsiTheme="minorHAnsi" w:cstheme="minorHAnsi"/>
          <w:sz w:val="20"/>
          <w:szCs w:val="20"/>
        </w:rPr>
        <w:t xml:space="preserve">Příslušný poplatek z pobytu se zavazuje uhradit lázním organizace. </w:t>
      </w:r>
    </w:p>
    <w:p w14:paraId="21F6184D" w14:textId="77777777" w:rsidR="00F5304E" w:rsidRDefault="00F5304E" w:rsidP="00FB6452">
      <w:pPr>
        <w:pStyle w:val="NazevSmernice"/>
        <w:spacing w:after="0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19F9BF62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6D15EF">
        <w:rPr>
          <w:rFonts w:asciiTheme="minorHAnsi" w:hAnsiTheme="minorHAnsi" w:cstheme="minorHAnsi"/>
          <w:sz w:val="20"/>
          <w:szCs w:val="20"/>
        </w:rPr>
        <w:t>3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4DBD5434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6D15EF">
        <w:rPr>
          <w:rFonts w:asciiTheme="minorHAnsi" w:hAnsiTheme="minorHAnsi" w:cstheme="minorHAnsi"/>
          <w:sz w:val="20"/>
          <w:szCs w:val="20"/>
        </w:rPr>
        <w:t>3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7F15BAD1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6D15EF">
        <w:rPr>
          <w:rFonts w:asciiTheme="minorHAnsi" w:hAnsiTheme="minorHAnsi" w:cstheme="minorHAnsi"/>
        </w:rPr>
        <w:t>3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50ED453D" w14:textId="77777777" w:rsidR="00F5304E" w:rsidRPr="00B50E10" w:rsidRDefault="00F5304E" w:rsidP="00F5304E">
      <w:pPr>
        <w:pStyle w:val="Odstavec"/>
        <w:rPr>
          <w:rFonts w:asciiTheme="minorHAnsi" w:hAnsiTheme="minorHAnsi" w:cstheme="minorHAnsi"/>
        </w:rPr>
      </w:pPr>
    </w:p>
    <w:p w14:paraId="398609E8" w14:textId="77777777" w:rsidR="00F5304E" w:rsidRPr="00B50E10" w:rsidRDefault="00F5304E" w:rsidP="00F5304E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6636CD77" w14:textId="77777777" w:rsidR="00F5304E" w:rsidRPr="00B50E10" w:rsidRDefault="00F5304E" w:rsidP="00F5304E">
      <w:pPr>
        <w:pStyle w:val="Odstavec"/>
        <w:rPr>
          <w:rFonts w:asciiTheme="minorHAnsi" w:hAnsiTheme="minorHAnsi" w:cstheme="minorHAnsi"/>
        </w:rPr>
      </w:pPr>
    </w:p>
    <w:p w14:paraId="5F75334F" w14:textId="1C851B3F" w:rsidR="00F5304E" w:rsidRPr="00B50E10" w:rsidRDefault="004E7558" w:rsidP="00F5304E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Bohumíně, dne 15. 2. 2023</w:t>
      </w:r>
    </w:p>
    <w:p w14:paraId="2E3E38D0" w14:textId="77777777" w:rsidR="00F5304E" w:rsidRPr="00B50E10" w:rsidRDefault="00F5304E" w:rsidP="00F5304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416589C" w14:textId="77777777" w:rsidR="00F5304E" w:rsidRPr="00B50E10" w:rsidRDefault="00F5304E" w:rsidP="00F5304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852125F" w14:textId="77777777" w:rsidR="00F5304E" w:rsidRDefault="00F5304E" w:rsidP="00F5304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F9774BE" w14:textId="77777777" w:rsidR="00F5304E" w:rsidRDefault="00F5304E" w:rsidP="00F5304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06679A4" w14:textId="77777777" w:rsidR="00F5304E" w:rsidRPr="00B50E10" w:rsidRDefault="00F5304E" w:rsidP="00F5304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655292B" w14:textId="77777777" w:rsidR="00F5304E" w:rsidRPr="00B50E10" w:rsidRDefault="00F5304E" w:rsidP="00F5304E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……………………………………….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3C19575A" w14:textId="77777777" w:rsidR="00F5304E" w:rsidRDefault="00F5304E" w:rsidP="00F5304E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Michal Neumann</w:t>
      </w:r>
      <w:r w:rsidRPr="00B50E1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Ing. Jan </w:t>
      </w:r>
      <w:proofErr w:type="spellStart"/>
      <w:r>
        <w:rPr>
          <w:rFonts w:asciiTheme="minorHAnsi" w:hAnsiTheme="minorHAnsi" w:cstheme="minorHAnsi"/>
        </w:rPr>
        <w:t>Zaškolný</w:t>
      </w:r>
      <w:proofErr w:type="spellEnd"/>
      <w:r>
        <w:rPr>
          <w:rFonts w:asciiTheme="minorHAnsi" w:hAnsiTheme="minorHAnsi" w:cstheme="minorHAnsi"/>
        </w:rPr>
        <w:t>, MBA</w:t>
      </w:r>
    </w:p>
    <w:p w14:paraId="3338DBCE" w14:textId="3DA38364" w:rsidR="00F5304E" w:rsidRPr="00B50E10" w:rsidRDefault="00F5304E" w:rsidP="00F5304E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předseda představenstva </w:t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F51CBC">
        <w:rPr>
          <w:rFonts w:asciiTheme="minorHAnsi" w:hAnsiTheme="minorHAnsi" w:cstheme="minorHAnsi"/>
        </w:rPr>
        <w:tab/>
        <w:t>místopředseda</w:t>
      </w:r>
      <w:r>
        <w:rPr>
          <w:rFonts w:asciiTheme="minorHAnsi" w:hAnsiTheme="minorHAnsi" w:cstheme="minorHAnsi"/>
        </w:rPr>
        <w:t xml:space="preserve"> představenstva </w:t>
      </w:r>
    </w:p>
    <w:p w14:paraId="27554BF3" w14:textId="77777777" w:rsidR="00F5304E" w:rsidRDefault="00F5304E" w:rsidP="00F5304E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MS UTILITIES &amp; SERVICES a.s.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MS UTILITIES &amp; SERVICES a.s. </w:t>
      </w:r>
    </w:p>
    <w:p w14:paraId="0E4F6227" w14:textId="77777777" w:rsidR="00F5304E" w:rsidRDefault="00F5304E" w:rsidP="00F5304E">
      <w:pPr>
        <w:pStyle w:val="Odstavec"/>
        <w:rPr>
          <w:rFonts w:asciiTheme="minorHAnsi" w:hAnsiTheme="minorHAnsi" w:cstheme="minorHAnsi"/>
        </w:rPr>
      </w:pPr>
    </w:p>
    <w:p w14:paraId="1675207A" w14:textId="77777777" w:rsidR="00F5304E" w:rsidRDefault="00F5304E" w:rsidP="00F5304E">
      <w:pPr>
        <w:pStyle w:val="Odstavec"/>
        <w:rPr>
          <w:rFonts w:asciiTheme="minorHAnsi" w:hAnsiTheme="minorHAnsi" w:cstheme="minorHAnsi"/>
        </w:rPr>
      </w:pPr>
    </w:p>
    <w:p w14:paraId="2362A84F" w14:textId="47C921DF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</w:p>
    <w:p w14:paraId="7B2BC5EF" w14:textId="4F270C73" w:rsidR="0074302C" w:rsidRDefault="0074302C" w:rsidP="00B50E10">
      <w:pPr>
        <w:pStyle w:val="Odstavec"/>
        <w:rPr>
          <w:rFonts w:asciiTheme="minorHAnsi" w:hAnsiTheme="minorHAnsi" w:cstheme="minorHAnsi"/>
        </w:rPr>
      </w:pP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18E840F6" w14:textId="77777777" w:rsidR="00F5304E" w:rsidRPr="00B50E10" w:rsidRDefault="00F5304E" w:rsidP="00F5304E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2110E8F9" w14:textId="77777777" w:rsidR="00F5304E" w:rsidRPr="00B50E10" w:rsidRDefault="00F5304E" w:rsidP="00F5304E">
      <w:pPr>
        <w:pStyle w:val="Odstavec"/>
        <w:rPr>
          <w:rFonts w:asciiTheme="minorHAnsi" w:hAnsiTheme="minorHAnsi" w:cstheme="minorHAnsi"/>
        </w:rPr>
      </w:pPr>
    </w:p>
    <w:p w14:paraId="20C65680" w14:textId="3972F443" w:rsidR="00F5304E" w:rsidRPr="00B50E10" w:rsidRDefault="004E7558" w:rsidP="00F5304E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Luhačovicích, dne 20. 2. 2023</w:t>
      </w:r>
    </w:p>
    <w:p w14:paraId="73F12F42" w14:textId="77777777" w:rsidR="00F5304E" w:rsidRPr="00B50E10" w:rsidRDefault="00F5304E" w:rsidP="00F5304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6AEF11D" w14:textId="77777777" w:rsidR="00F5304E" w:rsidRPr="00B50E10" w:rsidRDefault="00F5304E" w:rsidP="00F5304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EC1D497" w14:textId="77777777" w:rsidR="00F5304E" w:rsidRPr="00B50E10" w:rsidRDefault="00F5304E" w:rsidP="00F5304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D0572DB" w14:textId="77777777" w:rsidR="00F5304E" w:rsidRPr="00B50E10" w:rsidRDefault="00F5304E" w:rsidP="00F5304E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35142728" w14:textId="77777777" w:rsidR="00F5304E" w:rsidRPr="004C411D" w:rsidRDefault="00F5304E" w:rsidP="00F5304E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4C411D">
        <w:rPr>
          <w:rFonts w:asciiTheme="minorHAnsi" w:hAnsiTheme="minorHAnsi" w:cstheme="minorHAnsi"/>
          <w:sz w:val="20"/>
          <w:szCs w:val="20"/>
        </w:rPr>
        <w:t>Anna Kneblová</w:t>
      </w:r>
    </w:p>
    <w:p w14:paraId="612EFD13" w14:textId="77777777" w:rsidR="00F5304E" w:rsidRPr="00B50E10" w:rsidRDefault="00F5304E" w:rsidP="00F5304E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</w:t>
      </w:r>
      <w:r w:rsidRPr="004C411D">
        <w:rPr>
          <w:rFonts w:asciiTheme="minorHAnsi" w:hAnsiTheme="minorHAnsi" w:cstheme="minorHAnsi"/>
          <w:sz w:val="20"/>
          <w:szCs w:val="20"/>
        </w:rPr>
        <w:t xml:space="preserve">ednatelka </w:t>
      </w:r>
    </w:p>
    <w:p w14:paraId="62AFB00C" w14:textId="77777777" w:rsidR="00F5304E" w:rsidRPr="00B50E10" w:rsidRDefault="00F5304E" w:rsidP="00F5304E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KNEBL, spol. s r.o. </w:t>
      </w:r>
    </w:p>
    <w:p w14:paraId="090196A7" w14:textId="77777777" w:rsidR="00F5304E" w:rsidRPr="00B50E10" w:rsidRDefault="00F5304E" w:rsidP="00F5304E">
      <w:pPr>
        <w:pStyle w:val="Odstavec"/>
        <w:rPr>
          <w:rFonts w:asciiTheme="minorHAnsi" w:hAnsiTheme="minorHAnsi" w:cstheme="minorHAnsi"/>
        </w:rPr>
      </w:pPr>
    </w:p>
    <w:p w14:paraId="1CAF27FC" w14:textId="77777777" w:rsidR="00F5304E" w:rsidRDefault="00F5304E" w:rsidP="00B50E10">
      <w:pPr>
        <w:pStyle w:val="Odstavec"/>
        <w:rPr>
          <w:rFonts w:asciiTheme="minorHAnsi" w:hAnsiTheme="minorHAnsi" w:cstheme="minorHAnsi"/>
        </w:rPr>
      </w:pPr>
    </w:p>
    <w:p w14:paraId="6A577B17" w14:textId="77777777" w:rsidR="00F5304E" w:rsidRDefault="00F5304E" w:rsidP="00B50E10">
      <w:pPr>
        <w:pStyle w:val="Odstavec"/>
        <w:rPr>
          <w:rFonts w:asciiTheme="minorHAnsi" w:hAnsiTheme="minorHAnsi" w:cstheme="minorHAnsi"/>
        </w:rPr>
      </w:pP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5D714094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4E7558">
        <w:rPr>
          <w:rFonts w:asciiTheme="minorHAnsi" w:hAnsiTheme="minorHAnsi" w:cstheme="minorHAnsi"/>
          <w:sz w:val="20"/>
          <w:szCs w:val="20"/>
        </w:rPr>
        <w:t xml:space="preserve"> 9. 2. 2023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1FCE0014" w:rsidR="0005550D" w:rsidRPr="00B50E10" w:rsidRDefault="006D15EF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Vladimír Matta 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F5304E" w:rsidRPr="00CD69B7" w14:paraId="35CBAA51" w14:textId="78963D95" w:rsidTr="00223BAC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F5304E" w:rsidRPr="00CD69B7" w:rsidRDefault="00F5304E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ED4DC4A" w:rsidR="00F5304E" w:rsidRPr="00CD69B7" w:rsidRDefault="00F5304E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223B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F5304E" w:rsidRPr="00CD69B7" w14:paraId="73E02F9E" w14:textId="4EC835D5" w:rsidTr="00223BAC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F5304E" w:rsidRPr="00CD69B7" w:rsidRDefault="00F5304E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43DB4279" w:rsidR="00F5304E" w:rsidRPr="00223BAC" w:rsidRDefault="00D57927" w:rsidP="00CD69B7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BAC">
              <w:rPr>
                <w:rFonts w:asciiTheme="minorHAnsi" w:hAnsiTheme="minorHAnsi" w:cstheme="minorHAnsi"/>
                <w:b/>
                <w:sz w:val="20"/>
                <w:szCs w:val="20"/>
              </w:rPr>
              <w:t>829</w:t>
            </w:r>
          </w:p>
        </w:tc>
      </w:tr>
      <w:tr w:rsidR="00F5304E" w:rsidRPr="00CD69B7" w14:paraId="4D974E7A" w14:textId="5719EACC" w:rsidTr="00223BAC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F5304E" w:rsidRPr="00CD69B7" w:rsidRDefault="00F5304E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1A1AB1AD" w:rsidR="00F5304E" w:rsidRPr="00223BAC" w:rsidRDefault="00D57927" w:rsidP="00CD69B7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BAC">
              <w:rPr>
                <w:rFonts w:asciiTheme="minorHAnsi" w:hAnsiTheme="minorHAnsi" w:cstheme="minorHAnsi"/>
                <w:b/>
                <w:sz w:val="20"/>
                <w:szCs w:val="20"/>
              </w:rPr>
              <w:t>472</w:t>
            </w:r>
          </w:p>
        </w:tc>
      </w:tr>
      <w:tr w:rsidR="00F5304E" w:rsidRPr="00CD69B7" w14:paraId="0DAB9080" w14:textId="0733121C" w:rsidTr="00223BAC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F5304E" w:rsidRPr="00CD69B7" w:rsidRDefault="00F5304E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78E73102" w:rsidR="00F5304E" w:rsidRPr="00223BAC" w:rsidRDefault="00D57927" w:rsidP="00CD69B7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BAC">
              <w:rPr>
                <w:rFonts w:asciiTheme="minorHAnsi" w:hAnsiTheme="minorHAnsi" w:cstheme="minorHAnsi"/>
                <w:b/>
                <w:sz w:val="20"/>
                <w:szCs w:val="20"/>
              </w:rPr>
              <w:t>357</w:t>
            </w:r>
          </w:p>
        </w:tc>
      </w:tr>
      <w:tr w:rsidR="00F5304E" w:rsidRPr="00CD69B7" w14:paraId="2B8ECF50" w14:textId="39821DCF" w:rsidTr="00223BAC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F5304E" w:rsidRPr="00CD69B7" w:rsidRDefault="00F5304E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73F47C3F" w:rsidR="00F5304E" w:rsidRPr="00223BAC" w:rsidRDefault="00D57927" w:rsidP="00CD69B7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BAC">
              <w:rPr>
                <w:rFonts w:asciiTheme="minorHAnsi" w:hAnsiTheme="minorHAnsi" w:cstheme="minorHAnsi"/>
                <w:b/>
                <w:sz w:val="20"/>
                <w:szCs w:val="20"/>
              </w:rPr>
              <w:t>1 658</w:t>
            </w:r>
          </w:p>
        </w:tc>
      </w:tr>
      <w:tr w:rsidR="00F5304E" w:rsidRPr="00CD69B7" w14:paraId="1BFD70E6" w14:textId="5470F2E9" w:rsidTr="00223BAC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F5304E" w:rsidRPr="00CD69B7" w:rsidRDefault="00F5304E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7325E7C3" w:rsidR="00F5304E" w:rsidRPr="00223BAC" w:rsidRDefault="00D57927" w:rsidP="00CD69B7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BAC">
              <w:rPr>
                <w:rFonts w:asciiTheme="minorHAnsi" w:hAnsiTheme="minorHAnsi" w:cstheme="minorHAnsi"/>
                <w:b/>
                <w:sz w:val="20"/>
                <w:szCs w:val="20"/>
              </w:rPr>
              <w:t>11 606</w:t>
            </w:r>
          </w:p>
        </w:tc>
      </w:tr>
      <w:tr w:rsidR="00F5304E" w:rsidRPr="00CD69B7" w14:paraId="57C9BE65" w14:textId="51650BA6" w:rsidTr="00223BAC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F5304E" w:rsidRPr="00CD69B7" w:rsidRDefault="00F5304E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1E438FC9" w:rsidR="00F5304E" w:rsidRPr="00223BAC" w:rsidRDefault="00D57927" w:rsidP="00CD69B7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BAC">
              <w:rPr>
                <w:rFonts w:asciiTheme="minorHAnsi" w:hAnsiTheme="minorHAnsi" w:cstheme="minorHAnsi"/>
                <w:b/>
                <w:sz w:val="20"/>
                <w:szCs w:val="20"/>
              </w:rPr>
              <w:t>10 155</w:t>
            </w:r>
          </w:p>
        </w:tc>
      </w:tr>
      <w:tr w:rsidR="00F5304E" w:rsidRPr="00CD69B7" w14:paraId="114E9DF2" w14:textId="46BDDEC9" w:rsidTr="00223BAC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F5304E" w:rsidRPr="00CD69B7" w:rsidRDefault="00F5304E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36ED7475" w:rsidR="00F5304E" w:rsidRPr="00223BAC" w:rsidRDefault="00D57927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3BAC">
              <w:rPr>
                <w:rFonts w:asciiTheme="minorHAnsi" w:hAnsiTheme="minorHAnsi" w:cstheme="minorHAnsi"/>
                <w:b/>
                <w:sz w:val="20"/>
                <w:szCs w:val="20"/>
              </w:rPr>
              <w:t>1 451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58147A7F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6D15EF">
        <w:rPr>
          <w:rFonts w:asciiTheme="minorHAnsi" w:hAnsiTheme="minorHAnsi" w:cstheme="minorHAnsi"/>
          <w:sz w:val="20"/>
          <w:szCs w:val="20"/>
        </w:rPr>
        <w:t>3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6FBC30E0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7927">
        <w:rPr>
          <w:rFonts w:cs="Helvetica"/>
          <w:noProof/>
        </w:rPr>
        <w:drawing>
          <wp:inline distT="0" distB="0" distL="0" distR="0" wp14:anchorId="24B3EF2E" wp14:editId="5781BF10">
            <wp:extent cx="2163409" cy="918093"/>
            <wp:effectExtent l="0" t="0" r="8890" b="0"/>
            <wp:docPr id="1" name="obrázek 1" descr="MS UTILITIES &amp; SERVICES a.s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 UTILITIES &amp; SERVICES a.s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532" cy="94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7948A926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010D248F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6D15EF">
        <w:rPr>
          <w:rFonts w:asciiTheme="minorHAnsi" w:hAnsiTheme="minorHAnsi" w:cstheme="minorHAnsi"/>
          <w:b/>
          <w:sz w:val="28"/>
          <w:szCs w:val="28"/>
        </w:rPr>
        <w:t>3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52975"/>
    <w:rsid w:val="00164942"/>
    <w:rsid w:val="001871C4"/>
    <w:rsid w:val="00191F91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223018"/>
    <w:rsid w:val="00223BAC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0C4D"/>
    <w:rsid w:val="004A2FC2"/>
    <w:rsid w:val="004B3B04"/>
    <w:rsid w:val="004B43F5"/>
    <w:rsid w:val="004D6BF2"/>
    <w:rsid w:val="004D711A"/>
    <w:rsid w:val="004E033C"/>
    <w:rsid w:val="004E0E3D"/>
    <w:rsid w:val="004E7558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15EF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60738"/>
    <w:rsid w:val="00873E79"/>
    <w:rsid w:val="00877F43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4598"/>
    <w:rsid w:val="00A3626A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038CA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57927"/>
    <w:rsid w:val="00D66711"/>
    <w:rsid w:val="00D76953"/>
    <w:rsid w:val="00D90BC0"/>
    <w:rsid w:val="00D94D33"/>
    <w:rsid w:val="00D96C3A"/>
    <w:rsid w:val="00DB31C6"/>
    <w:rsid w:val="00DB4510"/>
    <w:rsid w:val="00DB66B9"/>
    <w:rsid w:val="00DB7265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827"/>
    <w:rsid w:val="00EB7B18"/>
    <w:rsid w:val="00ED0824"/>
    <w:rsid w:val="00EE267D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1CBC"/>
    <w:rsid w:val="00F523B7"/>
    <w:rsid w:val="00F5304E"/>
    <w:rsid w:val="00F742F7"/>
    <w:rsid w:val="00F824BE"/>
    <w:rsid w:val="00FA1933"/>
    <w:rsid w:val="00FB3C9C"/>
    <w:rsid w:val="00FB6452"/>
    <w:rsid w:val="00FB64A4"/>
    <w:rsid w:val="00FC1646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ms-us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6D346-131C-45A1-A9D3-8E49BCF9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2786</Words>
  <Characters>16444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10</cp:revision>
  <cp:lastPrinted>2023-01-27T09:40:00Z</cp:lastPrinted>
  <dcterms:created xsi:type="dcterms:W3CDTF">2023-01-27T09:01:00Z</dcterms:created>
  <dcterms:modified xsi:type="dcterms:W3CDTF">2023-02-23T09:51:00Z</dcterms:modified>
</cp:coreProperties>
</file>