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3F" w:rsidRPr="001F48F9" w:rsidRDefault="0083493F" w:rsidP="00115D0A">
      <w:pPr>
        <w:pStyle w:val="Zhlav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</w:t>
      </w:r>
      <w:proofErr w:type="spellEnd"/>
      <w:r w:rsidRPr="001F48F9">
        <w:rPr>
          <w:rFonts w:ascii="Arial" w:hAnsi="Arial" w:cs="Arial"/>
        </w:rPr>
        <w:t>. zn.: MDOB/</w:t>
      </w:r>
      <w:r w:rsidRPr="00736845">
        <w:rPr>
          <w:rFonts w:ascii="Arial" w:hAnsi="Arial" w:cs="Arial"/>
          <w:noProof/>
        </w:rPr>
        <w:t>125115/2022/Puč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736845">
        <w:rPr>
          <w:rFonts w:ascii="Arial" w:hAnsi="Arial" w:cs="Arial"/>
          <w:noProof/>
        </w:rPr>
        <w:t>MDOBP009AWNJ</w:t>
      </w:r>
    </w:p>
    <w:p w:rsidR="0083493F" w:rsidRDefault="0083493F" w:rsidP="009146AD">
      <w:pPr>
        <w:pStyle w:val="Nzev"/>
        <w:rPr>
          <w:rFonts w:ascii="Arial" w:hAnsi="Arial" w:cs="Arial"/>
          <w:sz w:val="24"/>
          <w:szCs w:val="24"/>
        </w:rPr>
      </w:pPr>
    </w:p>
    <w:p w:rsidR="0083493F" w:rsidRDefault="0083493F" w:rsidP="009146AD">
      <w:pPr>
        <w:pStyle w:val="Nzev"/>
        <w:rPr>
          <w:rFonts w:ascii="Arial" w:hAnsi="Arial" w:cs="Arial"/>
          <w:sz w:val="24"/>
          <w:szCs w:val="24"/>
        </w:rPr>
      </w:pPr>
    </w:p>
    <w:p w:rsidR="0083493F" w:rsidRPr="00B3500E" w:rsidRDefault="0083493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83493F" w:rsidRPr="00B3500E" w:rsidRDefault="0083493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83493F" w:rsidRPr="00E81C37" w:rsidRDefault="0083493F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736845">
        <w:rPr>
          <w:rFonts w:ascii="Arial" w:hAnsi="Arial" w:cs="Arial"/>
          <w:noProof/>
          <w:sz w:val="24"/>
          <w:szCs w:val="24"/>
        </w:rPr>
        <w:t>5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83493F" w:rsidRPr="00E81C37" w:rsidRDefault="0083493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3493F" w:rsidRPr="00E81C37" w:rsidRDefault="0083493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83493F" w:rsidRPr="00E81C37" w:rsidRDefault="0083493F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182-521732389/0800</w:t>
      </w:r>
    </w:p>
    <w:p w:rsidR="0083493F" w:rsidRPr="00E81C37" w:rsidRDefault="0083493F" w:rsidP="00B3500E">
      <w:pPr>
        <w:rPr>
          <w:rFonts w:ascii="Arial" w:hAnsi="Arial" w:cs="Arial"/>
          <w:b/>
          <w:sz w:val="22"/>
          <w:szCs w:val="22"/>
        </w:rPr>
      </w:pPr>
    </w:p>
    <w:p w:rsidR="0083493F" w:rsidRPr="003867FD" w:rsidRDefault="0083493F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83493F" w:rsidRPr="00E81C37" w:rsidRDefault="0083493F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83493F" w:rsidRPr="00E81C37" w:rsidRDefault="0083493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Dobříšský divadelní spolek KRUH, z. s.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Mírové náměstí 68</w:t>
      </w:r>
      <w:r>
        <w:rPr>
          <w:rFonts w:ascii="Arial" w:hAnsi="Arial" w:cs="Arial"/>
          <w:sz w:val="22"/>
          <w:szCs w:val="22"/>
        </w:rPr>
        <w:t xml:space="preserve">, </w:t>
      </w:r>
      <w:r w:rsidRPr="00736845">
        <w:rPr>
          <w:rFonts w:ascii="Arial" w:hAnsi="Arial" w:cs="Arial"/>
          <w:noProof/>
          <w:sz w:val="22"/>
          <w:szCs w:val="22"/>
        </w:rPr>
        <w:t>263 01 Dobříš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MUDr. Lenka Kroužecká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22905308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Česká spořitelna, a. s.</w:t>
      </w:r>
    </w:p>
    <w:p w:rsidR="0083493F" w:rsidRPr="00E81C37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83493F" w:rsidRPr="00B3500E" w:rsidRDefault="0083493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83493F" w:rsidRPr="00B3500E" w:rsidRDefault="0083493F" w:rsidP="00B3500E">
      <w:pPr>
        <w:jc w:val="both"/>
        <w:rPr>
          <w:rFonts w:ascii="Arial" w:hAnsi="Arial" w:cs="Arial"/>
          <w:sz w:val="22"/>
          <w:szCs w:val="22"/>
        </w:rPr>
      </w:pPr>
    </w:p>
    <w:p w:rsidR="0083493F" w:rsidRDefault="0083493F" w:rsidP="00B3500E">
      <w:pPr>
        <w:rPr>
          <w:rFonts w:ascii="Arial" w:hAnsi="Arial" w:cs="Arial"/>
          <w:b/>
          <w:bCs/>
          <w:sz w:val="22"/>
          <w:szCs w:val="22"/>
        </w:rPr>
      </w:pPr>
    </w:p>
    <w:p w:rsidR="0083493F" w:rsidRDefault="0083493F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09.11.2022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83493F" w:rsidRDefault="0083493F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83493F" w:rsidRPr="00074312" w:rsidRDefault="0083493F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83493F" w:rsidRPr="00B3500E" w:rsidRDefault="0083493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3493F" w:rsidRPr="00B3500E" w:rsidRDefault="0083493F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3493F" w:rsidRPr="00B3500E" w:rsidRDefault="0083493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83493F" w:rsidRPr="00B3500E" w:rsidRDefault="0083493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736845">
        <w:rPr>
          <w:rFonts w:ascii="Arial" w:hAnsi="Arial" w:cs="Arial"/>
          <w:noProof/>
          <w:sz w:val="22"/>
          <w:szCs w:val="22"/>
        </w:rPr>
        <w:t>09.11.2022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736845">
        <w:rPr>
          <w:rFonts w:ascii="Arial" w:hAnsi="Arial" w:cs="Arial"/>
          <w:noProof/>
          <w:sz w:val="22"/>
          <w:szCs w:val="22"/>
        </w:rPr>
        <w:t>divadelní činnost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83493F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83493F" w:rsidRPr="00B3500E" w:rsidRDefault="0083493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83493F" w:rsidRPr="00B3500E" w:rsidRDefault="0083493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83493F" w:rsidRPr="0017556A" w:rsidRDefault="0083493F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736845">
        <w:rPr>
          <w:rFonts w:ascii="Arial" w:hAnsi="Arial" w:cs="Arial"/>
          <w:noProof/>
          <w:sz w:val="22"/>
          <w:szCs w:val="22"/>
        </w:rPr>
        <w:t>MUDr. Lenka Kroužecká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83493F" w:rsidRDefault="0083493F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83493F" w:rsidRPr="00115D0A" w:rsidRDefault="0083493F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lastRenderedPageBreak/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0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83493F" w:rsidRPr="00074312" w:rsidRDefault="0083493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83493F" w:rsidRPr="00B3500E" w:rsidRDefault="0083493F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3493F" w:rsidRPr="00B3500E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83493F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83493F" w:rsidRPr="00B3500E" w:rsidRDefault="0083493F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83493F" w:rsidRPr="00B3500E" w:rsidRDefault="0083493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83493F" w:rsidRPr="00B3500E" w:rsidRDefault="0083493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83493F" w:rsidRPr="00B3500E" w:rsidRDefault="0083493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493F" w:rsidRPr="00B3500E" w:rsidRDefault="0083493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83493F" w:rsidRPr="00B3500E" w:rsidRDefault="0083493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83493F" w:rsidRPr="00B3500E" w:rsidRDefault="0083493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83493F" w:rsidRPr="00B3500E" w:rsidRDefault="0083493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83493F" w:rsidRPr="00B3500E" w:rsidRDefault="0083493F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83493F" w:rsidRDefault="0083493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83493F" w:rsidRDefault="0083493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83493F" w:rsidRDefault="0083493F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83493F" w:rsidRPr="00B3500E" w:rsidRDefault="0083493F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3493F" w:rsidRPr="00B3500E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83493F" w:rsidRPr="003D387D" w:rsidRDefault="0083493F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53.591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padesát tři tisíc pět set devadesát jedna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83493F" w:rsidRPr="003D387D" w:rsidRDefault="0083493F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83493F" w:rsidRDefault="0083493F" w:rsidP="001E1D2B">
      <w:pPr>
        <w:jc w:val="both"/>
        <w:rPr>
          <w:rFonts w:ascii="Arial" w:hAnsi="Arial" w:cs="Arial"/>
          <w:sz w:val="22"/>
          <w:szCs w:val="22"/>
        </w:rPr>
      </w:pP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83493F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83493F" w:rsidRPr="003D387D" w:rsidRDefault="0083493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83493F" w:rsidRPr="00894F5E" w:rsidRDefault="0083493F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83493F" w:rsidRPr="00F06A10" w:rsidRDefault="0083493F" w:rsidP="001E1D2B">
      <w:pPr>
        <w:rPr>
          <w:b/>
        </w:rPr>
      </w:pP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83493F" w:rsidRPr="003D387D" w:rsidRDefault="0083493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83493F" w:rsidRDefault="0083493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83493F" w:rsidRPr="0066502A" w:rsidRDefault="0083493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83493F" w:rsidRPr="0066502A" w:rsidRDefault="0083493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83493F" w:rsidRPr="0066502A" w:rsidRDefault="0083493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83493F" w:rsidRPr="0066502A" w:rsidRDefault="0083493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83493F" w:rsidRDefault="0083493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493F" w:rsidRDefault="0083493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83493F" w:rsidRPr="007538D1" w:rsidRDefault="0083493F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83493F" w:rsidRDefault="0083493F" w:rsidP="001E1D2B">
      <w:pPr>
        <w:jc w:val="center"/>
        <w:rPr>
          <w:b/>
        </w:rPr>
      </w:pP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83493F" w:rsidRPr="003D387D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83493F" w:rsidRPr="003D387D" w:rsidRDefault="0083493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83493F" w:rsidRPr="003D387D" w:rsidRDefault="0083493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83493F" w:rsidRPr="003D387D" w:rsidRDefault="0083493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83493F" w:rsidRDefault="0083493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83493F" w:rsidRDefault="0083493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83493F" w:rsidRDefault="0083493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83493F" w:rsidRDefault="0083493F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83493F" w:rsidRDefault="0083493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83493F" w:rsidRPr="00A874F9" w:rsidRDefault="0083493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83493F" w:rsidRPr="0091011E" w:rsidRDefault="0083493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83493F" w:rsidRPr="0091011E" w:rsidRDefault="0083493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83493F" w:rsidRPr="00A539BB" w:rsidRDefault="0083493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83493F" w:rsidRPr="00A539BB" w:rsidRDefault="0083493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83493F" w:rsidRPr="00593DCD" w:rsidRDefault="0083493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83493F" w:rsidRPr="0091011E" w:rsidRDefault="0083493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83493F" w:rsidRPr="0091011E" w:rsidRDefault="0083493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83493F" w:rsidRPr="0091011E" w:rsidRDefault="0083493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83493F" w:rsidRPr="0091011E" w:rsidRDefault="0083493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83493F" w:rsidRPr="0091011E" w:rsidRDefault="0083493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83493F" w:rsidRPr="0091011E" w:rsidRDefault="0083493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83493F" w:rsidRPr="0091011E" w:rsidRDefault="0083493F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83493F" w:rsidRPr="003D387D" w:rsidRDefault="0083493F" w:rsidP="001E1D2B">
      <w:pPr>
        <w:jc w:val="both"/>
        <w:rPr>
          <w:rFonts w:ascii="Arial" w:hAnsi="Arial" w:cs="Arial"/>
          <w:sz w:val="22"/>
          <w:szCs w:val="22"/>
        </w:rPr>
      </w:pPr>
    </w:p>
    <w:p w:rsidR="0083493F" w:rsidRPr="0091011E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83493F" w:rsidRPr="0091011E" w:rsidRDefault="0083493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83493F" w:rsidRPr="0091011E" w:rsidRDefault="0083493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83493F" w:rsidRDefault="0083493F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83493F" w:rsidRDefault="0083493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83493F" w:rsidRPr="00B3500E" w:rsidRDefault="0083493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20.02.2023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79258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792581">
        <w:rPr>
          <w:rFonts w:ascii="Arial" w:hAnsi="Arial" w:cs="Arial"/>
          <w:sz w:val="22"/>
          <w:szCs w:val="22"/>
        </w:rPr>
        <w:t xml:space="preserve"> 22.02.2023</w:t>
      </w:r>
    </w:p>
    <w:p w:rsidR="0083493F" w:rsidRPr="00B3500E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Pr="00B3500E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Pr="00B3500E" w:rsidRDefault="0083493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83493F" w:rsidRDefault="0083493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792581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MUDr. Lenka Kroužecká</w:t>
      </w:r>
      <w:r w:rsidR="00792581">
        <w:rPr>
          <w:rFonts w:ascii="Arial" w:hAnsi="Arial" w:cs="Arial"/>
          <w:noProof/>
          <w:sz w:val="22"/>
          <w:szCs w:val="22"/>
        </w:rPr>
        <w:t xml:space="preserve"> v. r. </w:t>
      </w:r>
    </w:p>
    <w:p w:rsidR="0083493F" w:rsidRDefault="0083493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předsedkyně spolku</w:t>
      </w:r>
    </w:p>
    <w:p w:rsidR="0083493F" w:rsidRDefault="0083493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83493F" w:rsidSect="0083493F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83493F" w:rsidRPr="00B3500E" w:rsidRDefault="0083493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83493F" w:rsidRPr="00B3500E" w:rsidSect="0083493F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3F" w:rsidRDefault="0083493F" w:rsidP="00DF0B8A">
      <w:r>
        <w:separator/>
      </w:r>
    </w:p>
  </w:endnote>
  <w:endnote w:type="continuationSeparator" w:id="0">
    <w:p w:rsidR="0083493F" w:rsidRDefault="0083493F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3F" w:rsidRPr="00E91194" w:rsidRDefault="0083493F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905F21">
      <w:rPr>
        <w:rFonts w:ascii="Arial" w:hAnsi="Arial" w:cs="Arial"/>
        <w:b/>
        <w:bCs/>
        <w:noProof/>
      </w:rPr>
      <w:t>4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905F2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8" w:rsidRPr="00E91194" w:rsidRDefault="00987F18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83493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83493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3F" w:rsidRDefault="0083493F" w:rsidP="00DF0B8A">
      <w:r>
        <w:separator/>
      </w:r>
    </w:p>
  </w:footnote>
  <w:footnote w:type="continuationSeparator" w:id="0">
    <w:p w:rsidR="0083493F" w:rsidRDefault="0083493F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B656B"/>
    <w:rsid w:val="000D2F69"/>
    <w:rsid w:val="000E1001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3E1E54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50E4"/>
    <w:rsid w:val="004E6B08"/>
    <w:rsid w:val="004F351B"/>
    <w:rsid w:val="00503AFF"/>
    <w:rsid w:val="00504A1E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2581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3344F"/>
    <w:rsid w:val="0083493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E0114"/>
    <w:rsid w:val="008E0728"/>
    <w:rsid w:val="008E46EC"/>
    <w:rsid w:val="00905F21"/>
    <w:rsid w:val="0091011E"/>
    <w:rsid w:val="009138B4"/>
    <w:rsid w:val="009146AD"/>
    <w:rsid w:val="00941BC8"/>
    <w:rsid w:val="009432D8"/>
    <w:rsid w:val="009460A4"/>
    <w:rsid w:val="009553C9"/>
    <w:rsid w:val="009674DE"/>
    <w:rsid w:val="00987F18"/>
    <w:rsid w:val="00995F58"/>
    <w:rsid w:val="0099764C"/>
    <w:rsid w:val="009B2837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34376"/>
    <w:rsid w:val="00C369CF"/>
    <w:rsid w:val="00C42D86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B35DF"/>
    <w:rsid w:val="00DB683A"/>
    <w:rsid w:val="00DC2F1E"/>
    <w:rsid w:val="00DF0306"/>
    <w:rsid w:val="00DF0ACC"/>
    <w:rsid w:val="00DF0B8A"/>
    <w:rsid w:val="00DF270D"/>
    <w:rsid w:val="00E15736"/>
    <w:rsid w:val="00E31A0F"/>
    <w:rsid w:val="00E35F3E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1172C5"/>
  <w15:chartTrackingRefBased/>
  <w15:docId w15:val="{C9ADD734-56EA-4CF9-B18F-CE47896B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stodobris.cz/assets/File.ashx?id_org=2796&amp;id_dokumenty=487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33089-C35F-46B1-923D-99BE0DFE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2984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19835</CharactersWithSpaces>
  <SharedDoc>false</SharedDoc>
  <HLinks>
    <vt:vector size="18" baseType="variant">
      <vt:variant>
        <vt:i4>262153</vt:i4>
      </vt:variant>
      <vt:variant>
        <vt:i4>60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57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48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2021-09-29T20:37:00Z</cp:lastPrinted>
  <dcterms:created xsi:type="dcterms:W3CDTF">2023-02-23T09:33:00Z</dcterms:created>
  <dcterms:modified xsi:type="dcterms:W3CDTF">2023-02-23T09:33:00Z</dcterms:modified>
</cp:coreProperties>
</file>