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1360" w14:textId="77777777" w:rsidR="005B2E3C" w:rsidRDefault="00000000">
      <w:pPr>
        <w:spacing w:after="180"/>
        <w:rPr>
          <w:rFonts w:ascii="Times New Roman" w:hAnsi="Times New Roman"/>
          <w:b/>
          <w:color w:val="000000"/>
          <w:spacing w:val="-3"/>
          <w:sz w:val="28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8"/>
          <w:lang w:val="cs-CZ"/>
        </w:rPr>
        <w:t>Nekonání a odřeknutí vystoupení</w:t>
      </w:r>
    </w:p>
    <w:p w14:paraId="64EA2549" w14:textId="77777777" w:rsidR="005B2E3C" w:rsidRDefault="005B2E3C">
      <w:pPr>
        <w:sectPr w:rsidR="005B2E3C">
          <w:pgSz w:w="10021" w:h="14173"/>
          <w:pgMar w:top="692" w:right="3341" w:bottom="3851" w:left="2620" w:header="720" w:footer="720" w:gutter="0"/>
          <w:cols w:space="708"/>
        </w:sectPr>
      </w:pPr>
    </w:p>
    <w:p w14:paraId="05A55271" w14:textId="77777777" w:rsidR="005B2E3C" w:rsidRDefault="00000000">
      <w:pPr>
        <w:ind w:right="360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sz w:val="23"/>
          <w:lang w:val="cs-CZ"/>
        </w:rPr>
        <w:t>I/ Bude-li vystoupení znemožněno v důsledku nepředvídatelná události ležící mimo smlouvu (</w:t>
      </w:r>
      <w:proofErr w:type="spellStart"/>
      <w:r>
        <w:rPr>
          <w:rFonts w:ascii="Times New Roman" w:hAnsi="Times New Roman"/>
          <w:color w:val="000000"/>
          <w:spacing w:val="-5"/>
          <w:sz w:val="23"/>
          <w:lang w:val="cs-CZ"/>
        </w:rPr>
        <w:t>vyšši</w:t>
      </w:r>
      <w:proofErr w:type="spellEnd"/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pacing w:val="-7"/>
          <w:sz w:val="23"/>
          <w:lang w:val="cs-CZ"/>
        </w:rPr>
        <w:t xml:space="preserve">moc – přírodní katastrofa, úraz, </w:t>
      </w:r>
      <w:proofErr w:type="spellStart"/>
      <w:r>
        <w:rPr>
          <w:rFonts w:ascii="Times New Roman" w:hAnsi="Times New Roman"/>
          <w:color w:val="000000"/>
          <w:spacing w:val="-7"/>
          <w:sz w:val="23"/>
          <w:lang w:val="cs-CZ"/>
        </w:rPr>
        <w:t>náhla</w:t>
      </w:r>
      <w:proofErr w:type="spellEnd"/>
      <w:r>
        <w:rPr>
          <w:rFonts w:ascii="Times New Roman" w:hAnsi="Times New Roman"/>
          <w:color w:val="000000"/>
          <w:spacing w:val="-7"/>
          <w:sz w:val="23"/>
          <w:lang w:val="cs-CZ"/>
        </w:rPr>
        <w:t xml:space="preserve"> nemoc, úmrtní, havárie) mají obě strany právo odstoupit od 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 xml:space="preserve">smlouvy bez jakýchkoli nároků na finanční úhradu škody, avšak po předchozím průkazném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vyrozumění. V takovém případě každá strana nese náklady vyplývající z výše </w:t>
      </w:r>
      <w:proofErr w:type="spellStart"/>
      <w:r>
        <w:rPr>
          <w:rFonts w:ascii="Times New Roman" w:hAnsi="Times New Roman"/>
          <w:color w:val="000000"/>
          <w:spacing w:val="-4"/>
          <w:sz w:val="23"/>
          <w:lang w:val="cs-CZ"/>
        </w:rPr>
        <w:t>uvedench</w:t>
      </w:r>
      <w:proofErr w:type="spellEnd"/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 povinnosti.</w:t>
      </w:r>
    </w:p>
    <w:p w14:paraId="32586243" w14:textId="77777777" w:rsidR="005B2E3C" w:rsidRDefault="00000000">
      <w:pPr>
        <w:spacing w:before="180"/>
        <w:ind w:left="792" w:right="28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2/ Pořadatel může odstoupit od smlouvy bez udání důvodu nejpozději do </w:t>
      </w: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60 dnů před </w:t>
      </w: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datem vystoupení. </w:t>
      </w:r>
      <w:proofErr w:type="spellStart"/>
      <w:r>
        <w:rPr>
          <w:rFonts w:ascii="Times New Roman" w:hAnsi="Times New Roman"/>
          <w:color w:val="000000"/>
          <w:spacing w:val="-5"/>
          <w:sz w:val="23"/>
          <w:lang w:val="cs-CZ"/>
        </w:rPr>
        <w:t>Zruši-li</w:t>
      </w:r>
      <w:proofErr w:type="spellEnd"/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 pořadatel vystoupení z jiného </w:t>
      </w:r>
      <w:proofErr w:type="gramStart"/>
      <w:r>
        <w:rPr>
          <w:rFonts w:ascii="Times New Roman" w:hAnsi="Times New Roman"/>
          <w:color w:val="000000"/>
          <w:spacing w:val="-5"/>
          <w:sz w:val="23"/>
          <w:lang w:val="cs-CZ"/>
        </w:rPr>
        <w:t>důvodu</w:t>
      </w:r>
      <w:proofErr w:type="gramEnd"/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 než je uvedeno v prvním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>bodě tohoto článku, je povinen vyplatit účinkujícímu honorář</w:t>
      </w:r>
    </w:p>
    <w:p w14:paraId="03BE7A70" w14:textId="77777777" w:rsidR="005B2E3C" w:rsidRDefault="00000000">
      <w:pPr>
        <w:numPr>
          <w:ilvl w:val="0"/>
          <w:numId w:val="1"/>
        </w:numPr>
        <w:tabs>
          <w:tab w:val="clear" w:pos="216"/>
          <w:tab w:val="decimal" w:pos="1080"/>
        </w:tabs>
        <w:spacing w:before="180"/>
        <w:ind w:left="864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v </w:t>
      </w:r>
      <w:proofErr w:type="spellStart"/>
      <w:r>
        <w:rPr>
          <w:rFonts w:ascii="Times New Roman" w:hAnsi="Times New Roman"/>
          <w:color w:val="000000"/>
          <w:spacing w:val="-6"/>
          <w:sz w:val="23"/>
          <w:lang w:val="cs-CZ"/>
        </w:rPr>
        <w:t>piné</w:t>
      </w:r>
      <w:proofErr w:type="spellEnd"/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3"/>
          <w:lang w:val="cs-CZ"/>
        </w:rPr>
        <w:t>výši</w:t>
      </w:r>
      <w:proofErr w:type="gramEnd"/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 pokud ruší koncert 20 dnů před datem konáni a méně</w:t>
      </w:r>
    </w:p>
    <w:p w14:paraId="3D6BC2D9" w14:textId="77777777" w:rsidR="005B2E3C" w:rsidRDefault="00000000">
      <w:pPr>
        <w:numPr>
          <w:ilvl w:val="0"/>
          <w:numId w:val="1"/>
        </w:numPr>
        <w:tabs>
          <w:tab w:val="clear" w:pos="216"/>
          <w:tab w:val="decimal" w:pos="1080"/>
        </w:tabs>
        <w:ind w:left="864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50 % pokud ruší koncert </w:t>
      </w:r>
      <w:proofErr w:type="gramStart"/>
      <w:r>
        <w:rPr>
          <w:rFonts w:ascii="Times New Roman" w:hAnsi="Times New Roman"/>
          <w:color w:val="000000"/>
          <w:spacing w:val="-6"/>
          <w:sz w:val="23"/>
          <w:lang w:val="cs-CZ"/>
        </w:rPr>
        <w:t>20– 30</w:t>
      </w:r>
      <w:proofErr w:type="gramEnd"/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 dnů před datem konání</w:t>
      </w:r>
    </w:p>
    <w:p w14:paraId="6A1EE675" w14:textId="77777777" w:rsidR="005B2E3C" w:rsidRDefault="00000000">
      <w:pPr>
        <w:numPr>
          <w:ilvl w:val="0"/>
          <w:numId w:val="1"/>
        </w:numPr>
        <w:tabs>
          <w:tab w:val="clear" w:pos="216"/>
          <w:tab w:val="decimal" w:pos="1080"/>
        </w:tabs>
        <w:ind w:left="864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30 %pokud ruší koncert </w:t>
      </w:r>
      <w:proofErr w:type="gramStart"/>
      <w:r>
        <w:rPr>
          <w:rFonts w:ascii="Times New Roman" w:hAnsi="Times New Roman"/>
          <w:color w:val="000000"/>
          <w:spacing w:val="-5"/>
          <w:sz w:val="23"/>
          <w:lang w:val="cs-CZ"/>
        </w:rPr>
        <w:t>30 – 60</w:t>
      </w:r>
      <w:proofErr w:type="gramEnd"/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 dnů před datem konáni</w:t>
      </w:r>
    </w:p>
    <w:p w14:paraId="3E7BF85C" w14:textId="77777777" w:rsidR="005B2E3C" w:rsidRDefault="00000000">
      <w:pPr>
        <w:spacing w:before="252"/>
        <w:ind w:left="792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3/ Návštěvnost nemá vliv na výši honoráře.</w:t>
      </w:r>
    </w:p>
    <w:p w14:paraId="34F3C3CE" w14:textId="77777777" w:rsidR="005B2E3C" w:rsidRDefault="00000000">
      <w:pPr>
        <w:spacing w:before="720"/>
        <w:ind w:left="792"/>
        <w:rPr>
          <w:rFonts w:ascii="Tahoma" w:hAnsi="Tahoma"/>
          <w:color w:val="000000"/>
          <w:spacing w:val="2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t xml:space="preserve">4/ Zruší-li agentura smluvně potvrzený koncert 21 a méně dnů před datem konání koncertu, </w:t>
      </w:r>
      <w:r>
        <w:rPr>
          <w:rFonts w:ascii="Tahoma" w:hAnsi="Tahoma"/>
          <w:color w:val="000000"/>
          <w:spacing w:val="4"/>
          <w:sz w:val="19"/>
          <w:lang w:val="cs-CZ"/>
        </w:rPr>
        <w:t xml:space="preserve">bez řádně doložených důvodů (nemoc, </w:t>
      </w:r>
      <w:proofErr w:type="gramStart"/>
      <w:r>
        <w:rPr>
          <w:rFonts w:ascii="Tahoma" w:hAnsi="Tahoma"/>
          <w:color w:val="000000"/>
          <w:spacing w:val="4"/>
          <w:sz w:val="19"/>
          <w:lang w:val="cs-CZ"/>
        </w:rPr>
        <w:t>úraz,</w:t>
      </w:r>
      <w:proofErr w:type="gramEnd"/>
      <w:r>
        <w:rPr>
          <w:rFonts w:ascii="Tahoma" w:hAnsi="Tahoma"/>
          <w:color w:val="000000"/>
          <w:spacing w:val="4"/>
          <w:sz w:val="19"/>
          <w:lang w:val="cs-CZ"/>
        </w:rPr>
        <w:t xml:space="preserve"> apod.), je povinna uhradit pořadateli veškeré do té doby vynaložená a doložené náklady na koncert, maximálně do výše smluveného honoráře.</w:t>
      </w:r>
    </w:p>
    <w:p w14:paraId="06AB7C46" w14:textId="77777777" w:rsidR="005B2E3C" w:rsidRDefault="00000000">
      <w:pPr>
        <w:spacing w:before="288"/>
        <w:ind w:left="792" w:right="1008"/>
        <w:rPr>
          <w:rFonts w:ascii="Tahoma" w:hAnsi="Tahoma"/>
          <w:color w:val="000000"/>
          <w:spacing w:val="-1"/>
          <w:sz w:val="19"/>
          <w:lang w:val="cs-CZ"/>
        </w:rPr>
      </w:pPr>
      <w:r>
        <w:rPr>
          <w:rFonts w:ascii="Tahoma" w:hAnsi="Tahoma"/>
          <w:color w:val="000000"/>
          <w:spacing w:val="-1"/>
          <w:sz w:val="19"/>
          <w:lang w:val="cs-CZ"/>
        </w:rPr>
        <w:t xml:space="preserve">5/ </w:t>
      </w:r>
      <w:proofErr w:type="spellStart"/>
      <w:r>
        <w:rPr>
          <w:rFonts w:ascii="Tahoma" w:hAnsi="Tahoma"/>
          <w:color w:val="000000"/>
          <w:spacing w:val="-1"/>
          <w:sz w:val="19"/>
          <w:lang w:val="cs-CZ"/>
        </w:rPr>
        <w:t>Zruši-li</w:t>
      </w:r>
      <w:proofErr w:type="spellEnd"/>
      <w:r>
        <w:rPr>
          <w:rFonts w:ascii="Tahoma" w:hAnsi="Tahoma"/>
          <w:color w:val="000000"/>
          <w:spacing w:val="-1"/>
          <w:sz w:val="19"/>
          <w:lang w:val="cs-CZ"/>
        </w:rPr>
        <w:t xml:space="preserve"> agentura smluvně potvrzený koncert, obratem navrátí pořadateli smluvně </w:t>
      </w:r>
      <w:r>
        <w:rPr>
          <w:rFonts w:ascii="Tahoma" w:hAnsi="Tahoma"/>
          <w:color w:val="000000"/>
          <w:spacing w:val="2"/>
          <w:sz w:val="19"/>
          <w:lang w:val="cs-CZ"/>
        </w:rPr>
        <w:t>dohodnutou částku za koncert, pokud ji pořadatel již agentuře uhradil.</w:t>
      </w:r>
    </w:p>
    <w:p w14:paraId="7BCB3303" w14:textId="77777777" w:rsidR="005B2E3C" w:rsidRDefault="00000000">
      <w:pPr>
        <w:spacing w:before="252" w:after="108"/>
        <w:ind w:left="792" w:right="576"/>
        <w:rPr>
          <w:rFonts w:ascii="Tahoma" w:hAnsi="Tahoma"/>
          <w:color w:val="000000"/>
          <w:spacing w:val="2"/>
          <w:sz w:val="19"/>
          <w:lang w:val="cs-CZ"/>
        </w:rPr>
      </w:pPr>
      <w:r>
        <w:rPr>
          <w:rFonts w:ascii="Tahoma" w:hAnsi="Tahoma"/>
          <w:color w:val="000000"/>
          <w:spacing w:val="2"/>
          <w:sz w:val="19"/>
          <w:lang w:val="cs-CZ"/>
        </w:rPr>
        <w:t>Po oboustranném podpisu se tato smlouva stává závaznou a je vypověditelná pouze po dohodě smluvních stran, a to pouze písemnou formou.</w:t>
      </w:r>
    </w:p>
    <w:p w14:paraId="3D70F306" w14:textId="77777777" w:rsidR="005B2E3C" w:rsidRDefault="005B2E3C">
      <w:pPr>
        <w:sectPr w:rsidR="005B2E3C">
          <w:type w:val="continuous"/>
          <w:pgSz w:w="10021" w:h="14173"/>
          <w:pgMar w:top="692" w:right="370" w:bottom="3851" w:left="43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</w:tblGrid>
      <w:tr w:rsidR="00034647" w14:paraId="3CB466A3" w14:textId="77777777" w:rsidTr="00A1490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975" w:type="dxa"/>
            <w:tcBorders>
              <w:top w:val="none" w:sz="0" w:space="0" w:color="000000"/>
              <w:left w:val="none" w:sz="0" w:space="0" w:color="000000"/>
              <w:bottom w:val="dotted" w:sz="14" w:space="0" w:color="000000"/>
              <w:right w:val="none" w:sz="0" w:space="0" w:color="000000"/>
            </w:tcBorders>
          </w:tcPr>
          <w:p w14:paraId="46F4E9A6" w14:textId="77777777" w:rsidR="00034647" w:rsidRDefault="00034647" w:rsidP="00A1490B"/>
        </w:tc>
      </w:tr>
      <w:tr w:rsidR="00034647" w14:paraId="72CDEEFD" w14:textId="77777777" w:rsidTr="00A1490B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2975" w:type="dxa"/>
            <w:tcBorders>
              <w:top w:val="dotted" w:sz="1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D2532E" w14:textId="1B295D87" w:rsidR="00034647" w:rsidRDefault="00034647" w:rsidP="00034647">
            <w:pPr>
              <w:ind w:right="484"/>
              <w:rPr>
                <w:rFonts w:ascii="Times New Roman" w:hAnsi="Times New Roman"/>
                <w:b/>
                <w:color w:val="000000"/>
                <w:spacing w:val="-8"/>
                <w:sz w:val="2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lang w:val="cs-CZ"/>
              </w:rPr>
              <w:t xml:space="preserve">Za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lang w:val="cs-CZ"/>
              </w:rPr>
              <w:t>zastupující agenturu</w:t>
            </w:r>
          </w:p>
        </w:tc>
      </w:tr>
    </w:tbl>
    <w:p w14:paraId="31280D9D" w14:textId="0F9C1A19" w:rsidR="005B2E3C" w:rsidRDefault="00000000" w:rsidP="00034647">
      <w:pPr>
        <w:spacing w:before="72" w:line="135" w:lineRule="exact"/>
        <w:rPr>
          <w:rFonts w:ascii="Tahoma" w:hAnsi="Tahoma"/>
          <w:color w:val="0A7AAC"/>
          <w:spacing w:val="-16"/>
          <w:sz w:val="16"/>
          <w:lang w:val="cs-CZ"/>
        </w:rPr>
      </w:pPr>
      <w:r>
        <w:pict w14:anchorId="6F2AD57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61.15pt;margin-top:390.45pt;width:208.1pt;height:32.75pt;z-index:-251660288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262505F3" w14:textId="77777777" w:rsidR="005B2E3C" w:rsidRDefault="00000000">
                  <w:pPr>
                    <w:spacing w:before="216" w:line="188" w:lineRule="exact"/>
                    <w:rPr>
                      <w:rFonts w:ascii="Tahoma" w:hAnsi="Tahoma"/>
                      <w:color w:val="000000"/>
                      <w:spacing w:val="1"/>
                      <w:sz w:val="19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color w:val="000000"/>
                      <w:spacing w:val="1"/>
                      <w:sz w:val="19"/>
                      <w:lang w:val="cs-CZ"/>
                    </w:rPr>
                    <w:t>Potvrzenoukopii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1"/>
                      <w:sz w:val="19"/>
                      <w:lang w:val="cs-CZ"/>
                    </w:rPr>
                    <w:t xml:space="preserve"> zašlete oskenovanou </w:t>
                  </w:r>
                  <w:r>
                    <w:rPr>
                      <w:rFonts w:ascii="Tahoma" w:hAnsi="Tahoma"/>
                      <w:color w:val="000000"/>
                      <w:spacing w:val="11"/>
                      <w:w w:val="105"/>
                      <w:sz w:val="21"/>
                      <w:lang w:val="cs-CZ"/>
                    </w:rPr>
                    <w:t>mailem.</w:t>
                  </w:r>
                </w:p>
              </w:txbxContent>
            </v:textbox>
            <w10:wrap type="square" anchorx="page" anchory="page"/>
          </v:shape>
        </w:pict>
      </w:r>
      <w:r>
        <w:pict w14:anchorId="665C38B5">
          <v:shape id="_x0000_s1027" type="#_x0000_t202" style="position:absolute;margin-left:223.55pt;margin-top:423.2pt;width:256pt;height:76.3pt;z-index:-251658240;mso-wrap-distance-left:0;mso-wrap-distance-right: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7"/>
                    <w:gridCol w:w="2975"/>
                  </w:tblGrid>
                  <w:tr w:rsidR="005B2E3C" w14:paraId="0DC794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</w:trPr>
                    <w:tc>
                      <w:tcPr>
                        <w:tcW w:w="1677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BFCBD9C" w14:textId="2618E248" w:rsidR="005B2E3C" w:rsidRDefault="005B2E3C">
                        <w:pPr>
                          <w:spacing w:after="36"/>
                          <w:ind w:right="641"/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14" w:space="0" w:color="000000"/>
                          <w:right w:val="none" w:sz="0" w:space="0" w:color="000000"/>
                        </w:tcBorders>
                      </w:tcPr>
                      <w:p w14:paraId="6A02F03F" w14:textId="77777777" w:rsidR="005B2E3C" w:rsidRDefault="005B2E3C"/>
                    </w:tc>
                  </w:tr>
                  <w:tr w:rsidR="005B2E3C" w14:paraId="36E8C6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6"/>
                    </w:trPr>
                    <w:tc>
                      <w:tcPr>
                        <w:tcW w:w="167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C903724" w14:textId="77777777" w:rsidR="005B2E3C" w:rsidRDefault="005B2E3C"/>
                    </w:tc>
                    <w:tc>
                      <w:tcPr>
                        <w:tcW w:w="2975" w:type="dxa"/>
                        <w:tcBorders>
                          <w:top w:val="dotted" w:sz="1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03A047A2" w14:textId="77777777" w:rsidR="005B2E3C" w:rsidRDefault="00000000">
                        <w:pPr>
                          <w:ind w:right="484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28"/>
                            <w:lang w:val="cs-CZ"/>
                          </w:rPr>
                          <w:t>Za pořadatele</w:t>
                        </w:r>
                      </w:p>
                    </w:tc>
                  </w:tr>
                </w:tbl>
                <w:p w14:paraId="1B0F3761" w14:textId="77777777" w:rsidR="00000000" w:rsidRDefault="00000000"/>
              </w:txbxContent>
            </v:textbox>
            <w10:wrap type="square" anchorx="page" anchory="page"/>
          </v:shape>
        </w:pict>
      </w:r>
    </w:p>
    <w:sectPr w:rsidR="005B2E3C">
      <w:type w:val="continuous"/>
      <w:pgSz w:w="10021" w:h="14173"/>
      <w:pgMar w:top="692" w:right="5893" w:bottom="3851" w:left="11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6B4E"/>
    <w:multiLevelType w:val="multilevel"/>
    <w:tmpl w:val="B4DAB9A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156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3C"/>
    <w:rsid w:val="00034647"/>
    <w:rsid w:val="005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C8BE38"/>
  <w15:docId w15:val="{E53104BF-02D1-4A29-98CE-012B49F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LaRitma</cp:lastModifiedBy>
  <cp:revision>2</cp:revision>
  <dcterms:created xsi:type="dcterms:W3CDTF">2023-02-23T08:30:00Z</dcterms:created>
  <dcterms:modified xsi:type="dcterms:W3CDTF">2023-02-23T08:32:00Z</dcterms:modified>
</cp:coreProperties>
</file>