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840" w:line="240" w:lineRule="auto"/>
        <w:ind w:left="0" w:right="220" w:firstLine="0"/>
        <w:jc w:val="right"/>
      </w:pPr>
      <w:r>
        <w:rPr>
          <w:color w:val="000000"/>
          <w:spacing w:val="0"/>
          <w:w w:val="100"/>
          <w:position w:val="0"/>
          <w:shd w:val="clear" w:color="auto" w:fill="auto"/>
          <w:lang w:val="cs-CZ" w:eastAsia="cs-CZ" w:bidi="cs-CZ"/>
        </w:rPr>
        <w:t>Příloha O2</w:t>
      </w:r>
    </w:p>
    <w:tbl>
      <w:tblPr>
        <w:tblOverlap w:val="never"/>
        <w:jc w:val="left"/>
        <w:tblLayout w:type="fixed"/>
      </w:tblPr>
      <w:tblGrid>
        <w:gridCol w:w="2040"/>
        <w:gridCol w:w="6312"/>
      </w:tblGrid>
      <w:tr>
        <w:trPr>
          <w:trHeight w:val="25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 U P N Í S M L O U V A</w:t>
            </w:r>
          </w:p>
        </w:tc>
      </w:tr>
    </w:tbl>
    <w:p>
      <w:pPr>
        <w:widowControl w:val="0"/>
        <w:spacing w:after="35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 N-DO-16-2022_II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smlouvy prodávajícího: KS_NAKL_2023_00091</w:t>
      </w:r>
    </w:p>
    <w:tbl>
      <w:tblPr>
        <w:tblOverlap w:val="never"/>
        <w:jc w:val="left"/>
        <w:tblLayout w:type="fixed"/>
      </w:tblPr>
      <w:tblGrid>
        <w:gridCol w:w="2040"/>
        <w:gridCol w:w="6317"/>
      </w:tblGrid>
      <w:tr>
        <w:trPr>
          <w:trHeight w:val="61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59"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52" w:lineRule="auto"/>
        <w:ind w:left="0" w:right="0" w:firstLine="0"/>
        <w:jc w:val="left"/>
      </w:pPr>
      <w:r>
        <w:rPr>
          <w:color w:val="000000"/>
          <w:spacing w:val="0"/>
          <w:w w:val="100"/>
          <w:position w:val="0"/>
          <w:shd w:val="clear" w:color="auto" w:fill="auto"/>
          <w:lang w:val="cs-CZ" w:eastAsia="cs-CZ" w:bidi="cs-CZ"/>
        </w:rPr>
        <w:t>(dále jen kupující) a</w:t>
      </w:r>
    </w:p>
    <w:p>
      <w:pPr>
        <w:widowControl w:val="0"/>
        <w:spacing w:after="359" w:line="1" w:lineRule="exact"/>
      </w:pPr>
    </w:p>
    <w:p>
      <w:pPr>
        <w:pStyle w:val="Style12"/>
        <w:keepNext w:val="0"/>
        <w:keepLines w:val="0"/>
        <w:widowControl w:val="0"/>
        <w:shd w:val="clear" w:color="auto" w:fill="auto"/>
        <w:bidi w:val="0"/>
        <w:spacing w:before="0" w:after="0" w:line="552"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40"/>
        <w:gridCol w:w="6312"/>
      </w:tblGrid>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AGROTEC a.s.</w:t>
            </w:r>
          </w:p>
        </w:tc>
      </w:tr>
      <w:tr>
        <w:trPr>
          <w:trHeight w:val="2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74, 693 01 Hustopeče</w:t>
            </w:r>
          </w:p>
        </w:tc>
      </w:tr>
      <w:tr>
        <w:trPr>
          <w:trHeight w:val="264"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Robert Labík, na základě pověření</w:t>
            </w:r>
          </w:p>
        </w:tc>
      </w:tr>
    </w:tbl>
    <w:p>
      <w:pPr>
        <w:pStyle w:val="Style12"/>
        <w:keepNext w:val="0"/>
        <w:keepLines w:val="0"/>
        <w:widowControl w:val="0"/>
        <w:shd w:val="clear" w:color="auto" w:fill="auto"/>
        <w:tabs>
          <w:tab w:pos="2078" w:val="left"/>
        </w:tabs>
        <w:bidi w:val="0"/>
        <w:spacing w:before="0" w:after="0" w:line="276"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B, vložka 138 IČO:</w:t>
        <w:tab/>
        <w:t>00544957</w:t>
      </w:r>
    </w:p>
    <w:p>
      <w:pPr>
        <w:pStyle w:val="Style12"/>
        <w:keepNext w:val="0"/>
        <w:keepLines w:val="0"/>
        <w:widowControl w:val="0"/>
        <w:shd w:val="clear" w:color="auto" w:fill="auto"/>
        <w:tabs>
          <w:tab w:pos="2064" w:val="left"/>
        </w:tabs>
        <w:bidi w:val="0"/>
        <w:spacing w:before="0" w:after="0" w:line="276" w:lineRule="auto"/>
        <w:ind w:left="0" w:right="0" w:firstLine="0"/>
        <w:jc w:val="left"/>
      </w:pPr>
      <w:r>
        <w:rPr>
          <w:color w:val="000000"/>
          <w:spacing w:val="0"/>
          <w:w w:val="100"/>
          <w:position w:val="0"/>
          <w:shd w:val="clear" w:color="auto" w:fill="auto"/>
          <w:lang w:val="cs-CZ" w:eastAsia="cs-CZ" w:bidi="cs-CZ"/>
        </w:rPr>
        <w:t>DIČ:</w:t>
        <w:tab/>
        <w:t>CZ00544957</w:t>
      </w:r>
    </w:p>
    <w:p>
      <w:pPr>
        <w:pStyle w:val="Style1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539" w:line="1" w:lineRule="exact"/>
      </w:pP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technologických vozidel do 3,5 t a nad 5 t, Část 2 Dodávka technologického vozidla do 3,5t furgon“ </w:t>
      </w:r>
      <w:r>
        <w:rPr>
          <w:color w:val="000000"/>
          <w:spacing w:val="0"/>
          <w:w w:val="100"/>
          <w:position w:val="0"/>
          <w:shd w:val="clear" w:color="auto" w:fill="auto"/>
          <w:lang w:val="cs-CZ" w:eastAsia="cs-CZ" w:bidi="cs-CZ"/>
        </w:rPr>
        <w:t>uzavírají níže uvedeného dne, měsíce a roku tuto</w:t>
      </w:r>
    </w:p>
    <w:p>
      <w:pPr>
        <w:pStyle w:val="Style16"/>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2"/>
        <w:keepNext w:val="0"/>
        <w:keepLines w:val="0"/>
        <w:widowControl w:val="0"/>
        <w:shd w:val="clear" w:color="auto" w:fill="auto"/>
        <w:bidi w:val="0"/>
        <w:spacing w:before="0" w:after="36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6"/>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2</w:t>
        <w:br/>
        <w:t>Předmět plnění</w:t>
      </w:r>
      <w:bookmarkEnd w:id="2"/>
      <w:bookmarkEnd w:id="3"/>
    </w:p>
    <w:p>
      <w:pPr>
        <w:pStyle w:val="Style2"/>
        <w:keepNext w:val="0"/>
        <w:keepLines w:val="0"/>
        <w:widowControl w:val="0"/>
        <w:numPr>
          <w:ilvl w:val="0"/>
          <w:numId w:val="1"/>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b/>
          <w:bCs/>
          <w:color w:val="000000"/>
          <w:spacing w:val="0"/>
          <w:w w:val="100"/>
          <w:position w:val="0"/>
          <w:shd w:val="clear" w:color="auto" w:fill="auto"/>
          <w:lang w:val="cs-CZ" w:eastAsia="cs-CZ" w:bidi="cs-CZ"/>
        </w:rPr>
        <w:t>1 technologické vozidlo do 3,5 t furgon</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tabs>
          <w:tab w:pos="2074" w:val="left"/>
        </w:tabs>
        <w:bidi w:val="0"/>
        <w:spacing w:before="0" w:after="0" w:line="240" w:lineRule="auto"/>
        <w:ind w:left="0" w:right="0" w:firstLine="720"/>
        <w:jc w:val="left"/>
      </w:pPr>
      <w:r>
        <w:rPr>
          <w:b/>
          <w:bCs/>
          <w:color w:val="000000"/>
          <w:spacing w:val="0"/>
          <w:w w:val="100"/>
          <w:position w:val="0"/>
          <w:shd w:val="clear" w:color="auto" w:fill="auto"/>
          <w:lang w:val="cs-CZ" w:eastAsia="cs-CZ" w:bidi="cs-CZ"/>
        </w:rPr>
        <w:t>Výrobce:</w:t>
        <w:tab/>
        <w:t>IVECO</w:t>
      </w:r>
    </w:p>
    <w:p>
      <w:pPr>
        <w:pStyle w:val="Style2"/>
        <w:keepNext w:val="0"/>
        <w:keepLines w:val="0"/>
        <w:widowControl w:val="0"/>
        <w:shd w:val="clear" w:color="auto" w:fill="auto"/>
        <w:tabs>
          <w:tab w:pos="2074" w:val="left"/>
        </w:tabs>
        <w:bidi w:val="0"/>
        <w:spacing w:before="0" w:after="120" w:line="240" w:lineRule="auto"/>
        <w:ind w:left="0" w:right="0" w:firstLine="720"/>
        <w:jc w:val="left"/>
      </w:pPr>
      <w:r>
        <w:rPr>
          <w:b/>
          <w:bCs/>
          <w:color w:val="000000"/>
          <w:spacing w:val="0"/>
          <w:w w:val="100"/>
          <w:position w:val="0"/>
          <w:shd w:val="clear" w:color="auto" w:fill="auto"/>
          <w:lang w:val="cs-CZ" w:eastAsia="cs-CZ" w:bidi="cs-CZ"/>
        </w:rPr>
        <w:t>Typ:</w:t>
        <w:tab/>
        <w:t>Daily 35S14V</w:t>
      </w:r>
    </w:p>
    <w:p>
      <w:pPr>
        <w:pStyle w:val="Style2"/>
        <w:keepNext w:val="0"/>
        <w:keepLines w:val="0"/>
        <w:widowControl w:val="0"/>
        <w:shd w:val="clear" w:color="auto" w:fill="auto"/>
        <w:bidi w:val="0"/>
        <w:spacing w:before="0" w:after="120" w:line="240" w:lineRule="auto"/>
        <w:ind w:left="720" w:right="0" w:firstLine="0"/>
        <w:jc w:val="both"/>
      </w:pP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této smlouvy (dále jen zboží).</w:t>
      </w:r>
    </w:p>
    <w:p>
      <w:pPr>
        <w:pStyle w:val="Style2"/>
        <w:keepNext w:val="0"/>
        <w:keepLines w:val="0"/>
        <w:widowControl w:val="0"/>
        <w:numPr>
          <w:ilvl w:val="0"/>
          <w:numId w:val="1"/>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2"/>
        <w:keepNext w:val="0"/>
        <w:keepLines w:val="0"/>
        <w:widowControl w:val="0"/>
        <w:numPr>
          <w:ilvl w:val="0"/>
          <w:numId w:val="1"/>
        </w:numPr>
        <w:shd w:val="clear" w:color="auto" w:fill="auto"/>
        <w:tabs>
          <w:tab w:pos="710" w:val="left"/>
        </w:tabs>
        <w:bidi w:val="0"/>
        <w:spacing w:before="0" w:after="160" w:line="240" w:lineRule="auto"/>
        <w:ind w:left="720" w:right="0" w:hanging="720"/>
        <w:jc w:val="both"/>
        <w:sectPr>
          <w:headerReference w:type="default" r:id="rId5"/>
          <w:footerReference w:type="default" r:id="rId6"/>
          <w:headerReference w:type="even" r:id="rId7"/>
          <w:footerReference w:type="even" r:id="rId8"/>
          <w:footnotePr>
            <w:pos w:val="pageBottom"/>
            <w:numFmt w:val="decimal"/>
            <w:numRestart w:val="continuous"/>
          </w:footnotePr>
          <w:pgSz w:w="11900" w:h="16840"/>
          <w:pgMar w:top="692" w:left="1378" w:right="1373" w:bottom="1129" w:header="0" w:footer="3" w:gutter="0"/>
          <w:pgNumType w:start="1"/>
          <w:cols w:space="720"/>
          <w:noEndnote/>
          <w:rtlGutter w:val="0"/>
          <w:docGrid w:linePitch="360"/>
        </w:sectPr>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w:t>
      </w:r>
    </w:p>
    <w:p>
      <w:pPr>
        <w:pStyle w:val="Style9"/>
        <w:keepNext w:val="0"/>
        <w:keepLines w:val="0"/>
        <w:framePr w:w="531" w:h="12144" w:wrap="around" w:hAnchor="margin" w:x="6" w:y="971"/>
        <w:widowControl w:val="0"/>
        <w:shd w:val="clear" w:color="auto" w:fill="auto"/>
        <w:bidi w:val="0"/>
        <w:spacing w:before="0" w:after="1160" w:line="240" w:lineRule="auto"/>
        <w:ind w:left="0" w:right="0" w:firstLine="0"/>
        <w:jc w:val="both"/>
      </w:pPr>
      <w:r>
        <w:rPr>
          <w:b/>
          <w:bCs/>
          <w:spacing w:val="0"/>
          <w:w w:val="100"/>
          <w:position w:val="0"/>
          <w:shd w:val="clear" w:color="auto" w:fill="auto"/>
          <w:lang w:val="cs-CZ" w:eastAsia="cs-CZ" w:bidi="cs-CZ"/>
        </w:rPr>
        <w:t>2.4.</w:t>
      </w:r>
    </w:p>
    <w:p>
      <w:pPr>
        <w:pStyle w:val="Style9"/>
        <w:keepNext w:val="0"/>
        <w:keepLines w:val="0"/>
        <w:framePr w:w="531" w:h="12144" w:wrap="around" w:hAnchor="margin" w:x="6" w:y="971"/>
        <w:widowControl w:val="0"/>
        <w:shd w:val="clear" w:color="auto" w:fill="auto"/>
        <w:bidi w:val="0"/>
        <w:spacing w:before="0" w:after="1040" w:line="240" w:lineRule="auto"/>
        <w:ind w:left="0" w:right="0" w:firstLine="0"/>
        <w:jc w:val="both"/>
      </w:pPr>
      <w:r>
        <w:rPr>
          <w:b/>
          <w:bCs/>
          <w:spacing w:val="0"/>
          <w:w w:val="100"/>
          <w:position w:val="0"/>
          <w:shd w:val="clear" w:color="auto" w:fill="auto"/>
          <w:lang w:val="cs-CZ" w:eastAsia="cs-CZ" w:bidi="cs-CZ"/>
        </w:rPr>
        <w:t>2.5.</w:t>
      </w:r>
    </w:p>
    <w:p>
      <w:pPr>
        <w:pStyle w:val="Style9"/>
        <w:keepNext w:val="0"/>
        <w:keepLines w:val="0"/>
        <w:framePr w:w="531" w:h="12144" w:wrap="around" w:hAnchor="margin" w:x="6" w:y="971"/>
        <w:widowControl w:val="0"/>
        <w:shd w:val="clear" w:color="auto" w:fill="auto"/>
        <w:bidi w:val="0"/>
        <w:spacing w:before="0" w:after="1160" w:line="240" w:lineRule="auto"/>
        <w:ind w:left="0" w:right="0" w:firstLine="0"/>
        <w:jc w:val="both"/>
      </w:pPr>
      <w:r>
        <w:rPr>
          <w:b/>
          <w:bCs/>
          <w:spacing w:val="0"/>
          <w:w w:val="100"/>
          <w:position w:val="0"/>
          <w:shd w:val="clear" w:color="auto" w:fill="auto"/>
          <w:lang w:val="cs-CZ" w:eastAsia="cs-CZ" w:bidi="cs-CZ"/>
        </w:rPr>
        <w:t>3.1.</w:t>
      </w:r>
    </w:p>
    <w:p>
      <w:pPr>
        <w:pStyle w:val="Style9"/>
        <w:keepNext w:val="0"/>
        <w:keepLines w:val="0"/>
        <w:framePr w:w="531" w:h="12144" w:wrap="around" w:hAnchor="margin" w:x="6" w:y="971"/>
        <w:widowControl w:val="0"/>
        <w:shd w:val="clear" w:color="auto" w:fill="auto"/>
        <w:bidi w:val="0"/>
        <w:spacing w:before="0" w:after="560" w:line="240" w:lineRule="auto"/>
        <w:ind w:left="0" w:right="0" w:firstLine="0"/>
        <w:jc w:val="both"/>
      </w:pPr>
      <w:r>
        <w:rPr>
          <w:b/>
          <w:bCs/>
          <w:spacing w:val="0"/>
          <w:w w:val="100"/>
          <w:position w:val="0"/>
          <w:shd w:val="clear" w:color="auto" w:fill="auto"/>
          <w:lang w:val="cs-CZ" w:eastAsia="cs-CZ" w:bidi="cs-CZ"/>
        </w:rPr>
        <w:t>3.2.</w:t>
      </w:r>
    </w:p>
    <w:p>
      <w:pPr>
        <w:pStyle w:val="Style9"/>
        <w:keepNext w:val="0"/>
        <w:keepLines w:val="0"/>
        <w:framePr w:w="531" w:h="12144" w:wrap="around" w:hAnchor="margin" w:x="6" w:y="971"/>
        <w:widowControl w:val="0"/>
        <w:shd w:val="clear" w:color="auto" w:fill="auto"/>
        <w:bidi w:val="0"/>
        <w:spacing w:before="0" w:after="560" w:line="240" w:lineRule="auto"/>
        <w:ind w:left="0" w:right="0" w:firstLine="0"/>
        <w:jc w:val="both"/>
      </w:pPr>
      <w:r>
        <w:rPr>
          <w:b/>
          <w:bCs/>
          <w:spacing w:val="0"/>
          <w:w w:val="100"/>
          <w:position w:val="0"/>
          <w:shd w:val="clear" w:color="auto" w:fill="auto"/>
          <w:lang w:val="cs-CZ" w:eastAsia="cs-CZ" w:bidi="cs-CZ"/>
        </w:rPr>
        <w:t>3.3.</w:t>
      </w:r>
    </w:p>
    <w:p>
      <w:pPr>
        <w:pStyle w:val="Style9"/>
        <w:keepNext w:val="0"/>
        <w:keepLines w:val="0"/>
        <w:framePr w:w="531" w:h="12144" w:wrap="around" w:hAnchor="margin" w:x="6" w:y="971"/>
        <w:widowControl w:val="0"/>
        <w:shd w:val="clear" w:color="auto" w:fill="auto"/>
        <w:bidi w:val="0"/>
        <w:spacing w:before="0" w:after="120" w:line="240" w:lineRule="auto"/>
        <w:ind w:left="0" w:right="0" w:firstLine="0"/>
        <w:jc w:val="both"/>
      </w:pPr>
      <w:r>
        <w:rPr>
          <w:b/>
          <w:bCs/>
          <w:spacing w:val="0"/>
          <w:w w:val="100"/>
          <w:position w:val="0"/>
          <w:shd w:val="clear" w:color="auto" w:fill="auto"/>
          <w:lang w:val="cs-CZ" w:eastAsia="cs-CZ" w:bidi="cs-CZ"/>
        </w:rPr>
        <w:t>3.4.</w:t>
      </w:r>
    </w:p>
    <w:p>
      <w:pPr>
        <w:pStyle w:val="Style9"/>
        <w:keepNext w:val="0"/>
        <w:keepLines w:val="0"/>
        <w:framePr w:w="531" w:h="12144" w:wrap="around" w:hAnchor="margin" w:x="6" w:y="971"/>
        <w:widowControl w:val="0"/>
        <w:shd w:val="clear" w:color="auto" w:fill="auto"/>
        <w:bidi w:val="0"/>
        <w:spacing w:before="0" w:after="340" w:line="240" w:lineRule="auto"/>
        <w:ind w:left="0" w:right="0" w:firstLine="0"/>
        <w:jc w:val="both"/>
      </w:pPr>
      <w:r>
        <w:rPr>
          <w:b/>
          <w:bCs/>
          <w:spacing w:val="0"/>
          <w:w w:val="100"/>
          <w:position w:val="0"/>
          <w:shd w:val="clear" w:color="auto" w:fill="auto"/>
          <w:lang w:val="cs-CZ" w:eastAsia="cs-CZ" w:bidi="cs-CZ"/>
        </w:rPr>
        <w:t>3.5.</w:t>
      </w:r>
    </w:p>
    <w:p>
      <w:pPr>
        <w:pStyle w:val="Style9"/>
        <w:keepNext w:val="0"/>
        <w:keepLines w:val="0"/>
        <w:framePr w:w="531" w:h="12144" w:wrap="around" w:hAnchor="margin" w:x="6" w:y="971"/>
        <w:widowControl w:val="0"/>
        <w:shd w:val="clear" w:color="auto" w:fill="auto"/>
        <w:bidi w:val="0"/>
        <w:spacing w:before="0" w:after="560" w:line="240" w:lineRule="auto"/>
        <w:ind w:left="0" w:right="0" w:firstLine="0"/>
        <w:jc w:val="both"/>
      </w:pPr>
      <w:r>
        <w:rPr>
          <w:b/>
          <w:bCs/>
          <w:spacing w:val="0"/>
          <w:w w:val="100"/>
          <w:position w:val="0"/>
          <w:shd w:val="clear" w:color="auto" w:fill="auto"/>
          <w:lang w:val="cs-CZ" w:eastAsia="cs-CZ" w:bidi="cs-CZ"/>
        </w:rPr>
        <w:t>3.6.</w:t>
      </w:r>
    </w:p>
    <w:p>
      <w:pPr>
        <w:pStyle w:val="Style9"/>
        <w:keepNext w:val="0"/>
        <w:keepLines w:val="0"/>
        <w:framePr w:w="531" w:h="12144" w:wrap="around" w:hAnchor="margin" w:x="6" w:y="971"/>
        <w:widowControl w:val="0"/>
        <w:shd w:val="clear" w:color="auto" w:fill="auto"/>
        <w:bidi w:val="0"/>
        <w:spacing w:before="0" w:after="120" w:line="240" w:lineRule="auto"/>
        <w:ind w:left="0" w:right="0" w:firstLine="0"/>
        <w:jc w:val="both"/>
      </w:pPr>
      <w:r>
        <w:rPr>
          <w:b/>
          <w:bCs/>
          <w:spacing w:val="0"/>
          <w:w w:val="100"/>
          <w:position w:val="0"/>
          <w:shd w:val="clear" w:color="auto" w:fill="auto"/>
          <w:lang w:val="cs-CZ" w:eastAsia="cs-CZ" w:bidi="cs-CZ"/>
        </w:rPr>
        <w:t>3.7.</w:t>
      </w:r>
    </w:p>
    <w:p>
      <w:pPr>
        <w:pStyle w:val="Style9"/>
        <w:keepNext w:val="0"/>
        <w:keepLines w:val="0"/>
        <w:framePr w:w="531" w:h="12144" w:wrap="around" w:hAnchor="margin" w:x="6" w:y="971"/>
        <w:widowControl w:val="0"/>
        <w:shd w:val="clear" w:color="auto" w:fill="auto"/>
        <w:bidi w:val="0"/>
        <w:spacing w:before="0" w:after="1720" w:line="240" w:lineRule="auto"/>
        <w:ind w:left="0" w:right="0" w:firstLine="0"/>
        <w:jc w:val="both"/>
      </w:pPr>
      <w:r>
        <w:rPr>
          <w:b/>
          <w:bCs/>
          <w:spacing w:val="0"/>
          <w:w w:val="100"/>
          <w:position w:val="0"/>
          <w:shd w:val="clear" w:color="auto" w:fill="auto"/>
          <w:lang w:val="cs-CZ" w:eastAsia="cs-CZ" w:bidi="cs-CZ"/>
        </w:rPr>
        <w:t>3.8.</w:t>
      </w:r>
    </w:p>
    <w:p>
      <w:pPr>
        <w:pStyle w:val="Style9"/>
        <w:keepNext w:val="0"/>
        <w:keepLines w:val="0"/>
        <w:framePr w:w="531" w:h="12144" w:wrap="around" w:hAnchor="margin" w:x="6" w:y="971"/>
        <w:widowControl w:val="0"/>
        <w:shd w:val="clear" w:color="auto" w:fill="auto"/>
        <w:bidi w:val="0"/>
        <w:spacing w:before="0" w:after="340" w:line="240" w:lineRule="auto"/>
        <w:ind w:left="0" w:right="0" w:firstLine="0"/>
        <w:jc w:val="both"/>
      </w:pPr>
      <w:r>
        <w:rPr>
          <w:b/>
          <w:bCs/>
          <w:spacing w:val="0"/>
          <w:w w:val="100"/>
          <w:position w:val="0"/>
          <w:shd w:val="clear" w:color="auto" w:fill="auto"/>
          <w:lang w:val="cs-CZ" w:eastAsia="cs-CZ" w:bidi="cs-CZ"/>
        </w:rPr>
        <w:t>4.1.</w:t>
      </w:r>
    </w:p>
    <w:p>
      <w:pPr>
        <w:pStyle w:val="Style9"/>
        <w:keepNext w:val="0"/>
        <w:keepLines w:val="0"/>
        <w:framePr w:w="531" w:h="12144" w:wrap="around" w:hAnchor="margin" w:x="6" w:y="971"/>
        <w:widowControl w:val="0"/>
        <w:shd w:val="clear" w:color="auto" w:fill="auto"/>
        <w:bidi w:val="0"/>
        <w:spacing w:before="0" w:after="800" w:line="240" w:lineRule="auto"/>
        <w:ind w:left="0" w:right="0" w:firstLine="0"/>
        <w:jc w:val="both"/>
      </w:pPr>
      <w:r>
        <w:rPr>
          <w:b/>
          <w:bCs/>
          <w:spacing w:val="0"/>
          <w:w w:val="100"/>
          <w:position w:val="0"/>
          <w:shd w:val="clear" w:color="auto" w:fill="auto"/>
          <w:lang w:val="cs-CZ" w:eastAsia="cs-CZ" w:bidi="cs-CZ"/>
        </w:rPr>
        <w:t>4.2.</w:t>
      </w:r>
    </w:p>
    <w:p>
      <w:pPr>
        <w:pStyle w:val="Style9"/>
        <w:keepNext w:val="0"/>
        <w:keepLines w:val="0"/>
        <w:framePr w:w="531" w:h="12144" w:wrap="around" w:hAnchor="margin" w:x="6" w:y="971"/>
        <w:widowControl w:val="0"/>
        <w:shd w:val="clear" w:color="auto" w:fill="auto"/>
        <w:bidi w:val="0"/>
        <w:spacing w:before="0" w:after="340" w:line="240" w:lineRule="auto"/>
        <w:ind w:left="0" w:right="0" w:firstLine="0"/>
        <w:jc w:val="both"/>
      </w:pPr>
      <w:r>
        <w:rPr>
          <w:b/>
          <w:bCs/>
          <w:spacing w:val="0"/>
          <w:w w:val="100"/>
          <w:position w:val="0"/>
          <w:shd w:val="clear" w:color="auto" w:fill="auto"/>
          <w:lang w:val="cs-CZ" w:eastAsia="cs-CZ" w:bidi="cs-CZ"/>
        </w:rPr>
        <w:t>4.3.</w:t>
      </w:r>
    </w:p>
    <w:p>
      <w:pPr>
        <w:pStyle w:val="Style9"/>
        <w:keepNext w:val="0"/>
        <w:keepLines w:val="0"/>
        <w:framePr w:w="531" w:h="12144" w:wrap="around" w:hAnchor="margin" w:x="6" w:y="971"/>
        <w:widowControl w:val="0"/>
        <w:shd w:val="clear" w:color="auto" w:fill="auto"/>
        <w:bidi w:val="0"/>
        <w:spacing w:before="0" w:after="0" w:line="240" w:lineRule="auto"/>
        <w:ind w:left="0" w:right="0" w:firstLine="0"/>
        <w:jc w:val="both"/>
      </w:pPr>
      <w:r>
        <w:rPr>
          <w:b/>
          <w:bCs/>
          <w:spacing w:val="0"/>
          <w:w w:val="100"/>
          <w:position w:val="0"/>
          <w:shd w:val="clear" w:color="auto" w:fill="auto"/>
          <w:lang w:val="cs-CZ" w:eastAsia="cs-CZ" w:bidi="cs-CZ"/>
        </w:rPr>
        <w:t>4.4.</w:t>
      </w:r>
    </w:p>
    <w:p>
      <w:pPr>
        <w:pStyle w:val="Style2"/>
        <w:keepNext w:val="0"/>
        <w:keepLines w:val="0"/>
        <w:widowControl w:val="0"/>
        <w:shd w:val="clear" w:color="auto" w:fill="auto"/>
        <w:bidi w:val="0"/>
        <w:spacing w:before="0" w:after="220" w:line="240" w:lineRule="auto"/>
        <w:ind w:left="720" w:right="0" w:firstLine="0"/>
        <w:jc w:val="both"/>
      </w:pPr>
      <w:r>
        <w:rPr>
          <w:spacing w:val="0"/>
          <w:w w:val="100"/>
          <w:position w:val="0"/>
          <w:shd w:val="clear" w:color="auto" w:fill="auto"/>
          <w:lang w:val="cs-CZ" w:eastAsia="cs-CZ" w:bidi="cs-CZ"/>
        </w:rPr>
        <w:t>nebo k jiné formě duševního vlastnictví, je schválené pro provoz na pozemních komunikacích podle platných obecně závazných předpisů, odpovídá platným technickým normám a předpisům výrobce.</w:t>
      </w:r>
    </w:p>
    <w:p>
      <w:pPr>
        <w:pStyle w:val="Style2"/>
        <w:keepNext w:val="0"/>
        <w:keepLines w:val="0"/>
        <w:widowControl w:val="0"/>
        <w:shd w:val="clear" w:color="auto" w:fill="auto"/>
        <w:bidi w:val="0"/>
        <w:spacing w:before="0" w:after="220" w:line="240" w:lineRule="auto"/>
        <w:ind w:left="720" w:right="0" w:firstLine="0"/>
        <w:jc w:val="both"/>
      </w:pPr>
      <w:r>
        <w:rPr>
          <w:spacing w:val="0"/>
          <w:w w:val="100"/>
          <w:position w:val="0"/>
          <w:shd w:val="clear" w:color="auto" w:fill="auto"/>
          <w:lang w:val="cs-CZ" w:eastAsia="cs-CZ" w:bidi="cs-CZ"/>
        </w:rPr>
        <w:t>Předmětem této smlouvy je též uvedení vozidla do provozu a předvedení funkčnosti v místě plnění.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2"/>
        <w:keepNext w:val="0"/>
        <w:keepLines w:val="0"/>
        <w:widowControl w:val="0"/>
        <w:shd w:val="clear" w:color="auto" w:fill="auto"/>
        <w:bidi w:val="0"/>
        <w:spacing w:before="0" w:after="220" w:line="240" w:lineRule="auto"/>
        <w:ind w:left="720" w:right="0" w:firstLine="0"/>
        <w:jc w:val="both"/>
      </w:pPr>
      <w:r>
        <w:rPr>
          <w:spacing w:val="0"/>
          <w:w w:val="100"/>
          <w:position w:val="0"/>
          <w:shd w:val="clear" w:color="auto" w:fill="auto"/>
          <w:lang w:val="cs-CZ" w:eastAsia="cs-CZ" w:bidi="cs-CZ"/>
        </w:rPr>
        <w:t xml:space="preserve">Předmětem této smlouvy je též závazek kupujícího zaplatit za zboží cenu dle </w:t>
      </w:r>
      <w:r>
        <w:rPr>
          <w:b/>
          <w:bCs/>
          <w:spacing w:val="0"/>
          <w:w w:val="100"/>
          <w:position w:val="0"/>
          <w:shd w:val="clear" w:color="auto" w:fill="auto"/>
          <w:lang w:val="cs-CZ" w:eastAsia="cs-CZ" w:bidi="cs-CZ"/>
        </w:rPr>
        <w:t xml:space="preserve">čl. 3 </w:t>
      </w:r>
      <w:r>
        <w:rPr>
          <w:spacing w:val="0"/>
          <w:w w:val="100"/>
          <w:position w:val="0"/>
          <w:shd w:val="clear" w:color="auto" w:fill="auto"/>
          <w:lang w:val="cs-CZ" w:eastAsia="cs-CZ" w:bidi="cs-CZ"/>
        </w:rPr>
        <w:t>této smlouvy.</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3</w:t>
      </w:r>
    </w:p>
    <w:p>
      <w:pPr>
        <w:pStyle w:val="Style2"/>
        <w:keepNext w:val="0"/>
        <w:keepLines w:val="0"/>
        <w:widowControl w:val="0"/>
        <w:shd w:val="clear" w:color="auto" w:fill="auto"/>
        <w:bidi w:val="0"/>
        <w:spacing w:before="0" w:line="240" w:lineRule="auto"/>
        <w:ind w:left="0" w:right="0" w:firstLine="0"/>
        <w:jc w:val="center"/>
      </w:pPr>
      <w:r>
        <w:rPr>
          <w:b/>
          <w:bCs/>
          <w:spacing w:val="0"/>
          <w:w w:val="100"/>
          <w:position w:val="0"/>
          <w:shd w:val="clear" w:color="auto" w:fill="auto"/>
          <w:lang w:val="cs-CZ" w:eastAsia="cs-CZ" w:bidi="cs-CZ"/>
        </w:rPr>
        <w:t>Cena za plnění</w:t>
      </w:r>
    </w:p>
    <w:p>
      <w:pPr>
        <w:pStyle w:val="Style2"/>
        <w:keepNext w:val="0"/>
        <w:keepLines w:val="0"/>
        <w:widowControl w:val="0"/>
        <w:shd w:val="clear" w:color="auto" w:fill="auto"/>
        <w:bidi w:val="0"/>
        <w:spacing w:before="0" w:line="240" w:lineRule="auto"/>
        <w:ind w:left="0" w:right="0" w:firstLine="720"/>
        <w:jc w:val="both"/>
      </w:pPr>
      <w:r>
        <w:rPr>
          <w:spacing w:val="0"/>
          <w:w w:val="100"/>
          <w:position w:val="0"/>
          <w:shd w:val="clear" w:color="auto" w:fill="auto"/>
          <w:lang w:val="cs-CZ" w:eastAsia="cs-CZ" w:bidi="cs-CZ"/>
        </w:rPr>
        <w:t xml:space="preserve">Celkový finanční objem plnění podle </w:t>
      </w:r>
      <w:r>
        <w:rPr>
          <w:b/>
          <w:bCs/>
          <w:spacing w:val="0"/>
          <w:w w:val="100"/>
          <w:position w:val="0"/>
          <w:shd w:val="clear" w:color="auto" w:fill="auto"/>
          <w:lang w:val="cs-CZ" w:eastAsia="cs-CZ" w:bidi="cs-CZ"/>
        </w:rPr>
        <w:t xml:space="preserve">čl. 2 </w:t>
      </w:r>
      <w:r>
        <w:rPr>
          <w:spacing w:val="0"/>
          <w:w w:val="100"/>
          <w:position w:val="0"/>
          <w:shd w:val="clear" w:color="auto" w:fill="auto"/>
          <w:lang w:val="cs-CZ" w:eastAsia="cs-CZ" w:bidi="cs-CZ"/>
        </w:rPr>
        <w:t>této kupní smlouvy činí</w:t>
      </w:r>
    </w:p>
    <w:p>
      <w:pPr>
        <w:pStyle w:val="Style2"/>
        <w:keepNext w:val="0"/>
        <w:keepLines w:val="0"/>
        <w:widowControl w:val="0"/>
        <w:shd w:val="clear" w:color="auto" w:fill="auto"/>
        <w:bidi w:val="0"/>
        <w:spacing w:before="0" w:line="240" w:lineRule="auto"/>
        <w:ind w:left="1260" w:right="0" w:firstLine="0"/>
        <w:jc w:val="both"/>
      </w:pPr>
      <w:r>
        <w:rPr>
          <w:b/>
          <w:bCs/>
          <w:spacing w:val="0"/>
          <w:w w:val="100"/>
          <w:position w:val="0"/>
          <w:shd w:val="clear" w:color="auto" w:fill="auto"/>
          <w:lang w:val="cs-CZ" w:eastAsia="cs-CZ" w:bidi="cs-CZ"/>
        </w:rPr>
        <w:t>Celková cena plnění bez DPH 1.048.800,00 Kč</w:t>
      </w:r>
    </w:p>
    <w:p>
      <w:pPr>
        <w:pStyle w:val="Style2"/>
        <w:keepNext w:val="0"/>
        <w:keepLines w:val="0"/>
        <w:widowControl w:val="0"/>
        <w:shd w:val="clear" w:color="auto" w:fill="auto"/>
        <w:bidi w:val="0"/>
        <w:spacing w:before="0" w:line="240" w:lineRule="auto"/>
        <w:ind w:left="1260" w:right="0" w:firstLine="0"/>
        <w:jc w:val="both"/>
      </w:pPr>
      <w:r>
        <w:rPr>
          <w:spacing w:val="0"/>
          <w:w w:val="100"/>
          <w:position w:val="0"/>
          <w:shd w:val="clear" w:color="auto" w:fill="auto"/>
          <w:lang w:val="cs-CZ" w:eastAsia="cs-CZ" w:bidi="cs-CZ"/>
        </w:rPr>
        <w:t>DPH 21 % 220.248,00 Kč</w:t>
      </w:r>
    </w:p>
    <w:p>
      <w:pPr>
        <w:pStyle w:val="Style2"/>
        <w:keepNext w:val="0"/>
        <w:keepLines w:val="0"/>
        <w:widowControl w:val="0"/>
        <w:shd w:val="clear" w:color="auto" w:fill="auto"/>
        <w:tabs>
          <w:tab w:pos="6564" w:val="left"/>
        </w:tabs>
        <w:bidi w:val="0"/>
        <w:spacing w:before="0" w:line="240" w:lineRule="auto"/>
        <w:ind w:left="1260" w:right="0" w:firstLine="0"/>
        <w:jc w:val="both"/>
      </w:pPr>
      <w:r>
        <w:rPr>
          <w:b/>
          <w:bCs/>
          <w:spacing w:val="0"/>
          <w:w w:val="100"/>
          <w:position w:val="0"/>
          <w:shd w:val="clear" w:color="auto" w:fill="auto"/>
          <w:lang w:val="cs-CZ" w:eastAsia="cs-CZ" w:bidi="cs-CZ"/>
        </w:rPr>
        <w:t>Celková cena včetně DPH</w:t>
        <w:tab/>
        <w:t>1.269.048,00 Kč</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shd w:val="clear" w:color="auto" w:fill="auto"/>
        <w:bidi w:val="0"/>
        <w:spacing w:before="0" w:line="240" w:lineRule="auto"/>
        <w:ind w:left="0" w:right="0" w:firstLine="720"/>
        <w:jc w:val="both"/>
      </w:pPr>
      <w:r>
        <w:rPr>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shd w:val="clear" w:color="auto" w:fill="auto"/>
        <w:bidi w:val="0"/>
        <w:spacing w:before="0" w:line="240" w:lineRule="auto"/>
        <w:ind w:left="0" w:right="0" w:firstLine="720"/>
        <w:jc w:val="both"/>
      </w:pPr>
      <w:r>
        <w:rPr>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shd w:val="clear" w:color="auto" w:fill="auto"/>
        <w:bidi w:val="0"/>
        <w:spacing w:before="0" w:after="460" w:line="240" w:lineRule="auto"/>
        <w:ind w:left="720" w:right="0" w:firstLine="0"/>
        <w:jc w:val="both"/>
      </w:pPr>
      <w:r>
        <w:rPr>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spacing w:val="0"/>
          <w:w w:val="100"/>
          <w:position w:val="0"/>
          <w:shd w:val="clear" w:color="auto" w:fill="auto"/>
          <w:lang w:val="cs-CZ" w:eastAsia="cs-CZ" w:bidi="cs-CZ"/>
        </w:rPr>
        <w:t>Místo plnění, odevzdání a převzetí zboží</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 xml:space="preserve">Místo plnění: </w:t>
      </w:r>
      <w:r>
        <w:rPr>
          <w:b/>
          <w:bCs/>
          <w:spacing w:val="0"/>
          <w:w w:val="100"/>
          <w:position w:val="0"/>
          <w:shd w:val="clear" w:color="auto" w:fill="auto"/>
          <w:lang w:val="cs-CZ" w:eastAsia="cs-CZ" w:bidi="cs-CZ"/>
        </w:rPr>
        <w:t>Krajská správa a údržba silnic Vysočiny, příspěvková organizace, Kosovská 16, 58601 Jihlava.</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 xml:space="preserve">Osoby oprávněné jednat ve věcech předání a převzetí zboží za smluvní strany jsou uvedeny v </w:t>
      </w:r>
      <w:r>
        <w:rPr>
          <w:b/>
          <w:bCs/>
          <w:spacing w:val="0"/>
          <w:w w:val="100"/>
          <w:position w:val="0"/>
          <w:shd w:val="clear" w:color="auto" w:fill="auto"/>
          <w:lang w:val="cs-CZ" w:eastAsia="cs-CZ" w:bidi="cs-CZ"/>
        </w:rPr>
        <w:t>příloze A1 smlouvy</w:t>
      </w:r>
      <w:r>
        <w:rPr>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Uvedené osoby jsou oprávněny pověřit své zástupce.</w:t>
      </w:r>
      <w:r>
        <w:br w:type="page"/>
      </w:r>
    </w:p>
    <w:p>
      <w:pPr>
        <w:pStyle w:val="Style2"/>
        <w:keepNext w:val="0"/>
        <w:keepLines w:val="0"/>
        <w:widowControl w:val="0"/>
        <w:numPr>
          <w:ilvl w:val="0"/>
          <w:numId w:val="3"/>
        </w:numPr>
        <w:shd w:val="clear" w:color="auto" w:fill="auto"/>
        <w:tabs>
          <w:tab w:pos="709" w:val="left"/>
        </w:tabs>
        <w:bidi w:val="0"/>
        <w:spacing w:before="0" w:after="460" w:line="240" w:lineRule="auto"/>
        <w:ind w:left="700" w:right="0" w:hanging="700"/>
        <w:jc w:val="both"/>
      </w:pPr>
      <w:r>
        <w:rPr>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spacing w:val="0"/>
          <w:w w:val="100"/>
          <w:position w:val="0"/>
          <w:shd w:val="clear" w:color="auto" w:fill="auto"/>
          <w:lang w:val="cs-CZ" w:eastAsia="cs-CZ" w:bidi="cs-CZ"/>
        </w:rPr>
        <w:t>Článek 5</w:t>
        <w:br/>
        <w:t>Doba plnění</w:t>
      </w:r>
      <w:bookmarkEnd w:id="4"/>
      <w:bookmarkEnd w:id="5"/>
    </w:p>
    <w:p>
      <w:pPr>
        <w:pStyle w:val="Style2"/>
        <w:keepNext w:val="0"/>
        <w:keepLines w:val="0"/>
        <w:widowControl w:val="0"/>
        <w:numPr>
          <w:ilvl w:val="1"/>
          <w:numId w:val="3"/>
        </w:numPr>
        <w:shd w:val="clear" w:color="auto" w:fill="auto"/>
        <w:tabs>
          <w:tab w:pos="709" w:val="left"/>
        </w:tabs>
        <w:bidi w:val="0"/>
        <w:spacing w:before="0" w:after="220" w:line="240" w:lineRule="auto"/>
        <w:ind w:left="0" w:right="0" w:firstLine="0"/>
        <w:jc w:val="both"/>
      </w:pPr>
      <w:r>
        <w:rPr>
          <w:spacing w:val="0"/>
          <w:w w:val="100"/>
          <w:position w:val="0"/>
          <w:shd w:val="clear" w:color="auto" w:fill="auto"/>
          <w:lang w:val="cs-CZ" w:eastAsia="cs-CZ" w:bidi="cs-CZ"/>
        </w:rPr>
        <w:t xml:space="preserve">Prodávající je povinen odevzdat zboží </w:t>
      </w:r>
      <w:r>
        <w:rPr>
          <w:b/>
          <w:bCs/>
          <w:spacing w:val="0"/>
          <w:w w:val="100"/>
          <w:position w:val="0"/>
          <w:shd w:val="clear" w:color="auto" w:fill="auto"/>
          <w:lang w:val="cs-CZ" w:eastAsia="cs-CZ" w:bidi="cs-CZ"/>
        </w:rPr>
        <w:t xml:space="preserve">do 16 měsíců </w:t>
      </w:r>
      <w:r>
        <w:rPr>
          <w:spacing w:val="0"/>
          <w:w w:val="100"/>
          <w:position w:val="0"/>
          <w:shd w:val="clear" w:color="auto" w:fill="auto"/>
          <w:lang w:val="cs-CZ" w:eastAsia="cs-CZ" w:bidi="cs-CZ"/>
        </w:rPr>
        <w:t>od nabytí účinnosti smlouvy.</w:t>
      </w:r>
    </w:p>
    <w:p>
      <w:pPr>
        <w:pStyle w:val="Style2"/>
        <w:keepNext w:val="0"/>
        <w:keepLines w:val="0"/>
        <w:widowControl w:val="0"/>
        <w:numPr>
          <w:ilvl w:val="1"/>
          <w:numId w:val="3"/>
        </w:numPr>
        <w:shd w:val="clear" w:color="auto" w:fill="auto"/>
        <w:tabs>
          <w:tab w:pos="709" w:val="left"/>
        </w:tabs>
        <w:bidi w:val="0"/>
        <w:spacing w:before="0" w:after="220" w:line="240" w:lineRule="auto"/>
        <w:ind w:left="0" w:right="0" w:firstLine="0"/>
        <w:jc w:val="both"/>
      </w:pPr>
      <w:r>
        <w:rPr>
          <w:spacing w:val="0"/>
          <w:w w:val="100"/>
          <w:position w:val="0"/>
          <w:shd w:val="clear" w:color="auto" w:fill="auto"/>
          <w:lang w:val="cs-CZ" w:eastAsia="cs-CZ" w:bidi="cs-CZ"/>
        </w:rPr>
        <w:t>Dřívější plnění je možné.</w:t>
      </w:r>
    </w:p>
    <w:p>
      <w:pPr>
        <w:pStyle w:val="Style16"/>
        <w:keepNext/>
        <w:keepLines/>
        <w:widowControl w:val="0"/>
        <w:shd w:val="clear" w:color="auto" w:fill="auto"/>
        <w:bidi w:val="0"/>
        <w:spacing w:before="0" w:line="240" w:lineRule="auto"/>
        <w:ind w:left="0" w:right="0" w:firstLine="0"/>
        <w:jc w:val="center"/>
      </w:pPr>
      <w:bookmarkStart w:id="6" w:name="bookmark6"/>
      <w:bookmarkStart w:id="7" w:name="bookmark7"/>
      <w:r>
        <w:rPr>
          <w:spacing w:val="0"/>
          <w:w w:val="100"/>
          <w:position w:val="0"/>
          <w:shd w:val="clear" w:color="auto" w:fill="auto"/>
          <w:lang w:val="cs-CZ" w:eastAsia="cs-CZ" w:bidi="cs-CZ"/>
        </w:rPr>
        <w:t>Článek 6</w:t>
        <w:br/>
        <w:t>Platební podmínky</w:t>
      </w:r>
      <w:bookmarkEnd w:id="6"/>
      <w:bookmarkEnd w:id="7"/>
    </w:p>
    <w:p>
      <w:pPr>
        <w:pStyle w:val="Style2"/>
        <w:keepNext w:val="0"/>
        <w:keepLines w:val="0"/>
        <w:widowControl w:val="0"/>
        <w:numPr>
          <w:ilvl w:val="0"/>
          <w:numId w:val="5"/>
        </w:numPr>
        <w:shd w:val="clear" w:color="auto" w:fill="auto"/>
        <w:tabs>
          <w:tab w:pos="709" w:val="left"/>
        </w:tabs>
        <w:bidi w:val="0"/>
        <w:spacing w:before="0" w:after="120" w:line="240" w:lineRule="auto"/>
        <w:ind w:left="700" w:right="0" w:hanging="700"/>
        <w:jc w:val="both"/>
      </w:pPr>
      <w:r>
        <w:rPr>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spacing w:val="0"/>
          <w:w w:val="100"/>
          <w:position w:val="0"/>
          <w:shd w:val="clear" w:color="auto" w:fill="auto"/>
          <w:lang w:val="cs-CZ" w:eastAsia="cs-CZ" w:bidi="cs-CZ"/>
        </w:rPr>
        <w:t xml:space="preserve">30 kalendářních dnů </w:t>
      </w:r>
      <w:r>
        <w:rPr>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5"/>
        </w:numPr>
        <w:shd w:val="clear" w:color="auto" w:fill="auto"/>
        <w:tabs>
          <w:tab w:pos="709" w:val="left"/>
        </w:tabs>
        <w:bidi w:val="0"/>
        <w:spacing w:before="0" w:after="120" w:line="240" w:lineRule="auto"/>
        <w:ind w:left="700" w:right="0" w:hanging="700"/>
        <w:jc w:val="both"/>
      </w:pPr>
      <w:r>
        <w:rPr>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2"/>
        <w:keepNext w:val="0"/>
        <w:keepLines w:val="0"/>
        <w:widowControl w:val="0"/>
        <w:numPr>
          <w:ilvl w:val="0"/>
          <w:numId w:val="5"/>
        </w:numPr>
        <w:shd w:val="clear" w:color="auto" w:fill="auto"/>
        <w:tabs>
          <w:tab w:pos="709" w:val="left"/>
        </w:tabs>
        <w:bidi w:val="0"/>
        <w:spacing w:before="0" w:after="120" w:line="240" w:lineRule="auto"/>
        <w:ind w:left="700" w:right="0" w:hanging="700"/>
        <w:jc w:val="both"/>
      </w:pPr>
      <w:r>
        <w:rPr>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spacing w:val="0"/>
          <w:w w:val="100"/>
          <w:position w:val="0"/>
          <w:shd w:val="clear" w:color="auto" w:fill="auto"/>
          <w:lang w:val="cs-CZ" w:eastAsia="cs-CZ" w:bidi="cs-CZ"/>
        </w:rPr>
        <w:t>ksusv@ksusv.cz</w:t>
      </w:r>
      <w:r>
        <w:fldChar w:fldCharType="end"/>
      </w:r>
      <w:r>
        <w:rPr>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09" w:val="left"/>
        </w:tabs>
        <w:bidi w:val="0"/>
        <w:spacing w:before="0" w:after="120" w:line="240" w:lineRule="auto"/>
        <w:ind w:left="700" w:right="0" w:hanging="700"/>
        <w:jc w:val="both"/>
      </w:pPr>
      <w:r>
        <w:rPr>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2"/>
        <w:keepNext w:val="0"/>
        <w:keepLines w:val="0"/>
        <w:widowControl w:val="0"/>
        <w:numPr>
          <w:ilvl w:val="0"/>
          <w:numId w:val="5"/>
        </w:numPr>
        <w:shd w:val="clear" w:color="auto" w:fill="auto"/>
        <w:tabs>
          <w:tab w:pos="709" w:val="left"/>
        </w:tabs>
        <w:bidi w:val="0"/>
        <w:spacing w:before="0" w:after="340" w:line="240" w:lineRule="auto"/>
        <w:ind w:left="700" w:right="0" w:hanging="700"/>
        <w:jc w:val="both"/>
      </w:pPr>
      <w:r>
        <w:rPr>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spacing w:val="0"/>
          <w:w w:val="100"/>
          <w:position w:val="0"/>
          <w:shd w:val="clear" w:color="auto" w:fill="auto"/>
          <w:lang w:val="cs-CZ" w:eastAsia="cs-CZ" w:bidi="cs-CZ"/>
        </w:rPr>
        <w:t>Článek 7</w:t>
        <w:br/>
        <w:t>Záruka a reklamace</w:t>
      </w:r>
      <w:bookmarkEnd w:id="8"/>
      <w:bookmarkEnd w:id="9"/>
    </w:p>
    <w:p>
      <w:pPr>
        <w:pStyle w:val="Style2"/>
        <w:keepNext w:val="0"/>
        <w:keepLines w:val="0"/>
        <w:widowControl w:val="0"/>
        <w:numPr>
          <w:ilvl w:val="0"/>
          <w:numId w:val="7"/>
        </w:numPr>
        <w:shd w:val="clear" w:color="auto" w:fill="auto"/>
        <w:tabs>
          <w:tab w:pos="709" w:val="left"/>
        </w:tabs>
        <w:bidi w:val="0"/>
        <w:spacing w:before="0" w:after="120" w:line="240" w:lineRule="auto"/>
        <w:ind w:left="700" w:right="0" w:hanging="700"/>
        <w:jc w:val="both"/>
      </w:pPr>
      <w:r>
        <w:rPr>
          <w:spacing w:val="0"/>
          <w:w w:val="100"/>
          <w:position w:val="0"/>
          <w:shd w:val="clear" w:color="auto" w:fill="auto"/>
          <w:lang w:val="cs-CZ" w:eastAsia="cs-CZ" w:bidi="cs-CZ"/>
        </w:rPr>
        <w:t xml:space="preserve">Minimální délka záruční doby na zboží a na originální příslušenství činí </w:t>
      </w:r>
      <w:r>
        <w:rPr>
          <w:b/>
          <w:bCs/>
          <w:spacing w:val="0"/>
          <w:w w:val="100"/>
          <w:position w:val="0"/>
          <w:shd w:val="clear" w:color="auto" w:fill="auto"/>
          <w:lang w:val="cs-CZ" w:eastAsia="cs-CZ" w:bidi="cs-CZ"/>
        </w:rPr>
        <w:t>minimálně 24 měsíců</w:t>
      </w:r>
      <w:r>
        <w:rPr>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709" w:val="left"/>
        </w:tabs>
        <w:bidi w:val="0"/>
        <w:spacing w:before="0" w:after="120" w:line="240" w:lineRule="auto"/>
        <w:ind w:left="0" w:right="0" w:firstLine="0"/>
        <w:jc w:val="both"/>
      </w:pPr>
      <w:r>
        <w:rPr>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7"/>
        </w:numPr>
        <w:shd w:val="clear" w:color="auto" w:fill="auto"/>
        <w:tabs>
          <w:tab w:pos="709" w:val="left"/>
        </w:tabs>
        <w:bidi w:val="0"/>
        <w:spacing w:before="0" w:after="120" w:line="240" w:lineRule="auto"/>
        <w:ind w:left="700" w:right="0" w:hanging="700"/>
        <w:jc w:val="both"/>
        <w:sectPr>
          <w:footnotePr>
            <w:pos w:val="pageBottom"/>
            <w:numFmt w:val="decimal"/>
            <w:numRestart w:val="continuous"/>
          </w:footnotePr>
          <w:pgSz w:w="11900" w:h="16840"/>
          <w:pgMar w:top="1450" w:left="1377" w:right="1375" w:bottom="1776" w:header="0" w:footer="3" w:gutter="0"/>
          <w:cols w:space="720"/>
          <w:noEndnote/>
          <w:rtlGutter w:val="0"/>
          <w:docGrid w:linePitch="360"/>
        </w:sectPr>
      </w:pPr>
      <w:r>
        <w:rPr>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16"/>
        <w:keepNext/>
        <w:keepLines/>
        <w:widowControl w:val="0"/>
        <w:shd w:val="clear" w:color="auto" w:fill="auto"/>
        <w:bidi w:val="0"/>
        <w:spacing w:before="240" w:after="240" w:line="240" w:lineRule="auto"/>
        <w:ind w:left="0" w:right="0" w:firstLine="0"/>
        <w:jc w:val="center"/>
      </w:pPr>
      <w:bookmarkStart w:id="10" w:name="bookmark10"/>
      <w:bookmarkStart w:id="11" w:name="bookmark11"/>
      <w:r>
        <w:rPr>
          <w:spacing w:val="0"/>
          <w:w w:val="100"/>
          <w:position w:val="0"/>
          <w:shd w:val="clear" w:color="auto" w:fill="auto"/>
          <w:lang w:val="cs-CZ" w:eastAsia="cs-CZ" w:bidi="cs-CZ"/>
        </w:rPr>
        <w:t>Článek 8</w:t>
        <w:br/>
        <w:t>Smluvní pokuty</w:t>
      </w:r>
      <w:bookmarkEnd w:id="10"/>
      <w:bookmarkEnd w:id="11"/>
    </w:p>
    <w:p>
      <w:pPr>
        <w:pStyle w:val="Style2"/>
        <w:keepNext w:val="0"/>
        <w:keepLines w:val="0"/>
        <w:widowControl w:val="0"/>
        <w:numPr>
          <w:ilvl w:val="0"/>
          <w:numId w:val="9"/>
        </w:numPr>
        <w:shd w:val="clear" w:color="auto" w:fill="auto"/>
        <w:tabs>
          <w:tab w:pos="697" w:val="left"/>
        </w:tabs>
        <w:bidi w:val="0"/>
        <w:spacing w:before="0" w:line="240" w:lineRule="auto"/>
        <w:ind w:left="720" w:right="0" w:hanging="720"/>
        <w:jc w:val="both"/>
      </w:pPr>
      <w:r>
        <w:rPr>
          <w:spacing w:val="0"/>
          <w:w w:val="100"/>
          <w:position w:val="0"/>
          <w:shd w:val="clear" w:color="auto" w:fill="auto"/>
          <w:lang w:val="cs-CZ" w:eastAsia="cs-CZ" w:bidi="cs-CZ"/>
        </w:rPr>
        <w:t xml:space="preserve">V případě, že prodávající bude v prodlení s odevzdáním zboží v termínu stanoveném v </w:t>
      </w:r>
      <w:r>
        <w:rPr>
          <w:b/>
          <w:bCs/>
          <w:spacing w:val="0"/>
          <w:w w:val="100"/>
          <w:position w:val="0"/>
          <w:shd w:val="clear" w:color="auto" w:fill="auto"/>
          <w:lang w:val="cs-CZ" w:eastAsia="cs-CZ" w:bidi="cs-CZ"/>
        </w:rPr>
        <w:t xml:space="preserve">čl. 5 </w:t>
      </w:r>
      <w:r>
        <w:rPr>
          <w:spacing w:val="0"/>
          <w:w w:val="100"/>
          <w:position w:val="0"/>
          <w:shd w:val="clear" w:color="auto" w:fill="auto"/>
          <w:lang w:val="cs-CZ" w:eastAsia="cs-CZ" w:bidi="cs-CZ"/>
        </w:rPr>
        <w:t xml:space="preserve">této smlouvy je povinen zaplatit kupujícímu smluvní pokutu ve výši </w:t>
      </w:r>
      <w:r>
        <w:rPr>
          <w:b/>
          <w:bCs/>
          <w:spacing w:val="0"/>
          <w:w w:val="100"/>
          <w:position w:val="0"/>
          <w:shd w:val="clear" w:color="auto" w:fill="auto"/>
          <w:lang w:val="cs-CZ" w:eastAsia="cs-CZ" w:bidi="cs-CZ"/>
        </w:rPr>
        <w:t xml:space="preserve">0,2 % z ceny celkem bez DPH </w:t>
      </w:r>
      <w:r>
        <w:rPr>
          <w:spacing w:val="0"/>
          <w:w w:val="100"/>
          <w:position w:val="0"/>
          <w:shd w:val="clear" w:color="auto" w:fill="auto"/>
          <w:lang w:val="cs-CZ" w:eastAsia="cs-CZ" w:bidi="cs-CZ"/>
        </w:rPr>
        <w:t>za každý i započatý den prodlení, nejvýše však do celkové ceny takto nesplněné dodávky.</w:t>
      </w:r>
    </w:p>
    <w:p>
      <w:pPr>
        <w:pStyle w:val="Style2"/>
        <w:keepNext w:val="0"/>
        <w:keepLines w:val="0"/>
        <w:widowControl w:val="0"/>
        <w:numPr>
          <w:ilvl w:val="0"/>
          <w:numId w:val="9"/>
        </w:numPr>
        <w:shd w:val="clear" w:color="auto" w:fill="auto"/>
        <w:tabs>
          <w:tab w:pos="697" w:val="left"/>
        </w:tabs>
        <w:bidi w:val="0"/>
        <w:spacing w:before="0" w:after="0" w:line="240" w:lineRule="auto"/>
        <w:ind w:left="0" w:right="0" w:firstLine="0"/>
        <w:jc w:val="both"/>
      </w:pPr>
      <w:r>
        <w:rPr>
          <w:spacing w:val="0"/>
          <w:w w:val="100"/>
          <w:position w:val="0"/>
          <w:shd w:val="clear" w:color="auto" w:fill="auto"/>
          <w:lang w:val="cs-CZ" w:eastAsia="cs-CZ" w:bidi="cs-CZ"/>
        </w:rPr>
        <w:t>V případě, že kupující bude v prodlení s úhradou řádně vystavené faktury, je povinen zaplatit</w:t>
      </w:r>
    </w:p>
    <w:p>
      <w:pPr>
        <w:pStyle w:val="Style2"/>
        <w:keepNext w:val="0"/>
        <w:keepLines w:val="0"/>
        <w:widowControl w:val="0"/>
        <w:shd w:val="clear" w:color="auto" w:fill="auto"/>
        <w:bidi w:val="0"/>
        <w:spacing w:before="0" w:line="240" w:lineRule="auto"/>
        <w:ind w:left="720" w:right="0" w:firstLine="0"/>
        <w:jc w:val="both"/>
      </w:pPr>
      <w:r>
        <w:rPr>
          <w:spacing w:val="0"/>
          <w:w w:val="100"/>
          <w:position w:val="0"/>
          <w:shd w:val="clear" w:color="auto" w:fill="auto"/>
          <w:lang w:val="cs-CZ" w:eastAsia="cs-CZ" w:bidi="cs-CZ"/>
        </w:rPr>
        <w:t xml:space="preserve">prodávajícímu smluvní pokutu ve výši </w:t>
      </w:r>
      <w:r>
        <w:rPr>
          <w:b/>
          <w:bCs/>
          <w:spacing w:val="0"/>
          <w:w w:val="100"/>
          <w:position w:val="0"/>
          <w:shd w:val="clear" w:color="auto" w:fill="auto"/>
          <w:lang w:val="cs-CZ" w:eastAsia="cs-CZ" w:bidi="cs-CZ"/>
        </w:rPr>
        <w:t xml:space="preserve">0,2 % z ceny celkem bez DPH </w:t>
      </w:r>
      <w:r>
        <w:rPr>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9"/>
        </w:numPr>
        <w:shd w:val="clear" w:color="auto" w:fill="auto"/>
        <w:tabs>
          <w:tab w:pos="697" w:val="left"/>
        </w:tabs>
        <w:bidi w:val="0"/>
        <w:spacing w:before="0" w:line="240" w:lineRule="auto"/>
        <w:ind w:left="720" w:right="0" w:hanging="720"/>
        <w:jc w:val="both"/>
      </w:pPr>
      <w:r>
        <w:rPr>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2"/>
        <w:keepNext w:val="0"/>
        <w:keepLines w:val="0"/>
        <w:widowControl w:val="0"/>
        <w:numPr>
          <w:ilvl w:val="0"/>
          <w:numId w:val="9"/>
        </w:numPr>
        <w:shd w:val="clear" w:color="auto" w:fill="auto"/>
        <w:tabs>
          <w:tab w:pos="697" w:val="left"/>
        </w:tabs>
        <w:bidi w:val="0"/>
        <w:spacing w:before="0" w:line="240" w:lineRule="auto"/>
        <w:ind w:left="720" w:right="0" w:hanging="720"/>
        <w:jc w:val="both"/>
      </w:pPr>
      <w:r>
        <w:rPr>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9"/>
        </w:numPr>
        <w:shd w:val="clear" w:color="auto" w:fill="auto"/>
        <w:tabs>
          <w:tab w:pos="697" w:val="left"/>
        </w:tabs>
        <w:bidi w:val="0"/>
        <w:spacing w:before="0" w:after="0" w:line="240" w:lineRule="auto"/>
        <w:ind w:left="0" w:right="0" w:firstLine="0"/>
        <w:jc w:val="both"/>
      </w:pPr>
      <w:r>
        <w:rPr>
          <w:spacing w:val="0"/>
          <w:w w:val="100"/>
          <w:position w:val="0"/>
          <w:shd w:val="clear" w:color="auto" w:fill="auto"/>
          <w:lang w:val="cs-CZ" w:eastAsia="cs-CZ" w:bidi="cs-CZ"/>
        </w:rPr>
        <w:t>Strana povinná k uhrazení smluvní pokuty je povinna uhradit vyúčtované sankce nejpozději do</w:t>
      </w:r>
    </w:p>
    <w:p>
      <w:pPr>
        <w:pStyle w:val="Style2"/>
        <w:keepNext w:val="0"/>
        <w:keepLines w:val="0"/>
        <w:widowControl w:val="0"/>
        <w:shd w:val="clear" w:color="auto" w:fill="auto"/>
        <w:bidi w:val="0"/>
        <w:spacing w:before="0" w:after="340" w:line="240" w:lineRule="auto"/>
        <w:ind w:left="0" w:right="0" w:firstLine="720"/>
        <w:jc w:val="both"/>
      </w:pPr>
      <w:r>
        <w:rPr>
          <w:spacing w:val="0"/>
          <w:w w:val="100"/>
          <w:position w:val="0"/>
          <w:shd w:val="clear" w:color="auto" w:fill="auto"/>
          <w:lang w:val="cs-CZ" w:eastAsia="cs-CZ" w:bidi="cs-CZ"/>
        </w:rPr>
        <w:t>15 dnů ode dne obdržení příslušného vyúčtování.</w:t>
      </w:r>
    </w:p>
    <w:p>
      <w:pPr>
        <w:pStyle w:val="Style16"/>
        <w:keepNext/>
        <w:keepLines/>
        <w:widowControl w:val="0"/>
        <w:shd w:val="clear" w:color="auto" w:fill="auto"/>
        <w:bidi w:val="0"/>
        <w:spacing w:before="0" w:after="100" w:line="240" w:lineRule="auto"/>
        <w:ind w:left="0" w:right="0" w:firstLine="0"/>
        <w:jc w:val="center"/>
      </w:pPr>
      <w:bookmarkStart w:id="12" w:name="bookmark12"/>
      <w:bookmarkStart w:id="13" w:name="bookmark13"/>
      <w:r>
        <w:rPr>
          <w:spacing w:val="0"/>
          <w:w w:val="100"/>
          <w:position w:val="0"/>
          <w:shd w:val="clear" w:color="auto" w:fill="auto"/>
          <w:lang w:val="cs-CZ" w:eastAsia="cs-CZ" w:bidi="cs-CZ"/>
        </w:rPr>
        <w:t>Článek 9</w:t>
        <w:br/>
        <w:t>Podstatné porušení smlouvy</w:t>
      </w:r>
      <w:bookmarkEnd w:id="12"/>
      <w:bookmarkEnd w:id="13"/>
    </w:p>
    <w:p>
      <w:pPr>
        <w:pStyle w:val="Style2"/>
        <w:keepNext w:val="0"/>
        <w:keepLines w:val="0"/>
        <w:widowControl w:val="0"/>
        <w:numPr>
          <w:ilvl w:val="0"/>
          <w:numId w:val="11"/>
        </w:numPr>
        <w:shd w:val="clear" w:color="auto" w:fill="auto"/>
        <w:tabs>
          <w:tab w:pos="697" w:val="left"/>
        </w:tabs>
        <w:bidi w:val="0"/>
        <w:spacing w:before="0" w:after="460" w:line="240" w:lineRule="auto"/>
        <w:ind w:left="720" w:right="0" w:hanging="720"/>
        <w:jc w:val="both"/>
      </w:pPr>
      <w:r>
        <w:rPr>
          <w:spacing w:val="0"/>
          <w:w w:val="100"/>
          <w:position w:val="0"/>
          <w:shd w:val="clear" w:color="auto" w:fill="auto"/>
          <w:lang w:val="cs-CZ" w:eastAsia="cs-CZ" w:bidi="cs-CZ"/>
        </w:rPr>
        <w:t xml:space="preserve">Nesplnění dodací lhůty, dle </w:t>
      </w:r>
      <w:r>
        <w:rPr>
          <w:b/>
          <w:bCs/>
          <w:spacing w:val="0"/>
          <w:w w:val="100"/>
          <w:position w:val="0"/>
          <w:shd w:val="clear" w:color="auto" w:fill="auto"/>
          <w:lang w:val="cs-CZ" w:eastAsia="cs-CZ" w:bidi="cs-CZ"/>
        </w:rPr>
        <w:t>článku 5</w:t>
      </w:r>
      <w:r>
        <w:rPr>
          <w:spacing w:val="0"/>
          <w:w w:val="100"/>
          <w:position w:val="0"/>
          <w:shd w:val="clear" w:color="auto" w:fill="auto"/>
          <w:lang w:val="cs-CZ" w:eastAsia="cs-CZ" w:bidi="cs-CZ"/>
        </w:rPr>
        <w:t>, se považuje za podstatné porušení této smlouvy s důsledky podle ustanovení § 2001 OZ, tj. kupující může od smlouvy okamžitě odstoupit.</w:t>
      </w:r>
    </w:p>
    <w:p>
      <w:pPr>
        <w:pStyle w:val="Style16"/>
        <w:keepNext/>
        <w:keepLines/>
        <w:widowControl w:val="0"/>
        <w:shd w:val="clear" w:color="auto" w:fill="auto"/>
        <w:bidi w:val="0"/>
        <w:spacing w:before="0" w:after="100" w:line="240" w:lineRule="auto"/>
        <w:ind w:left="0" w:right="0" w:firstLine="0"/>
        <w:jc w:val="center"/>
      </w:pPr>
      <w:bookmarkStart w:id="14" w:name="bookmark14"/>
      <w:bookmarkStart w:id="15" w:name="bookmark15"/>
      <w:r>
        <w:rPr>
          <w:spacing w:val="0"/>
          <w:w w:val="100"/>
          <w:position w:val="0"/>
          <w:shd w:val="clear" w:color="auto" w:fill="auto"/>
          <w:lang w:val="cs-CZ" w:eastAsia="cs-CZ" w:bidi="cs-CZ"/>
        </w:rPr>
        <w:t>Článek 10</w:t>
        <w:br/>
        <w:t>Další ujednání</w:t>
      </w:r>
      <w:bookmarkEnd w:id="14"/>
      <w:bookmarkEnd w:id="15"/>
    </w:p>
    <w:p>
      <w:pPr>
        <w:pStyle w:val="Style2"/>
        <w:keepNext w:val="0"/>
        <w:keepLines w:val="0"/>
        <w:widowControl w:val="0"/>
        <w:numPr>
          <w:ilvl w:val="0"/>
          <w:numId w:val="13"/>
        </w:numPr>
        <w:shd w:val="clear" w:color="auto" w:fill="auto"/>
        <w:tabs>
          <w:tab w:pos="850" w:val="left"/>
        </w:tabs>
        <w:bidi w:val="0"/>
        <w:spacing w:before="0" w:line="240" w:lineRule="auto"/>
        <w:ind w:left="860" w:right="0" w:hanging="860"/>
        <w:jc w:val="both"/>
      </w:pPr>
      <w:r>
        <w:rPr>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2"/>
        <w:keepNext w:val="0"/>
        <w:keepLines w:val="0"/>
        <w:widowControl w:val="0"/>
        <w:numPr>
          <w:ilvl w:val="0"/>
          <w:numId w:val="13"/>
        </w:numPr>
        <w:shd w:val="clear" w:color="auto" w:fill="auto"/>
        <w:tabs>
          <w:tab w:pos="850" w:val="left"/>
        </w:tabs>
        <w:bidi w:val="0"/>
        <w:spacing w:before="0" w:after="0" w:line="240" w:lineRule="auto"/>
        <w:ind w:left="0" w:right="0" w:firstLine="0"/>
        <w:jc w:val="both"/>
      </w:pPr>
      <w:r>
        <w:rPr>
          <w:spacing w:val="0"/>
          <w:w w:val="100"/>
          <w:position w:val="0"/>
          <w:shd w:val="clear" w:color="auto" w:fill="auto"/>
          <w:lang w:val="cs-CZ" w:eastAsia="cs-CZ" w:bidi="cs-CZ"/>
        </w:rPr>
        <w:t>Prodávající prohlašuje, že se před uzavřením smlouvy nedopustil v souvislosti se zadávacím</w:t>
      </w:r>
    </w:p>
    <w:p>
      <w:pPr>
        <w:pStyle w:val="Style2"/>
        <w:keepNext w:val="0"/>
        <w:keepLines w:val="0"/>
        <w:widowControl w:val="0"/>
        <w:shd w:val="clear" w:color="auto" w:fill="auto"/>
        <w:bidi w:val="0"/>
        <w:spacing w:before="0" w:line="240" w:lineRule="auto"/>
        <w:ind w:left="860" w:right="0" w:firstLine="0"/>
        <w:jc w:val="both"/>
      </w:pPr>
      <w:r>
        <w:rPr>
          <w:spacing w:val="0"/>
          <w:w w:val="100"/>
          <w:position w:val="0"/>
          <w:shd w:val="clear" w:color="auto" w:fill="auto"/>
          <w:lang w:val="cs-CZ" w:eastAsia="cs-CZ" w:bidi="cs-CZ"/>
        </w:rPr>
        <w:t>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3"/>
        </w:numPr>
        <w:shd w:val="clear" w:color="auto" w:fill="auto"/>
        <w:tabs>
          <w:tab w:pos="850" w:val="left"/>
        </w:tabs>
        <w:bidi w:val="0"/>
        <w:spacing w:before="0" w:line="240" w:lineRule="auto"/>
        <w:ind w:left="860" w:right="0" w:hanging="860"/>
        <w:jc w:val="both"/>
      </w:pPr>
      <w:r>
        <w:rPr>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3"/>
        </w:numPr>
        <w:shd w:val="clear" w:color="auto" w:fill="auto"/>
        <w:tabs>
          <w:tab w:pos="850" w:val="left"/>
        </w:tabs>
        <w:bidi w:val="0"/>
        <w:spacing w:before="0" w:line="240" w:lineRule="auto"/>
        <w:ind w:left="860" w:right="0" w:hanging="860"/>
        <w:jc w:val="both"/>
      </w:pPr>
      <w:r>
        <w:rPr>
          <w:spacing w:val="0"/>
          <w:w w:val="100"/>
          <w:position w:val="0"/>
          <w:shd w:val="clear" w:color="auto" w:fill="auto"/>
          <w:lang w:val="cs-CZ" w:eastAsia="cs-CZ" w:bidi="cs-CZ"/>
        </w:rPr>
        <w:t xml:space="preserve">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w:t>
      </w:r>
      <w:r>
        <w:rPr>
          <w:spacing w:val="0"/>
          <w:w w:val="100"/>
          <w:position w:val="0"/>
          <w:shd w:val="clear" w:color="auto" w:fill="auto"/>
          <w:lang w:val="cs-CZ" w:eastAsia="cs-CZ" w:bidi="cs-CZ"/>
        </w:rPr>
        <w:t>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2"/>
        <w:keepNext w:val="0"/>
        <w:keepLines w:val="0"/>
        <w:widowControl w:val="0"/>
        <w:numPr>
          <w:ilvl w:val="0"/>
          <w:numId w:val="13"/>
        </w:numPr>
        <w:shd w:val="clear" w:color="auto" w:fill="auto"/>
        <w:tabs>
          <w:tab w:pos="820" w:val="left"/>
        </w:tabs>
        <w:bidi w:val="0"/>
        <w:spacing w:before="0" w:after="0" w:line="240" w:lineRule="auto"/>
        <w:ind w:left="0" w:right="0" w:firstLine="0"/>
        <w:jc w:val="both"/>
      </w:pPr>
      <w:r>
        <w:rPr>
          <w:spacing w:val="0"/>
          <w:w w:val="100"/>
          <w:position w:val="0"/>
          <w:shd w:val="clear" w:color="auto" w:fill="auto"/>
          <w:lang w:val="cs-CZ" w:eastAsia="cs-CZ" w:bidi="cs-CZ"/>
        </w:rPr>
        <w:t>Stanoví-li oprávněná smluvní strana druhé smluvní straně pro splnění jejího závazku</w:t>
      </w:r>
    </w:p>
    <w:p>
      <w:pPr>
        <w:pStyle w:val="Style2"/>
        <w:keepNext w:val="0"/>
        <w:keepLines w:val="0"/>
        <w:widowControl w:val="0"/>
        <w:shd w:val="clear" w:color="auto" w:fill="auto"/>
        <w:bidi w:val="0"/>
        <w:spacing w:before="0" w:line="240" w:lineRule="auto"/>
        <w:ind w:left="860" w:right="0" w:firstLine="0"/>
        <w:jc w:val="both"/>
      </w:pPr>
      <w:r>
        <w:rPr>
          <w:spacing w:val="0"/>
          <w:w w:val="100"/>
          <w:position w:val="0"/>
          <w:shd w:val="clear" w:color="auto" w:fill="auto"/>
          <w:lang w:val="cs-CZ" w:eastAsia="cs-CZ" w:bidi="cs-CZ"/>
        </w:rPr>
        <w:t>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3"/>
        </w:numPr>
        <w:shd w:val="clear" w:color="auto" w:fill="auto"/>
        <w:tabs>
          <w:tab w:pos="820" w:val="left"/>
        </w:tabs>
        <w:bidi w:val="0"/>
        <w:spacing w:before="0" w:line="240" w:lineRule="auto"/>
        <w:ind w:left="860" w:right="0" w:hanging="860"/>
        <w:jc w:val="both"/>
      </w:pPr>
      <w:r>
        <w:rPr>
          <w:spacing w:val="0"/>
          <w:w w:val="100"/>
          <w:position w:val="0"/>
          <w:shd w:val="clear" w:color="auto" w:fill="auto"/>
          <w:lang w:val="cs-CZ" w:eastAsia="cs-CZ" w:bidi="cs-CZ"/>
        </w:rPr>
        <w:t>Kterákoliv ze smluvních stran je oprávněna od smlouvy odstoupit v případě jejího podstatného porušení druhou smluvní stranou, za podmínek stanovených v § 2002 OZ.</w:t>
      </w:r>
    </w:p>
    <w:p>
      <w:pPr>
        <w:pStyle w:val="Style2"/>
        <w:keepNext w:val="0"/>
        <w:keepLines w:val="0"/>
        <w:widowControl w:val="0"/>
        <w:numPr>
          <w:ilvl w:val="0"/>
          <w:numId w:val="13"/>
        </w:numPr>
        <w:shd w:val="clear" w:color="auto" w:fill="auto"/>
        <w:tabs>
          <w:tab w:pos="820" w:val="left"/>
        </w:tabs>
        <w:bidi w:val="0"/>
        <w:spacing w:before="0" w:line="240" w:lineRule="auto"/>
        <w:ind w:left="0" w:right="0" w:firstLine="0"/>
        <w:jc w:val="both"/>
      </w:pPr>
      <w:r>
        <w:rPr>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5"/>
        </w:numPr>
        <w:shd w:val="clear" w:color="auto" w:fill="auto"/>
        <w:tabs>
          <w:tab w:pos="1038" w:val="left"/>
        </w:tabs>
        <w:bidi w:val="0"/>
        <w:spacing w:before="0" w:line="240" w:lineRule="auto"/>
        <w:ind w:left="0" w:right="0" w:firstLine="720"/>
        <w:jc w:val="both"/>
      </w:pPr>
      <w:r>
        <w:rPr>
          <w:spacing w:val="0"/>
          <w:w w:val="100"/>
          <w:position w:val="0"/>
          <w:shd w:val="clear" w:color="auto" w:fill="auto"/>
          <w:lang w:val="cs-CZ" w:eastAsia="cs-CZ" w:bidi="cs-CZ"/>
        </w:rPr>
        <w:t xml:space="preserve">v případě podstatného porušení smlouvy dle </w:t>
      </w:r>
      <w:r>
        <w:rPr>
          <w:b/>
          <w:bCs/>
          <w:spacing w:val="0"/>
          <w:w w:val="100"/>
          <w:position w:val="0"/>
          <w:shd w:val="clear" w:color="auto" w:fill="auto"/>
          <w:lang w:val="cs-CZ" w:eastAsia="cs-CZ" w:bidi="cs-CZ"/>
        </w:rPr>
        <w:t xml:space="preserve">článku 9 </w:t>
      </w:r>
      <w:r>
        <w:rPr>
          <w:spacing w:val="0"/>
          <w:w w:val="100"/>
          <w:position w:val="0"/>
          <w:shd w:val="clear" w:color="auto" w:fill="auto"/>
          <w:lang w:val="cs-CZ" w:eastAsia="cs-CZ" w:bidi="cs-CZ"/>
        </w:rPr>
        <w:t>této smlouvy; a nebo</w:t>
      </w:r>
    </w:p>
    <w:p>
      <w:pPr>
        <w:pStyle w:val="Style2"/>
        <w:keepNext w:val="0"/>
        <w:keepLines w:val="0"/>
        <w:widowControl w:val="0"/>
        <w:numPr>
          <w:ilvl w:val="0"/>
          <w:numId w:val="15"/>
        </w:numPr>
        <w:shd w:val="clear" w:color="auto" w:fill="auto"/>
        <w:tabs>
          <w:tab w:pos="1052" w:val="left"/>
        </w:tabs>
        <w:bidi w:val="0"/>
        <w:spacing w:before="0" w:line="240" w:lineRule="auto"/>
        <w:ind w:left="0" w:right="0" w:firstLine="720"/>
        <w:jc w:val="both"/>
      </w:pPr>
      <w:r>
        <w:rPr>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5"/>
        </w:numPr>
        <w:shd w:val="clear" w:color="auto" w:fill="auto"/>
        <w:tabs>
          <w:tab w:pos="1038" w:val="left"/>
        </w:tabs>
        <w:bidi w:val="0"/>
        <w:spacing w:before="0" w:line="240" w:lineRule="auto"/>
        <w:ind w:left="1000" w:right="0" w:hanging="280"/>
        <w:jc w:val="both"/>
      </w:pPr>
      <w:r>
        <w:rPr>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5"/>
        </w:numPr>
        <w:shd w:val="clear" w:color="auto" w:fill="auto"/>
        <w:tabs>
          <w:tab w:pos="1052" w:val="left"/>
        </w:tabs>
        <w:bidi w:val="0"/>
        <w:spacing w:before="0" w:line="240" w:lineRule="auto"/>
        <w:ind w:left="0" w:right="0" w:firstLine="720"/>
        <w:jc w:val="both"/>
      </w:pPr>
      <w:r>
        <w:rPr>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5"/>
        </w:numPr>
        <w:shd w:val="clear" w:color="auto" w:fill="auto"/>
        <w:tabs>
          <w:tab w:pos="1038" w:val="left"/>
        </w:tabs>
        <w:bidi w:val="0"/>
        <w:spacing w:before="0" w:line="240" w:lineRule="auto"/>
        <w:ind w:left="0" w:right="0" w:firstLine="720"/>
        <w:jc w:val="both"/>
      </w:pPr>
      <w:r>
        <w:rPr>
          <w:spacing w:val="0"/>
          <w:w w:val="100"/>
          <w:position w:val="0"/>
          <w:shd w:val="clear" w:color="auto" w:fill="auto"/>
          <w:lang w:val="cs-CZ" w:eastAsia="cs-CZ" w:bidi="cs-CZ"/>
        </w:rPr>
        <w:t>v případech stanovených v § 223 ZZVZ; a</w:t>
      </w:r>
    </w:p>
    <w:p>
      <w:pPr>
        <w:pStyle w:val="Style2"/>
        <w:keepNext w:val="0"/>
        <w:keepLines w:val="0"/>
        <w:widowControl w:val="0"/>
        <w:numPr>
          <w:ilvl w:val="0"/>
          <w:numId w:val="15"/>
        </w:numPr>
        <w:shd w:val="clear" w:color="auto" w:fill="auto"/>
        <w:tabs>
          <w:tab w:pos="1008" w:val="left"/>
        </w:tabs>
        <w:bidi w:val="0"/>
        <w:spacing w:before="0" w:line="240" w:lineRule="auto"/>
        <w:ind w:left="1000" w:right="0" w:hanging="280"/>
        <w:jc w:val="both"/>
      </w:pPr>
      <w:r>
        <w:rPr>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2"/>
        <w:keepNext w:val="0"/>
        <w:keepLines w:val="0"/>
        <w:widowControl w:val="0"/>
        <w:numPr>
          <w:ilvl w:val="0"/>
          <w:numId w:val="15"/>
        </w:numPr>
        <w:shd w:val="clear" w:color="auto" w:fill="auto"/>
        <w:tabs>
          <w:tab w:pos="1052" w:val="left"/>
        </w:tabs>
        <w:bidi w:val="0"/>
        <w:spacing w:before="0" w:after="340" w:line="240" w:lineRule="auto"/>
        <w:ind w:left="1000" w:right="0" w:hanging="280"/>
        <w:jc w:val="both"/>
      </w:pPr>
      <w:r>
        <w:rPr>
          <w:spacing w:val="0"/>
          <w:w w:val="100"/>
          <w:position w:val="0"/>
          <w:shd w:val="clear" w:color="auto" w:fill="auto"/>
          <w:lang w:val="cs-CZ" w:eastAsia="cs-CZ" w:bidi="cs-CZ"/>
        </w:rPr>
        <w:t xml:space="preserve">dojde-li ze strany prodávajícího k porušení ustanovení dle odst. </w:t>
      </w: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 xml:space="preserve">a </w:t>
      </w:r>
      <w:r>
        <w:rPr>
          <w:b/>
          <w:bCs/>
          <w:spacing w:val="0"/>
          <w:w w:val="100"/>
          <w:position w:val="0"/>
          <w:shd w:val="clear" w:color="auto" w:fill="auto"/>
          <w:lang w:val="cs-CZ" w:eastAsia="cs-CZ" w:bidi="cs-CZ"/>
        </w:rPr>
        <w:t xml:space="preserve">12.2. </w:t>
      </w:r>
      <w:r>
        <w:rPr>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after="240" w:line="240" w:lineRule="auto"/>
        <w:ind w:left="0" w:right="0" w:firstLine="0"/>
        <w:jc w:val="center"/>
      </w:pPr>
      <w:bookmarkStart w:id="16" w:name="bookmark16"/>
      <w:bookmarkStart w:id="17" w:name="bookmark17"/>
      <w:r>
        <w:rPr>
          <w:spacing w:val="0"/>
          <w:w w:val="100"/>
          <w:position w:val="0"/>
          <w:shd w:val="clear" w:color="auto" w:fill="auto"/>
          <w:lang w:val="cs-CZ" w:eastAsia="cs-CZ" w:bidi="cs-CZ"/>
        </w:rPr>
        <w:t>Platnost a účinnost smlouvy</w:t>
      </w:r>
      <w:bookmarkEnd w:id="16"/>
      <w:bookmarkEnd w:id="17"/>
    </w:p>
    <w:p>
      <w:pPr>
        <w:pStyle w:val="Style2"/>
        <w:keepNext w:val="0"/>
        <w:keepLines w:val="0"/>
        <w:widowControl w:val="0"/>
        <w:numPr>
          <w:ilvl w:val="0"/>
          <w:numId w:val="17"/>
        </w:numPr>
        <w:shd w:val="clear" w:color="auto" w:fill="auto"/>
        <w:tabs>
          <w:tab w:pos="820" w:val="left"/>
        </w:tabs>
        <w:bidi w:val="0"/>
        <w:spacing w:before="0" w:line="240" w:lineRule="auto"/>
        <w:ind w:left="860" w:right="0" w:hanging="860"/>
        <w:jc w:val="both"/>
      </w:pPr>
      <w:r>
        <w:rPr>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7"/>
        </w:numPr>
        <w:shd w:val="clear" w:color="auto" w:fill="auto"/>
        <w:tabs>
          <w:tab w:pos="820" w:val="left"/>
        </w:tabs>
        <w:bidi w:val="0"/>
        <w:spacing w:before="0" w:line="240" w:lineRule="auto"/>
        <w:ind w:left="860" w:right="0" w:hanging="860"/>
        <w:jc w:val="both"/>
      </w:pPr>
      <w:r>
        <w:rPr>
          <w:spacing w:val="0"/>
          <w:w w:val="100"/>
          <w:position w:val="0"/>
          <w:shd w:val="clear" w:color="auto" w:fill="auto"/>
          <w:lang w:val="cs-CZ" w:eastAsia="cs-CZ" w:bidi="cs-CZ"/>
        </w:rPr>
        <w:t xml:space="preserve">Smlouva je </w:t>
      </w:r>
      <w:r>
        <w:rPr>
          <w:b/>
          <w:bCs/>
          <w:spacing w:val="0"/>
          <w:w w:val="100"/>
          <w:position w:val="0"/>
          <w:u w:val="single"/>
          <w:shd w:val="clear" w:color="auto" w:fill="auto"/>
          <w:lang w:val="cs-CZ" w:eastAsia="cs-CZ" w:bidi="cs-CZ"/>
        </w:rPr>
        <w:t>platná</w:t>
      </w:r>
      <w:r>
        <w:rPr>
          <w:b/>
          <w:bCs/>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7"/>
        </w:numPr>
        <w:shd w:val="clear" w:color="auto" w:fill="auto"/>
        <w:tabs>
          <w:tab w:pos="820" w:val="left"/>
        </w:tabs>
        <w:bidi w:val="0"/>
        <w:spacing w:before="0" w:line="240" w:lineRule="auto"/>
        <w:ind w:left="0" w:right="0" w:firstLine="0"/>
        <w:jc w:val="both"/>
      </w:pPr>
      <w:r>
        <w:rPr>
          <w:spacing w:val="0"/>
          <w:w w:val="100"/>
          <w:position w:val="0"/>
          <w:shd w:val="clear" w:color="auto" w:fill="auto"/>
          <w:lang w:val="cs-CZ" w:eastAsia="cs-CZ" w:bidi="cs-CZ"/>
        </w:rPr>
        <w:t xml:space="preserve">Smlouva je </w:t>
      </w:r>
      <w:r>
        <w:rPr>
          <w:b/>
          <w:bCs/>
          <w:spacing w:val="0"/>
          <w:w w:val="100"/>
          <w:position w:val="0"/>
          <w:u w:val="single"/>
          <w:shd w:val="clear" w:color="auto" w:fill="auto"/>
          <w:lang w:val="cs-CZ" w:eastAsia="cs-CZ" w:bidi="cs-CZ"/>
        </w:rPr>
        <w:t>účinná</w:t>
      </w:r>
      <w:r>
        <w:rPr>
          <w:b/>
          <w:bCs/>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dnem jejího uveřejnění v Registru smluv.</w:t>
      </w:r>
    </w:p>
    <w:p>
      <w:pPr>
        <w:pStyle w:val="Style16"/>
        <w:keepNext/>
        <w:keepLines/>
        <w:widowControl w:val="0"/>
        <w:shd w:val="clear" w:color="auto" w:fill="auto"/>
        <w:bidi w:val="0"/>
        <w:spacing w:before="0" w:after="240" w:line="240" w:lineRule="auto"/>
        <w:ind w:left="0" w:right="0" w:firstLine="0"/>
        <w:jc w:val="center"/>
      </w:pPr>
      <w:bookmarkStart w:id="18" w:name="bookmark18"/>
      <w:bookmarkStart w:id="19" w:name="bookmark19"/>
      <w:r>
        <w:rPr>
          <w:spacing w:val="0"/>
          <w:w w:val="100"/>
          <w:position w:val="0"/>
          <w:shd w:val="clear" w:color="auto" w:fill="auto"/>
          <w:lang w:val="cs-CZ" w:eastAsia="cs-CZ" w:bidi="cs-CZ"/>
        </w:rPr>
        <w:t>Článek 12</w:t>
        <w:br/>
        <w:t>Zvláštní ustanovení</w:t>
      </w:r>
      <w:bookmarkEnd w:id="18"/>
      <w:bookmarkEnd w:id="19"/>
    </w:p>
    <w:p>
      <w:pPr>
        <w:pStyle w:val="Style2"/>
        <w:keepNext w:val="0"/>
        <w:keepLines w:val="0"/>
        <w:widowControl w:val="0"/>
        <w:shd w:val="clear" w:color="auto" w:fill="auto"/>
        <w:bidi w:val="0"/>
        <w:spacing w:before="0" w:line="240" w:lineRule="auto"/>
        <w:ind w:left="720" w:right="0" w:hanging="720"/>
        <w:jc w:val="both"/>
      </w:pP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19"/>
        </w:numPr>
        <w:shd w:val="clear" w:color="auto" w:fill="auto"/>
        <w:tabs>
          <w:tab w:pos="837" w:val="left"/>
        </w:tabs>
        <w:bidi w:val="0"/>
        <w:spacing w:before="0" w:after="180" w:line="240" w:lineRule="auto"/>
        <w:ind w:left="720" w:right="0" w:hanging="720"/>
        <w:jc w:val="both"/>
      </w:pPr>
      <w:r>
        <w:rPr>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1"/>
        </w:numPr>
        <w:shd w:val="clear" w:color="auto" w:fill="auto"/>
        <w:tabs>
          <w:tab w:pos="1147" w:val="left"/>
        </w:tabs>
        <w:bidi w:val="0"/>
        <w:spacing w:before="0" w:after="180" w:line="240" w:lineRule="auto"/>
        <w:ind w:left="0" w:right="0" w:firstLine="720"/>
        <w:jc w:val="both"/>
      </w:pPr>
      <w:r>
        <w:rPr>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1"/>
        </w:numPr>
        <w:shd w:val="clear" w:color="auto" w:fill="auto"/>
        <w:tabs>
          <w:tab w:pos="1147" w:val="left"/>
        </w:tabs>
        <w:bidi w:val="0"/>
        <w:spacing w:before="0" w:after="180" w:line="240" w:lineRule="auto"/>
        <w:ind w:left="1140" w:right="0" w:hanging="420"/>
        <w:jc w:val="both"/>
      </w:pPr>
      <w:r>
        <w:rPr>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1"/>
        </w:numPr>
        <w:shd w:val="clear" w:color="auto" w:fill="auto"/>
        <w:tabs>
          <w:tab w:pos="1147" w:val="left"/>
        </w:tabs>
        <w:bidi w:val="0"/>
        <w:spacing w:before="0" w:after="180" w:line="240" w:lineRule="auto"/>
        <w:ind w:left="1140" w:right="0" w:hanging="420"/>
        <w:jc w:val="both"/>
      </w:pPr>
      <w:r>
        <w:rPr>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shd w:val="clear" w:color="auto" w:fill="auto"/>
        <w:bidi w:val="0"/>
        <w:spacing w:before="0" w:after="460" w:line="240" w:lineRule="auto"/>
        <w:ind w:left="720" w:right="0" w:hanging="720"/>
        <w:jc w:val="both"/>
      </w:pPr>
      <w:r>
        <w:rPr>
          <w:b/>
          <w:bCs/>
          <w:spacing w:val="0"/>
          <w:w w:val="100"/>
          <w:position w:val="0"/>
          <w:shd w:val="clear" w:color="auto" w:fill="auto"/>
          <w:lang w:val="cs-CZ" w:eastAsia="cs-CZ" w:bidi="cs-CZ"/>
        </w:rPr>
        <w:t xml:space="preserve">12.3. </w:t>
      </w:r>
      <w:r>
        <w:rPr>
          <w:spacing w:val="0"/>
          <w:w w:val="100"/>
          <w:position w:val="0"/>
          <w:shd w:val="clear" w:color="auto" w:fill="auto"/>
          <w:lang w:val="cs-CZ" w:eastAsia="cs-CZ" w:bidi="cs-CZ"/>
        </w:rPr>
        <w:t xml:space="preserve">Ke změně ustanovení dle odst. </w:t>
      </w:r>
      <w:r>
        <w:rPr>
          <w:b/>
          <w:bCs/>
          <w:spacing w:val="0"/>
          <w:w w:val="100"/>
          <w:position w:val="0"/>
          <w:shd w:val="clear" w:color="auto" w:fill="auto"/>
          <w:lang w:val="cs-CZ" w:eastAsia="cs-CZ" w:bidi="cs-CZ"/>
        </w:rPr>
        <w:t xml:space="preserve">10.7. písm. g. </w:t>
      </w:r>
      <w:r>
        <w:rPr>
          <w:spacing w:val="0"/>
          <w:w w:val="100"/>
          <w:position w:val="0"/>
          <w:shd w:val="clear" w:color="auto" w:fill="auto"/>
          <w:lang w:val="cs-CZ" w:eastAsia="cs-CZ" w:bidi="cs-CZ"/>
        </w:rPr>
        <w:t xml:space="preserve">a odst. </w:t>
      </w: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 xml:space="preserve">a </w:t>
      </w:r>
      <w:r>
        <w:rPr>
          <w:b/>
          <w:bCs/>
          <w:spacing w:val="0"/>
          <w:w w:val="100"/>
          <w:position w:val="0"/>
          <w:shd w:val="clear" w:color="auto" w:fill="auto"/>
          <w:lang w:val="cs-CZ" w:eastAsia="cs-CZ" w:bidi="cs-CZ"/>
        </w:rPr>
        <w:t xml:space="preserve">12.2. </w:t>
      </w:r>
      <w:r>
        <w:rPr>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16"/>
        <w:keepNext/>
        <w:keepLines/>
        <w:widowControl w:val="0"/>
        <w:shd w:val="clear" w:color="auto" w:fill="auto"/>
        <w:bidi w:val="0"/>
        <w:spacing w:before="0" w:after="100" w:line="240" w:lineRule="auto"/>
        <w:ind w:left="0" w:right="0" w:firstLine="0"/>
        <w:jc w:val="center"/>
      </w:pPr>
      <w:bookmarkStart w:id="20" w:name="bookmark20"/>
      <w:bookmarkStart w:id="21" w:name="bookmark21"/>
      <w:r>
        <w:rPr>
          <w:spacing w:val="0"/>
          <w:w w:val="100"/>
          <w:position w:val="0"/>
          <w:shd w:val="clear" w:color="auto" w:fill="auto"/>
          <w:lang w:val="cs-CZ" w:eastAsia="cs-CZ" w:bidi="cs-CZ"/>
        </w:rPr>
        <w:t>Článek 13</w:t>
        <w:br/>
        <w:t>Závěrečná ujednání</w:t>
      </w:r>
      <w:bookmarkEnd w:id="20"/>
      <w:bookmarkEnd w:id="21"/>
    </w:p>
    <w:p>
      <w:pPr>
        <w:pStyle w:val="Style2"/>
        <w:keepNext w:val="0"/>
        <w:keepLines w:val="0"/>
        <w:widowControl w:val="0"/>
        <w:shd w:val="clear" w:color="auto" w:fill="auto"/>
        <w:bidi w:val="0"/>
        <w:spacing w:before="0" w:line="240" w:lineRule="auto"/>
        <w:ind w:left="860" w:right="0" w:hanging="860"/>
        <w:jc w:val="both"/>
      </w:pPr>
      <w:r>
        <w:rPr>
          <w:b/>
          <w:bCs/>
          <w:spacing w:val="0"/>
          <w:w w:val="100"/>
          <w:position w:val="0"/>
          <w:shd w:val="clear" w:color="auto" w:fill="auto"/>
          <w:lang w:val="cs-CZ" w:eastAsia="cs-CZ" w:bidi="cs-CZ"/>
        </w:rPr>
        <w:t xml:space="preserve">13.1. </w:t>
      </w:r>
      <w:r>
        <w:rPr>
          <w:spacing w:val="0"/>
          <w:w w:val="100"/>
          <w:position w:val="0"/>
          <w:shd w:val="clear" w:color="auto" w:fill="auto"/>
          <w:lang w:val="cs-CZ" w:eastAsia="cs-CZ" w:bidi="cs-CZ"/>
        </w:rPr>
        <w:t>Prodávající souhlasí se zveřejněním případných informací o této smlouvě dle zákona č. 106/1999 Sb. o svobodném přístupu k informacím, v jeho platném znění,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 219 ZZVZ a v Registru smluv dle zákona č. 340/2015 Sb. o zvláštních podmínkách účinnosti některých smluv, uveřejňování těchto smluv a o registru smluv, v platném znění (zákon o registru smluv). Smlouvu bude dle vůle smluvních stran na profilu zadavatele a v registru smluv v souladu s příslušnými právními předpisy, zejména ve lhůtách stanovených příslušnými právními předpisy, zveřejňovat kupující.</w:t>
      </w:r>
    </w:p>
    <w:p>
      <w:pPr>
        <w:pStyle w:val="Style2"/>
        <w:keepNext w:val="0"/>
        <w:keepLines w:val="0"/>
        <w:widowControl w:val="0"/>
        <w:numPr>
          <w:ilvl w:val="0"/>
          <w:numId w:val="23"/>
        </w:numPr>
        <w:shd w:val="clear" w:color="auto" w:fill="auto"/>
        <w:tabs>
          <w:tab w:pos="837" w:val="left"/>
        </w:tabs>
        <w:bidi w:val="0"/>
        <w:spacing w:before="0" w:line="240" w:lineRule="auto"/>
        <w:ind w:left="860" w:right="0" w:hanging="860"/>
        <w:jc w:val="both"/>
      </w:pPr>
      <w:r>
        <w:rPr>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23"/>
        </w:numPr>
        <w:shd w:val="clear" w:color="auto" w:fill="auto"/>
        <w:tabs>
          <w:tab w:pos="837" w:val="left"/>
        </w:tabs>
        <w:bidi w:val="0"/>
        <w:spacing w:before="0" w:line="240" w:lineRule="auto"/>
        <w:ind w:left="860" w:right="0" w:hanging="860"/>
        <w:jc w:val="both"/>
      </w:pPr>
      <w:r>
        <w:rPr>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23"/>
        </w:numPr>
        <w:shd w:val="clear" w:color="auto" w:fill="auto"/>
        <w:tabs>
          <w:tab w:pos="837" w:val="left"/>
        </w:tabs>
        <w:bidi w:val="0"/>
        <w:spacing w:before="0" w:after="0" w:line="240" w:lineRule="auto"/>
        <w:ind w:left="0" w:right="0" w:firstLine="0"/>
        <w:jc w:val="both"/>
      </w:pPr>
      <w:r>
        <w:rPr>
          <w:spacing w:val="0"/>
          <w:w w:val="100"/>
          <w:position w:val="0"/>
          <w:shd w:val="clear" w:color="auto" w:fill="auto"/>
          <w:lang w:val="cs-CZ" w:eastAsia="cs-CZ" w:bidi="cs-CZ"/>
        </w:rPr>
        <w:t>Nestanoví-li smlouva jinak, řídí se plnění této smlouvy příslušným zákonem č. 89/2012 Sb.,</w:t>
      </w:r>
    </w:p>
    <w:p>
      <w:pPr>
        <w:pStyle w:val="Style2"/>
        <w:keepNext w:val="0"/>
        <w:keepLines w:val="0"/>
        <w:widowControl w:val="0"/>
        <w:shd w:val="clear" w:color="auto" w:fill="auto"/>
        <w:bidi w:val="0"/>
        <w:spacing w:before="0" w:line="240" w:lineRule="auto"/>
        <w:ind w:left="0" w:right="0" w:firstLine="860"/>
        <w:jc w:val="both"/>
      </w:pPr>
      <w:r>
        <w:rPr>
          <w:spacing w:val="0"/>
          <w:w w:val="100"/>
          <w:position w:val="0"/>
          <w:shd w:val="clear" w:color="auto" w:fill="auto"/>
          <w:lang w:val="cs-CZ" w:eastAsia="cs-CZ" w:bidi="cs-CZ"/>
        </w:rPr>
        <w:t>v platném znění.</w:t>
      </w:r>
    </w:p>
    <w:p>
      <w:pPr>
        <w:pStyle w:val="Style2"/>
        <w:keepNext w:val="0"/>
        <w:keepLines w:val="0"/>
        <w:widowControl w:val="0"/>
        <w:numPr>
          <w:ilvl w:val="0"/>
          <w:numId w:val="23"/>
        </w:numPr>
        <w:shd w:val="clear" w:color="auto" w:fill="auto"/>
        <w:tabs>
          <w:tab w:pos="837" w:val="left"/>
        </w:tabs>
        <w:bidi w:val="0"/>
        <w:spacing w:before="0" w:line="240" w:lineRule="auto"/>
        <w:ind w:left="860" w:right="0" w:hanging="860"/>
        <w:jc w:val="both"/>
      </w:pPr>
      <w:r>
        <w:rPr>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3"/>
        </w:numPr>
        <w:shd w:val="clear" w:color="auto" w:fill="auto"/>
        <w:tabs>
          <w:tab w:pos="837" w:val="left"/>
        </w:tabs>
        <w:bidi w:val="0"/>
        <w:spacing w:before="0" w:line="240" w:lineRule="auto"/>
        <w:ind w:left="860" w:right="0" w:hanging="860"/>
        <w:jc w:val="both"/>
      </w:pPr>
      <w:r>
        <w:rPr>
          <w:spacing w:val="0"/>
          <w:w w:val="100"/>
          <w:position w:val="0"/>
          <w:shd w:val="clear" w:color="auto" w:fill="auto"/>
          <w:lang w:val="cs-CZ" w:eastAsia="cs-CZ" w:bidi="cs-CZ"/>
        </w:rPr>
        <w:t>Smluvní strany se dohodly, že na jejich vztah upravený touto smlouvou se dále neužijí ustanovení § 1921, § 1978 odst. 2, § 2093, § 2099 odst. 2, § 2106 odst. 3, § 2111 a § 2112 OZ.</w:t>
      </w:r>
    </w:p>
    <w:p>
      <w:pPr>
        <w:pStyle w:val="Style2"/>
        <w:keepNext w:val="0"/>
        <w:keepLines w:val="0"/>
        <w:widowControl w:val="0"/>
        <w:numPr>
          <w:ilvl w:val="0"/>
          <w:numId w:val="23"/>
        </w:numPr>
        <w:shd w:val="clear" w:color="auto" w:fill="auto"/>
        <w:tabs>
          <w:tab w:pos="837" w:val="left"/>
        </w:tabs>
        <w:bidi w:val="0"/>
        <w:spacing w:before="0" w:after="0" w:line="240" w:lineRule="auto"/>
        <w:ind w:left="0" w:right="0" w:firstLine="0"/>
        <w:jc w:val="both"/>
      </w:pPr>
      <w:r>
        <w:rPr>
          <w:spacing w:val="0"/>
          <w:w w:val="100"/>
          <w:position w:val="0"/>
          <w:shd w:val="clear" w:color="auto" w:fill="auto"/>
          <w:lang w:val="cs-CZ" w:eastAsia="cs-CZ" w:bidi="cs-CZ"/>
        </w:rPr>
        <w:t>Případné obchodní zvyklosti, týkající se sjednaného plnění, nemají přednost před smluvními</w:t>
      </w:r>
    </w:p>
    <w:p>
      <w:pPr>
        <w:pStyle w:val="Style2"/>
        <w:keepNext w:val="0"/>
        <w:keepLines w:val="0"/>
        <w:widowControl w:val="0"/>
        <w:shd w:val="clear" w:color="auto" w:fill="auto"/>
        <w:bidi w:val="0"/>
        <w:spacing w:before="0" w:line="240" w:lineRule="auto"/>
        <w:ind w:left="0" w:right="0" w:firstLine="860"/>
        <w:jc w:val="both"/>
      </w:pPr>
      <w:r>
        <w:rPr>
          <w:spacing w:val="0"/>
          <w:w w:val="100"/>
          <w:position w:val="0"/>
          <w:shd w:val="clear" w:color="auto" w:fill="auto"/>
          <w:lang w:val="cs-CZ" w:eastAsia="cs-CZ" w:bidi="cs-CZ"/>
        </w:rPr>
        <w:t>ujednáními, ani před ustanoveními zákona, byť by tato neměla donucující účinky.</w:t>
      </w:r>
    </w:p>
    <w:p>
      <w:pPr>
        <w:pStyle w:val="Style2"/>
        <w:keepNext w:val="0"/>
        <w:keepLines w:val="0"/>
        <w:widowControl w:val="0"/>
        <w:numPr>
          <w:ilvl w:val="0"/>
          <w:numId w:val="23"/>
        </w:numPr>
        <w:shd w:val="clear" w:color="auto" w:fill="auto"/>
        <w:tabs>
          <w:tab w:pos="837" w:val="left"/>
        </w:tabs>
        <w:bidi w:val="0"/>
        <w:spacing w:before="0" w:line="240" w:lineRule="auto"/>
        <w:ind w:left="860" w:right="0" w:hanging="860"/>
        <w:jc w:val="both"/>
      </w:pPr>
      <w:r>
        <w:rPr>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r>
        <w:br w:type="page"/>
      </w:r>
    </w:p>
    <w:p>
      <w:pPr>
        <w:pStyle w:val="Style2"/>
        <w:keepNext w:val="0"/>
        <w:keepLines w:val="0"/>
        <w:widowControl w:val="0"/>
        <w:shd w:val="clear" w:color="auto" w:fill="auto"/>
        <w:bidi w:val="0"/>
        <w:spacing w:before="0" w:after="40" w:line="240" w:lineRule="auto"/>
        <w:ind w:left="0" w:right="0" w:firstLine="0"/>
        <w:jc w:val="left"/>
      </w:pPr>
      <w:r>
        <w:rPr>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40" w:line="240" w:lineRule="auto"/>
        <w:ind w:left="0" w:right="0" w:firstLine="380"/>
        <w:jc w:val="left"/>
      </w:pPr>
      <w:r>
        <w:rPr>
          <w:rFonts w:ascii="Times New Roman" w:eastAsia="Times New Roman" w:hAnsi="Times New Roman" w:cs="Times New Roman"/>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příloha A1 Údaje, které jsou součástí ujednání a nebudou zveřejněny v Registru smluv</w:t>
      </w:r>
    </w:p>
    <w:p>
      <w:pPr>
        <w:pStyle w:val="Style2"/>
        <w:keepNext w:val="0"/>
        <w:keepLines w:val="0"/>
        <w:widowControl w:val="0"/>
        <w:shd w:val="clear" w:color="auto" w:fill="auto"/>
        <w:bidi w:val="0"/>
        <w:spacing w:before="0" w:after="280" w:line="240" w:lineRule="auto"/>
        <w:ind w:left="0" w:right="0" w:firstLine="380"/>
        <w:jc w:val="left"/>
      </w:pPr>
      <w:r>
        <w:rPr>
          <w:rFonts w:ascii="Times New Roman" w:eastAsia="Times New Roman" w:hAnsi="Times New Roman" w:cs="Times New Roman"/>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příloha A2 Technické parametry a specifikace</w:t>
      </w:r>
    </w:p>
    <w:p>
      <w:pPr>
        <w:pStyle w:val="Style2"/>
        <w:keepNext w:val="0"/>
        <w:keepLines w:val="0"/>
        <w:widowControl w:val="0"/>
        <w:shd w:val="clear" w:color="auto" w:fill="auto"/>
        <w:bidi w:val="0"/>
        <w:spacing w:before="0" w:after="880" w:line="276" w:lineRule="auto"/>
        <w:ind w:left="0" w:right="0" w:firstLine="0"/>
        <w:jc w:val="left"/>
      </w:pPr>
      <w:r>
        <w:rPr>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160" w:line="240" w:lineRule="auto"/>
        <w:ind w:left="0" w:right="0" w:firstLine="740"/>
        <w:jc w:val="left"/>
      </w:pPr>
      <w:r>
        <mc:AlternateContent>
          <mc:Choice Requires="wps">
            <w:drawing>
              <wp:anchor distT="0" distB="0" distL="114300" distR="114300" simplePos="0" relativeHeight="125829378" behindDoc="0" locked="0" layoutInCell="1" allowOverlap="1">
                <wp:simplePos x="0" y="0"/>
                <wp:positionH relativeFrom="page">
                  <wp:posOffset>4392930</wp:posOffset>
                </wp:positionH>
                <wp:positionV relativeFrom="paragraph">
                  <wp:posOffset>12700</wp:posOffset>
                </wp:positionV>
                <wp:extent cx="563880" cy="170815"/>
                <wp:wrapSquare wrapText="left"/>
                <wp:docPr id="13" name="Shape 13"/>
                <a:graphic xmlns:a="http://schemas.openxmlformats.org/drawingml/2006/main">
                  <a:graphicData uri="http://schemas.microsoft.com/office/word/2010/wordprocessingShape">
                    <wps:wsp>
                      <wps:cNvSpPr txBox="1"/>
                      <wps:spPr>
                        <a:xfrm>
                          <a:ext cx="56388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9" type="#_x0000_t202" style="position:absolute;margin-left:345.89999999999998pt;margin-top:1.pt;width:44.399999999999999pt;height:13.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 Jihlavě</w:t>
                      </w:r>
                    </w:p>
                  </w:txbxContent>
                </v:textbox>
                <w10:wrap type="square" side="left" anchorx="page"/>
              </v:shape>
            </w:pict>
          </mc:Fallback>
        </mc:AlternateContent>
      </w:r>
      <w:r>
        <w:rPr>
          <w:spacing w:val="0"/>
          <w:w w:val="100"/>
          <w:position w:val="0"/>
          <w:shd w:val="clear" w:color="auto" w:fill="auto"/>
          <w:lang w:val="cs-CZ" w:eastAsia="cs-CZ" w:bidi="cs-CZ"/>
        </w:rPr>
        <w:t>V Hustopečích</w:t>
      </w:r>
    </w:p>
    <w:p>
      <w:pPr>
        <w:widowControl w:val="0"/>
        <w:spacing w:line="1" w:lineRule="exact"/>
        <w:sectPr>
          <w:footnotePr>
            <w:pos w:val="pageBottom"/>
            <w:numFmt w:val="decimal"/>
            <w:numRestart w:val="continuous"/>
          </w:footnotePr>
          <w:pgSz w:w="11900" w:h="16840"/>
          <w:pgMar w:top="1446" w:left="1367" w:right="1356" w:bottom="1480" w:header="0" w:footer="3" w:gutter="0"/>
          <w:cols w:space="720"/>
          <w:noEndnote/>
          <w:rtlGutter w:val="0"/>
          <w:docGrid w:linePitch="360"/>
        </w:sectPr>
      </w:pPr>
      <w:r>
        <mc:AlternateContent>
          <mc:Choice Requires="wps">
            <w:drawing>
              <wp:anchor distT="1231900" distB="170815" distL="0" distR="0" simplePos="0" relativeHeight="125829380" behindDoc="0" locked="0" layoutInCell="1" allowOverlap="1">
                <wp:simplePos x="0" y="0"/>
                <wp:positionH relativeFrom="page">
                  <wp:posOffset>1341755</wp:posOffset>
                </wp:positionH>
                <wp:positionV relativeFrom="paragraph">
                  <wp:posOffset>1231900</wp:posOffset>
                </wp:positionV>
                <wp:extent cx="2270760" cy="359410"/>
                <wp:wrapTopAndBottom/>
                <wp:docPr id="15" name="Shape 15"/>
                <a:graphic xmlns:a="http://schemas.openxmlformats.org/drawingml/2006/main">
                  <a:graphicData uri="http://schemas.microsoft.com/office/word/2010/wordprocessingShape">
                    <wps:wsp>
                      <wps:cNvSpPr txBox="1"/>
                      <wps:spPr>
                        <a:xfrm>
                          <a:ext cx="2270760" cy="359410"/>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Robert Labík, na základě pověření, AGROTEC a.s.</w:t>
                            </w:r>
                          </w:p>
                        </w:txbxContent>
                      </wps:txbx>
                      <wps:bodyPr lIns="0" tIns="0" rIns="0" bIns="0">
                        <a:noAutoFit/>
                      </wps:bodyPr>
                    </wps:wsp>
                  </a:graphicData>
                </a:graphic>
              </wp:anchor>
            </w:drawing>
          </mc:Choice>
          <mc:Fallback>
            <w:pict>
              <v:shape id="_x0000_s1041" type="#_x0000_t202" style="position:absolute;margin-left:105.65000000000001pt;margin-top:97.pt;width:178.80000000000001pt;height:28.300000000000001pt;z-index:-125829373;mso-wrap-distance-left:0;mso-wrap-distance-top:97.pt;mso-wrap-distance-right:0;mso-wrap-distance-bottom:13.449999999999999pt;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Robert Labík, na základě pověření, AGROTEC a.s.</w:t>
                      </w:r>
                    </w:p>
                  </w:txbxContent>
                </v:textbox>
                <w10:wrap type="topAndBottom" anchorx="page"/>
              </v:shape>
            </w:pict>
          </mc:Fallback>
        </mc:AlternateContent>
      </w:r>
      <w:r>
        <mc:AlternateContent>
          <mc:Choice Requires="wps">
            <w:drawing>
              <wp:anchor distT="1231900" distB="0" distL="0" distR="0" simplePos="0" relativeHeight="125829382" behindDoc="0" locked="0" layoutInCell="1" allowOverlap="1">
                <wp:simplePos x="0" y="0"/>
                <wp:positionH relativeFrom="page">
                  <wp:posOffset>4020820</wp:posOffset>
                </wp:positionH>
                <wp:positionV relativeFrom="paragraph">
                  <wp:posOffset>1231900</wp:posOffset>
                </wp:positionV>
                <wp:extent cx="2294890" cy="530225"/>
                <wp:wrapTopAndBottom/>
                <wp:docPr id="17" name="Shape 17"/>
                <a:graphic xmlns:a="http://schemas.openxmlformats.org/drawingml/2006/main">
                  <a:graphicData uri="http://schemas.microsoft.com/office/word/2010/wordprocessingShape">
                    <wps:wsp>
                      <wps:cNvSpPr txBox="1"/>
                      <wps:spPr>
                        <a:xfrm>
                          <a:ext cx="2294890" cy="530225"/>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Radovan Necid, ředitel organizace, Krajská správa a údržba silnic Vysočiny, příspěvková organizace</w:t>
                            </w:r>
                          </w:p>
                        </w:txbxContent>
                      </wps:txbx>
                      <wps:bodyPr lIns="0" tIns="0" rIns="0" bIns="0">
                        <a:noAutoFit/>
                      </wps:bodyPr>
                    </wps:wsp>
                  </a:graphicData>
                </a:graphic>
              </wp:anchor>
            </w:drawing>
          </mc:Choice>
          <mc:Fallback>
            <w:pict>
              <v:shape id="_x0000_s1043" type="#_x0000_t202" style="position:absolute;margin-left:316.60000000000002pt;margin-top:97.pt;width:180.69999999999999pt;height:41.75pt;z-index:-125829371;mso-wrap-distance-left:0;mso-wrap-distance-top:97.pt;mso-wrap-distance-right:0;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pPr>
        <w:pStyle w:val="Style2"/>
        <w:keepNext w:val="0"/>
        <w:keepLines w:val="0"/>
        <w:widowControl w:val="0"/>
        <w:shd w:val="clear" w:color="auto" w:fill="auto"/>
        <w:bidi w:val="0"/>
        <w:spacing w:before="0" w:after="680" w:line="240" w:lineRule="auto"/>
        <w:ind w:left="7360" w:right="0" w:firstLine="0"/>
        <w:jc w:val="left"/>
      </w:pPr>
      <w:r>
        <w:rPr>
          <w:spacing w:val="0"/>
          <w:w w:val="100"/>
          <w:position w:val="0"/>
          <w:shd w:val="clear" w:color="auto" w:fill="auto"/>
          <w:lang w:val="cs-CZ" w:eastAsia="cs-CZ" w:bidi="cs-CZ"/>
        </w:rPr>
        <w:t>Příloha A1 smlouvy</w:t>
      </w:r>
    </w:p>
    <w:p>
      <w:pPr>
        <w:pStyle w:val="Style2"/>
        <w:keepNext w:val="0"/>
        <w:keepLines w:val="0"/>
        <w:widowControl w:val="0"/>
        <w:shd w:val="clear" w:color="auto" w:fill="auto"/>
        <w:bidi w:val="0"/>
        <w:spacing w:before="0" w:after="1160" w:line="240" w:lineRule="auto"/>
        <w:ind w:left="0" w:right="0" w:firstLine="0"/>
        <w:jc w:val="center"/>
      </w:pPr>
      <w:r>
        <w:rPr>
          <w:b/>
          <w:bCs/>
          <w:spacing w:val="0"/>
          <w:w w:val="100"/>
          <w:position w:val="0"/>
          <w:shd w:val="clear" w:color="auto" w:fill="auto"/>
          <w:lang w:val="cs-CZ" w:eastAsia="cs-CZ" w:bidi="cs-CZ"/>
        </w:rPr>
        <w:t>Údaje, které jsou součástí ujednání a nebudou zveřejněny v Registru smluv:</w:t>
      </w:r>
    </w:p>
    <w:p>
      <w:pPr>
        <w:pStyle w:val="Style16"/>
        <w:keepNext/>
        <w:keepLines/>
        <w:widowControl w:val="0"/>
        <w:shd w:val="clear" w:color="auto" w:fill="auto"/>
        <w:bidi w:val="0"/>
        <w:spacing w:before="0" w:after="220" w:line="240" w:lineRule="auto"/>
        <w:ind w:left="0" w:right="0" w:firstLine="0"/>
        <w:jc w:val="left"/>
      </w:pPr>
      <w:bookmarkStart w:id="22" w:name="bookmark22"/>
      <w:bookmarkStart w:id="23" w:name="bookmark23"/>
      <w:r>
        <w:rPr>
          <w:spacing w:val="0"/>
          <w:w w:val="100"/>
          <w:position w:val="0"/>
          <w:shd w:val="clear" w:color="auto" w:fill="auto"/>
          <w:lang w:val="cs-CZ" w:eastAsia="cs-CZ" w:bidi="cs-CZ"/>
        </w:rPr>
        <w:t>Krajská správa a údržba silnic Vysočiny, příspěvková organizace</w:t>
      </w:r>
      <w:bookmarkEnd w:id="22"/>
      <w:bookmarkEnd w:id="23"/>
    </w:p>
    <w:p>
      <w:pPr>
        <w:pStyle w:val="Style2"/>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680" w:line="240" w:lineRule="auto"/>
        <w:ind w:left="0" w:right="0" w:firstLine="0"/>
        <w:jc w:val="left"/>
      </w:pPr>
      <w:r>
        <w:rPr>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20" w:line="240" w:lineRule="auto"/>
        <w:ind w:left="0" w:right="0" w:firstLine="0"/>
        <w:jc w:val="left"/>
      </w:pPr>
      <w:r>
        <w:rPr>
          <w:spacing w:val="0"/>
          <w:w w:val="100"/>
          <w:position w:val="0"/>
          <w:shd w:val="clear" w:color="auto" w:fill="auto"/>
          <w:lang w:val="cs-CZ" w:eastAsia="cs-CZ" w:bidi="cs-CZ"/>
        </w:rPr>
        <w:t>Osoba pověřená jednat jménem kupujícího ve věcech plnění a převzetí zboží:</w:t>
      </w:r>
    </w:p>
    <w:p>
      <w:pPr>
        <w:pStyle w:val="Style16"/>
        <w:keepNext/>
        <w:keepLines/>
        <w:widowControl w:val="0"/>
        <w:shd w:val="clear" w:color="auto" w:fill="auto"/>
        <w:bidi w:val="0"/>
        <w:spacing w:before="0" w:after="220" w:line="240" w:lineRule="auto"/>
        <w:ind w:left="0" w:right="0" w:firstLine="0"/>
        <w:jc w:val="left"/>
      </w:pPr>
      <w:bookmarkStart w:id="24" w:name="bookmark24"/>
      <w:bookmarkStart w:id="25" w:name="bookmark25"/>
      <w:r>
        <w:rPr>
          <w:spacing w:val="0"/>
          <w:w w:val="100"/>
          <w:position w:val="0"/>
          <w:shd w:val="clear" w:color="auto" w:fill="auto"/>
          <w:lang w:val="cs-CZ" w:eastAsia="cs-CZ" w:bidi="cs-CZ"/>
        </w:rPr>
        <w:t>Obchodní firma: AGROTEC a.s.</w:t>
      </w:r>
      <w:bookmarkEnd w:id="24"/>
      <w:bookmarkEnd w:id="25"/>
    </w:p>
    <w:p>
      <w:pPr>
        <w:pStyle w:val="Style2"/>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IČO: 00544957</w:t>
      </w:r>
    </w:p>
    <w:p>
      <w:pPr>
        <w:pStyle w:val="Style2"/>
        <w:keepNext w:val="0"/>
        <w:keepLines w:val="0"/>
        <w:widowControl w:val="0"/>
        <w:shd w:val="clear" w:color="auto" w:fill="auto"/>
        <w:bidi w:val="0"/>
        <w:spacing w:before="0" w:after="680" w:line="240" w:lineRule="auto"/>
        <w:ind w:left="0" w:right="0" w:firstLine="0"/>
        <w:jc w:val="left"/>
      </w:pPr>
      <w:r>
        <w:rPr>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921" w:left="1378" w:right="1378" w:bottom="1921" w:header="0" w:footer="3" w:gutter="0"/>
          <w:cols w:space="720"/>
          <w:noEndnote/>
          <w:rtlGutter w:val="0"/>
          <w:docGrid w:linePitch="360"/>
        </w:sectPr>
      </w:pPr>
      <w:r>
        <w:rPr>
          <w:spacing w:val="0"/>
          <w:w w:val="100"/>
          <w:position w:val="0"/>
          <w:shd w:val="clear" w:color="auto" w:fill="auto"/>
          <w:lang w:val="cs-CZ" w:eastAsia="cs-CZ" w:bidi="cs-CZ"/>
        </w:rPr>
        <w:t>Osoba pověřená jednat jménem prodávajícího ve věcech plnění a předání zboží:</w:t>
      </w:r>
    </w:p>
    <w:p>
      <w:pPr>
        <w:widowControl w:val="0"/>
        <w:spacing w:before="82" w:after="82" w:line="240" w:lineRule="exact"/>
        <w:rPr>
          <w:sz w:val="19"/>
          <w:szCs w:val="19"/>
        </w:rPr>
      </w:pPr>
    </w:p>
    <w:p>
      <w:pPr>
        <w:widowControl w:val="0"/>
        <w:spacing w:line="1" w:lineRule="exact"/>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460" w:left="1354" w:right="1402" w:bottom="2353" w:header="0" w:footer="3" w:gutter="0"/>
          <w:cols w:space="720"/>
          <w:noEndnote/>
          <w:rtlGutter w:val="0"/>
          <w:docGrid w:linePitch="360"/>
        </w:sectPr>
      </w:pPr>
    </w:p>
    <w:p>
      <w:pPr>
        <w:widowControl w:val="0"/>
        <w:spacing w:line="1" w:lineRule="exact"/>
      </w:pPr>
      <w:r>
        <mc:AlternateContent>
          <mc:Choice Requires="wps">
            <w:drawing>
              <wp:anchor distT="0" distB="495300" distL="0" distR="0" simplePos="0" relativeHeight="125829384" behindDoc="0" locked="0" layoutInCell="1" allowOverlap="1">
                <wp:simplePos x="0" y="0"/>
                <wp:positionH relativeFrom="page">
                  <wp:posOffset>5523230</wp:posOffset>
                </wp:positionH>
                <wp:positionV relativeFrom="paragraph">
                  <wp:posOffset>0</wp:posOffset>
                </wp:positionV>
                <wp:extent cx="1143000" cy="173990"/>
                <wp:wrapTopAndBottom/>
                <wp:docPr id="25" name="Shape 25"/>
                <a:graphic xmlns:a="http://schemas.openxmlformats.org/drawingml/2006/main">
                  <a:graphicData uri="http://schemas.microsoft.com/office/word/2010/wordprocessingShape">
                    <wps:wsp>
                      <wps:cNvSpPr txBox="1"/>
                      <wps:spPr>
                        <a:xfrm>
                          <a:ext cx="114300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Příloha A2 smlouvy</w:t>
                            </w:r>
                          </w:p>
                        </w:txbxContent>
                      </wps:txbx>
                      <wps:bodyPr wrap="none" lIns="0" tIns="0" rIns="0" bIns="0">
                        <a:noAutoFit/>
                      </wps:bodyPr>
                    </wps:wsp>
                  </a:graphicData>
                </a:graphic>
              </wp:anchor>
            </w:drawing>
          </mc:Choice>
          <mc:Fallback>
            <w:pict>
              <v:shape id="_x0000_s1051" type="#_x0000_t202" style="position:absolute;margin-left:434.89999999999998pt;margin-top:0;width:90.pt;height:13.699999999999999pt;z-index:-125829369;mso-wrap-distance-left:0;mso-wrap-distance-right:0;mso-wrap-distance-bottom:3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Příloha A2 smlouvy</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Technické parametry a specifikace</w:t>
      </w:r>
      <w:r>
        <w:br w:type="page"/>
      </w:r>
    </w:p>
    <w:tbl>
      <w:tblPr>
        <w:tblOverlap w:val="never"/>
        <w:jc w:val="left"/>
        <w:tblLayout w:type="fixed"/>
      </w:tblPr>
      <w:tblGrid>
        <w:gridCol w:w="4560"/>
        <w:gridCol w:w="1771"/>
      </w:tblGrid>
      <w:tr>
        <w:trPr>
          <w:trHeight w:val="168" w:hRule="exact"/>
        </w:trPr>
        <w:tc>
          <w:tcPr>
            <w:gridSpan w:val="2"/>
            <w:tcBorders>
              <w:top w:val="single" w:sz="4"/>
              <w:left w:val="single" w:sz="4"/>
              <w:right w:val="single" w:sz="4"/>
            </w:tcBorders>
            <w:shd w:val="clear" w:color="auto" w:fill="DAEAF7"/>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Rekapitulace splnění technických podmínek - užitkové vozidlo furgon pokladač kuželů</w:t>
            </w:r>
          </w:p>
        </w:tc>
      </w:tr>
      <w:tr>
        <w:trPr>
          <w:trHeight w:val="485"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310" w:lineRule="auto"/>
              <w:ind w:left="0" w:right="0" w:firstLine="0"/>
              <w:jc w:val="right"/>
              <w:rPr>
                <w:sz w:val="11"/>
                <w:szCs w:val="11"/>
              </w:rPr>
            </w:pPr>
            <w:r>
              <w:rPr>
                <w:color w:val="020102"/>
                <w:spacing w:val="0"/>
                <w:w w:val="100"/>
                <w:position w:val="0"/>
                <w:sz w:val="11"/>
                <w:szCs w:val="11"/>
                <w:shd w:val="clear" w:color="auto" w:fill="auto"/>
                <w:lang w:val="cs-CZ" w:eastAsia="cs-CZ" w:bidi="cs-CZ"/>
              </w:rPr>
              <w:t>Počet kusů: Tovární značka a typ:</w:t>
            </w:r>
          </w:p>
        </w:tc>
        <w:tc>
          <w:tcPr>
            <w:tcBorders>
              <w:top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w:t>
            </w:r>
          </w:p>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IVECO Dialy 35S14V</w:t>
            </w:r>
          </w:p>
        </w:tc>
      </w:tr>
      <w:tr>
        <w:trPr>
          <w:trHeight w:val="158" w:hRule="exact"/>
        </w:trPr>
        <w:tc>
          <w:tcPr>
            <w:tcBorders>
              <w:top w:val="single" w:sz="4"/>
              <w:left w:val="single" w:sz="4"/>
            </w:tcBorders>
            <w:shd w:val="clear" w:color="auto" w:fill="DAEAF7"/>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Parametr, výbava vozidla</w:t>
            </w:r>
          </w:p>
        </w:tc>
        <w:tc>
          <w:tcPr>
            <w:tcBorders>
              <w:top w:val="single" w:sz="4"/>
              <w:right w:val="single" w:sz="4"/>
            </w:tcBorders>
            <w:shd w:val="clear" w:color="auto" w:fill="DAEAF7"/>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Údaj o splnění</w:t>
            </w:r>
          </w:p>
        </w:tc>
      </w:tr>
      <w:tr>
        <w:trPr>
          <w:trHeight w:val="163"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Motor a pohon</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motor přeplňovaný vznětový</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výkon motoru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100 kW</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objem motoru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20"/>
              <w:jc w:val="both"/>
              <w:rPr>
                <w:sz w:val="11"/>
                <w:szCs w:val="11"/>
              </w:rPr>
            </w:pPr>
            <w:r>
              <w:rPr>
                <w:color w:val="020102"/>
                <w:spacing w:val="0"/>
                <w:w w:val="100"/>
                <w:position w:val="0"/>
                <w:sz w:val="11"/>
                <w:szCs w:val="11"/>
                <w:shd w:val="clear" w:color="auto" w:fill="auto"/>
                <w:lang w:val="cs-CZ" w:eastAsia="cs-CZ" w:bidi="cs-CZ"/>
              </w:rPr>
              <w:t>2287 cm</w:t>
            </w:r>
            <w:r>
              <w:rPr>
                <w:color w:val="020102"/>
                <w:spacing w:val="0"/>
                <w:w w:val="100"/>
                <w:position w:val="0"/>
                <w:sz w:val="11"/>
                <w:szCs w:val="11"/>
                <w:shd w:val="clear" w:color="auto" w:fill="auto"/>
                <w:vertAlign w:val="superscript"/>
                <w:lang w:val="cs-CZ" w:eastAsia="cs-CZ" w:bidi="cs-CZ"/>
              </w:rPr>
              <w:t>3</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počet válců</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4 válce</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pohon 4 x 2</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spotřeba nafty pro kombinovaný provoz</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8 l/100 km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manuální převodovka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minimální emisní limit ve výfukových plynech</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EURO 6</w:t>
            </w:r>
          </w:p>
        </w:tc>
      </w:tr>
      <w:tr>
        <w:trPr>
          <w:trHeight w:val="158"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Hmotnosti vozidla</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celková povolená hmotnost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3500 kg</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povolená hmotnost brzděného přívěsu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3500 kg</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užitečné zatížení vozidla včetně nástavby (povolená hmotnost osob a nákladu)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1000 kg</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zesílené stabilizátory na přední a zadní nápravě</w:t>
            </w:r>
          </w:p>
        </w:tc>
        <w:tc>
          <w:tcPr>
            <w:tcBorders>
              <w:top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Řízení, brzdová soustava a bezpečnost</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řízení s posilovačem</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brzdy s posilovačem</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akustická signalizace zpětného chodu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Kabina a rozměry vozidla</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furgon H2</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počet míst k sezení na přední řadě</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3</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polohovatelné sedadlo řidiče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opěrka hlavy pro řidiče a všechny spolujezdce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nastavitelný volant</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1"/>
                <w:szCs w:val="11"/>
              </w:rPr>
            </w:pPr>
            <w:r>
              <w:rPr>
                <w:color w:val="020102"/>
                <w:spacing w:val="0"/>
                <w:w w:val="100"/>
                <w:position w:val="0"/>
                <w:sz w:val="11"/>
                <w:szCs w:val="11"/>
                <w:shd w:val="clear" w:color="auto" w:fill="auto"/>
                <w:lang w:val="cs-CZ" w:eastAsia="cs-CZ" w:bidi="cs-CZ"/>
              </w:rPr>
              <w:t>airbag řidiče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světla pro denní svícení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rozvor náprav</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20"/>
              <w:jc w:val="both"/>
              <w:rPr>
                <w:sz w:val="11"/>
                <w:szCs w:val="11"/>
              </w:rPr>
            </w:pPr>
            <w:r>
              <w:rPr>
                <w:color w:val="020102"/>
                <w:spacing w:val="0"/>
                <w:w w:val="100"/>
                <w:position w:val="0"/>
                <w:sz w:val="11"/>
                <w:szCs w:val="11"/>
                <w:shd w:val="clear" w:color="auto" w:fill="auto"/>
                <w:lang w:val="cs-CZ" w:eastAsia="cs-CZ" w:bidi="cs-CZ"/>
              </w:rPr>
              <w:t>3520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délka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20"/>
              <w:jc w:val="both"/>
              <w:rPr>
                <w:sz w:val="11"/>
                <w:szCs w:val="11"/>
              </w:rPr>
            </w:pPr>
            <w:r>
              <w:rPr>
                <w:color w:val="020102"/>
                <w:spacing w:val="0"/>
                <w:w w:val="100"/>
                <w:position w:val="0"/>
                <w:sz w:val="11"/>
                <w:szCs w:val="11"/>
                <w:shd w:val="clear" w:color="auto" w:fill="auto"/>
                <w:lang w:val="cs-CZ" w:eastAsia="cs-CZ" w:bidi="cs-CZ"/>
              </w:rPr>
              <w:t>5688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celková šířka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2054 mm</w:t>
            </w:r>
          </w:p>
        </w:tc>
      </w:tr>
      <w:tr>
        <w:trPr>
          <w:trHeight w:val="163"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Nákladový prostor</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nákladový prostor odělen od cestujících pevnou prachotěsnou přepážkou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posuvné otevírací okno v přepážce mezi kabinou a nákladovým prostorem</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počet míst k sezení v nákladovém prostoru (pouze pro práci)</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w:t>
            </w:r>
          </w:p>
        </w:tc>
      </w:tr>
      <w:tr>
        <w:trPr>
          <w:trHeight w:val="322"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color w:val="020102"/>
                <w:spacing w:val="0"/>
                <w:w w:val="100"/>
                <w:position w:val="0"/>
                <w:sz w:val="11"/>
                <w:szCs w:val="11"/>
                <w:shd w:val="clear" w:color="auto" w:fill="auto"/>
                <w:lang w:val="cs-CZ" w:eastAsia="cs-CZ" w:bidi="cs-CZ"/>
              </w:rPr>
              <w:t>výklopné schodiště v části posuvných dveří pro sběr a pokládku dopravních kuželů za jízdy z levé a pravé strany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2</w:t>
            </w:r>
          </w:p>
        </w:tc>
      </w:tr>
      <w:tr>
        <w:trPr>
          <w:trHeight w:val="317" w:hRule="exact"/>
        </w:trPr>
        <w:tc>
          <w:tcPr>
            <w:tcBorders>
              <w:top w:val="single" w:sz="4"/>
              <w:lef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boční posuvné dveře v nákladovém prostoru po obou stranách částečně prosklené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boční posuvné dveře L+P, šířka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1216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boční posuvné dveře L+P, výška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20"/>
              <w:jc w:val="both"/>
              <w:rPr>
                <w:sz w:val="11"/>
                <w:szCs w:val="11"/>
              </w:rPr>
            </w:pPr>
            <w:r>
              <w:rPr>
                <w:color w:val="020102"/>
                <w:spacing w:val="0"/>
                <w:w w:val="100"/>
                <w:position w:val="0"/>
                <w:sz w:val="11"/>
                <w:szCs w:val="11"/>
                <w:shd w:val="clear" w:color="auto" w:fill="auto"/>
                <w:lang w:val="cs-CZ" w:eastAsia="cs-CZ" w:bidi="cs-CZ"/>
              </w:rPr>
              <w:t>1800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vnitřní délka nákladového prostoru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620"/>
              <w:jc w:val="both"/>
              <w:rPr>
                <w:sz w:val="11"/>
                <w:szCs w:val="11"/>
              </w:rPr>
            </w:pPr>
            <w:r>
              <w:rPr>
                <w:color w:val="020102"/>
                <w:spacing w:val="0"/>
                <w:w w:val="100"/>
                <w:position w:val="0"/>
                <w:sz w:val="11"/>
                <w:szCs w:val="11"/>
                <w:shd w:val="clear" w:color="auto" w:fill="auto"/>
                <w:lang w:val="cs-CZ" w:eastAsia="cs-CZ" w:bidi="cs-CZ"/>
              </w:rPr>
              <w:t>3120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vnitřní šířka nákladového prostoru (bez podběhů)</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1766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vnitřní výška nákladového prostoru (prostřed)</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1900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dřevěné podlahové a boční obložení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led osvětlení nákladového prostoru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3 ks</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uzamykatelné zadní dvoukřídlé dveře poloprosklené, otevíratelné o min 180°</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Výbava a příslušenství</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vnější zpětná zrcátka, elektricky ovládaná a vyhřívaná</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elektrické ovládání oken řidiče a spolujezdce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přední mlhové světlomety</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akumulátor</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12 V 105 Ah</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tažné zařízení ISO 50 včetně elektrické přípojky 12 V (7 pólové)</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centrální zamykání s dálkovým ovládáním</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zásuvka 12 V</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manuální nebo automatická klimatizace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manuální</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přední a zadní lapače nečistot</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autorádio DaB s Bluetooth, MP3, reproduktory a s mikrofonem pro telefonování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hasící přístroj min. 1 kg</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potahy všech sedadel</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gumová rohož řidiče a všech spolujezdců</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zimní pneumatiky na vozidle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sada letních kol (ráfek + plášť)</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rozměr zimních pneumatik na vozidle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R 16"</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rozměr sady letních kol (ráfek + plášť)</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R 16"</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plnohodnotná rezerva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barva vozidla oranžová RAL 2011</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color w:val="020102"/>
                <w:spacing w:val="0"/>
                <w:w w:val="100"/>
                <w:position w:val="0"/>
                <w:sz w:val="11"/>
                <w:szCs w:val="11"/>
                <w:shd w:val="clear" w:color="auto" w:fill="auto"/>
                <w:lang w:val="cs-CZ" w:eastAsia="cs-CZ" w:bidi="cs-CZ"/>
              </w:rPr>
              <w:t>reflexní polepy odrazivosti II. tř. (červenobílé diagonální pruhy na obou bocích a zádi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majáková LED rampa oranžové barvy, trvale umístěná na kabině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šířka majákové LED rampy oranžové barvy na kabině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1089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výška majákové LED rampy oranžové barvy na kabině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80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LED světelná alej oranžové barvy nad zadními dveřmi</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LED světelná alej oranžové barvy nad zadními dveřmi</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8-modulová</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šířka LED světelné aleje oranžové barvy nad zadními dveřmi</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940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1"/>
                <w:szCs w:val="11"/>
              </w:rPr>
            </w:pPr>
            <w:r>
              <w:rPr>
                <w:color w:val="020102"/>
                <w:spacing w:val="0"/>
                <w:w w:val="100"/>
                <w:position w:val="0"/>
                <w:sz w:val="11"/>
                <w:szCs w:val="11"/>
                <w:shd w:val="clear" w:color="auto" w:fill="auto"/>
                <w:lang w:val="cs-CZ" w:eastAsia="cs-CZ" w:bidi="cs-CZ"/>
              </w:rPr>
              <w:t>výška LED světelné aleje oranžové barvy nad zadními dveřmi</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46 mm</w:t>
            </w:r>
          </w:p>
        </w:tc>
      </w:tr>
      <w:tr>
        <w:trPr>
          <w:trHeight w:val="331" w:hRule="exact"/>
        </w:trPr>
        <w:tc>
          <w:tcPr>
            <w:tcBorders>
              <w:top w:val="single" w:sz="4"/>
              <w:left w:val="single" w:sz="4"/>
              <w:bottom w:val="single" w:sz="4"/>
            </w:tcBorders>
            <w:shd w:val="clear" w:color="auto" w:fill="FFFFFF"/>
            <w:vAlign w:val="bottom"/>
          </w:tcPr>
          <w:p>
            <w:pPr>
              <w:pStyle w:val="Style9"/>
              <w:keepNext w:val="0"/>
              <w:keepLines w:val="0"/>
              <w:widowControl w:val="0"/>
              <w:shd w:val="clear" w:color="auto" w:fill="auto"/>
              <w:bidi w:val="0"/>
              <w:spacing w:before="0" w:after="0" w:line="283" w:lineRule="auto"/>
              <w:ind w:left="0" w:right="0" w:firstLine="0"/>
              <w:jc w:val="left"/>
              <w:rPr>
                <w:sz w:val="11"/>
                <w:szCs w:val="11"/>
              </w:rPr>
            </w:pPr>
            <w:r>
              <w:rPr>
                <w:color w:val="020102"/>
                <w:spacing w:val="0"/>
                <w:w w:val="100"/>
                <w:position w:val="0"/>
                <w:sz w:val="11"/>
                <w:szCs w:val="11"/>
                <w:shd w:val="clear" w:color="auto" w:fill="auto"/>
                <w:lang w:val="cs-CZ" w:eastAsia="cs-CZ" w:bidi="cs-CZ"/>
              </w:rPr>
              <w:t>montáž GPS dodané zadavatelem pro sledování polohy vozu (GPS od společnost PRINCIP a.s., IČO 41690311)</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color w:val="020102"/>
                <w:spacing w:val="0"/>
                <w:w w:val="100"/>
                <w:position w:val="0"/>
                <w:sz w:val="11"/>
                <w:szCs w:val="11"/>
                <w:shd w:val="clear" w:color="auto" w:fill="auto"/>
                <w:lang w:val="cs-CZ" w:eastAsia="cs-CZ" w:bidi="cs-CZ"/>
              </w:rPr>
              <w:t>ano</w:t>
            </w:r>
          </w:p>
        </w:tc>
      </w:tr>
    </w:tbl>
    <w:sectPr>
      <w:footnotePr>
        <w:pos w:val="pageBottom"/>
        <w:numFmt w:val="decimal"/>
        <w:numRestart w:val="continuous"/>
      </w:footnotePr>
      <w:type w:val="continuous"/>
      <w:pgSz w:w="11900" w:h="16840"/>
      <w:pgMar w:top="1460" w:left="1354" w:right="1402" w:bottom="2353"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3444240</wp:posOffset>
              </wp:positionH>
              <wp:positionV relativeFrom="page">
                <wp:posOffset>9976485</wp:posOffset>
              </wp:positionV>
              <wp:extent cx="670560" cy="88265"/>
              <wp:wrapNone/>
              <wp:docPr id="4" name="Shape 4"/>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0" type="#_x0000_t202" style="position:absolute;margin-left:271.19999999999999pt;margin-top:785.54999999999995pt;width:52.799999999999997pt;height:6.95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9926320</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1.60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3444240</wp:posOffset>
              </wp:positionH>
              <wp:positionV relativeFrom="page">
                <wp:posOffset>9976485</wp:posOffset>
              </wp:positionV>
              <wp:extent cx="670560" cy="88265"/>
              <wp:wrapNone/>
              <wp:docPr id="10" name="Shape 10"/>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6" type="#_x0000_t202" style="position:absolute;margin-left:271.19999999999999pt;margin-top:785.54999999999995pt;width:52.799999999999997pt;height:6.9500000000000002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9926320</wp:posOffset>
              </wp:positionV>
              <wp:extent cx="5800090" cy="0"/>
              <wp:wrapNone/>
              <wp:docPr id="12" name="Shape 12"/>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1.60000000000002pt;width:456.69999999999999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3444240</wp:posOffset>
              </wp:positionH>
              <wp:positionV relativeFrom="page">
                <wp:posOffset>9976485</wp:posOffset>
              </wp:positionV>
              <wp:extent cx="670560" cy="88265"/>
              <wp:wrapNone/>
              <wp:docPr id="22" name="Shape 22"/>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48" type="#_x0000_t202" style="position:absolute;margin-left:271.19999999999999pt;margin-top:785.54999999999995pt;width:52.799999999999997pt;height:6.9500000000000002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9926320</wp:posOffset>
              </wp:positionV>
              <wp:extent cx="5800090" cy="0"/>
              <wp:wrapNone/>
              <wp:docPr id="24" name="Shape 24"/>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1.60000000000002pt;width:456.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461010</wp:posOffset>
              </wp:positionV>
              <wp:extent cx="3096895" cy="267970"/>
              <wp:wrapNone/>
              <wp:docPr id="1" name="Shape 1"/>
              <a:graphic xmlns:a="http://schemas.openxmlformats.org/drawingml/2006/main">
                <a:graphicData uri="http://schemas.microsoft.com/office/word/2010/wordprocessingShape">
                  <wps:wsp>
                    <wps:cNvSpPr txBox="1"/>
                    <wps:spPr>
                      <a:xfrm>
                        <a:ext cx="3096895" cy="2679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2 Dodávka technologického vozidla do 3,5t furgon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36.299999999999997pt;width:243.84999999999999pt;height:21.1000000000000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2 Dodávka technologického vozidla do 3,5t furgon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757555</wp:posOffset>
              </wp:positionV>
              <wp:extent cx="5763895" cy="0"/>
              <wp:wrapNone/>
              <wp:docPr id="3" name="Shape 3"/>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59.649999999999999pt;width:45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899160</wp:posOffset>
              </wp:positionH>
              <wp:positionV relativeFrom="page">
                <wp:posOffset>461010</wp:posOffset>
              </wp:positionV>
              <wp:extent cx="3096895" cy="267970"/>
              <wp:wrapNone/>
              <wp:docPr id="7" name="Shape 7"/>
              <a:graphic xmlns:a="http://schemas.openxmlformats.org/drawingml/2006/main">
                <a:graphicData uri="http://schemas.microsoft.com/office/word/2010/wordprocessingShape">
                  <wps:wsp>
                    <wps:cNvSpPr txBox="1"/>
                    <wps:spPr>
                      <a:xfrm>
                        <a:ext cx="3096895" cy="2679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2 Dodávka technologického vozidla do 3,5t furgon</w:t>
                          </w:r>
                        </w:p>
                      </w:txbxContent>
                    </wps:txbx>
                    <wps:bodyPr wrap="none" lIns="0" tIns="0" rIns="0" bIns="0">
                      <a:spAutoFit/>
                    </wps:bodyPr>
                  </wps:wsp>
                </a:graphicData>
              </a:graphic>
            </wp:anchor>
          </w:drawing>
        </mc:Choice>
        <mc:Fallback>
          <w:pict>
            <v:shape id="_x0000_s1033" type="#_x0000_t202" style="position:absolute;margin-left:70.799999999999997pt;margin-top:36.299999999999997pt;width:243.84999999999999pt;height:21.1000000000000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2 Dodávka technologického vozidla do 3,5t furgon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757555</wp:posOffset>
              </wp:positionV>
              <wp:extent cx="5763895" cy="0"/>
              <wp:wrapNone/>
              <wp:docPr id="9" name="Shape 9"/>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59.649999999999999pt;width:453.85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899160</wp:posOffset>
              </wp:positionH>
              <wp:positionV relativeFrom="page">
                <wp:posOffset>461010</wp:posOffset>
              </wp:positionV>
              <wp:extent cx="3096895" cy="267970"/>
              <wp:wrapNone/>
              <wp:docPr id="19" name="Shape 19"/>
              <a:graphic xmlns:a="http://schemas.openxmlformats.org/drawingml/2006/main">
                <a:graphicData uri="http://schemas.microsoft.com/office/word/2010/wordprocessingShape">
                  <wps:wsp>
                    <wps:cNvSpPr txBox="1"/>
                    <wps:spPr>
                      <a:xfrm>
                        <a:ext cx="3096895" cy="2679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2 Dodávka technologického vozidla do 3,5t furgon</w:t>
                          </w:r>
                        </w:p>
                      </w:txbxContent>
                    </wps:txbx>
                    <wps:bodyPr wrap="none" lIns="0" tIns="0" rIns="0" bIns="0">
                      <a:spAutoFit/>
                    </wps:bodyPr>
                  </wps:wsp>
                </a:graphicData>
              </a:graphic>
            </wp:anchor>
          </w:drawing>
        </mc:Choice>
        <mc:Fallback>
          <w:pict>
            <v:shape id="_x0000_s1045" type="#_x0000_t202" style="position:absolute;margin-left:70.799999999999997pt;margin-top:36.299999999999997pt;width:243.84999999999999pt;height:21.100000000000001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2 Dodávka technologického vozidla do 3,5t furgon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757555</wp:posOffset>
              </wp:positionV>
              <wp:extent cx="5763895" cy="0"/>
              <wp:wrapNone/>
              <wp:docPr id="21" name="Shape 21"/>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59.649999999999999pt;width:453.85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5"/>
      <w:numFmt w:val="decimal"/>
      <w:lvlText w:val="4.%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6.%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7.%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8.%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9.%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10.%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1.%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8">
    <w:multiLevelType w:val="multilevel"/>
    <w:lvl w:ilvl="0">
      <w:start w:val="2"/>
      <w:numFmt w:val="decimal"/>
      <w:lvlText w:val="12.%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2">
    <w:multiLevelType w:val="multilevel"/>
    <w:lvl w:ilvl="0">
      <w:start w:val="2"/>
      <w:numFmt w:val="decimal"/>
      <w:lvlText w:val="13.%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color w:val="231E20"/>
      <w:sz w:val="20"/>
      <w:szCs w:val="2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color w:val="231E2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7">
    <w:name w:val="Nadpis #1_"/>
    <w:basedOn w:val="DefaultParagraphFont"/>
    <w:link w:val="Style16"/>
    <w:rPr>
      <w:rFonts w:ascii="Arial" w:eastAsia="Arial" w:hAnsi="Arial" w:cs="Arial"/>
      <w:b/>
      <w:bCs/>
      <w:i w:val="0"/>
      <w:iCs w:val="0"/>
      <w:smallCaps w:val="0"/>
      <w:strike w:val="0"/>
      <w:color w:val="231E20"/>
      <w:sz w:val="20"/>
      <w:szCs w:val="20"/>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color w:val="231E20"/>
      <w:sz w:val="20"/>
      <w:szCs w:val="2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after="100"/>
    </w:pPr>
    <w:rPr>
      <w:rFonts w:ascii="Arial" w:eastAsia="Arial" w:hAnsi="Arial" w:cs="Arial"/>
      <w:b w:val="0"/>
      <w:bCs w:val="0"/>
      <w:i w:val="0"/>
      <w:iCs w:val="0"/>
      <w:smallCaps w:val="0"/>
      <w:strike w:val="0"/>
      <w:color w:val="231E20"/>
      <w:sz w:val="20"/>
      <w:szCs w:val="20"/>
      <w:u w:val="none"/>
    </w:rPr>
  </w:style>
  <w:style w:type="paragraph" w:customStyle="1" w:styleId="Style12">
    <w:name w:val="Titulek tabulky"/>
    <w:basedOn w:val="Normal"/>
    <w:link w:val="CharStyle13"/>
    <w:pPr>
      <w:widowControl w:val="0"/>
      <w:shd w:val="clear" w:color="auto" w:fill="FFFFFF"/>
      <w:spacing w:line="413" w:lineRule="auto"/>
    </w:pPr>
    <w:rPr>
      <w:rFonts w:ascii="Arial" w:eastAsia="Arial" w:hAnsi="Arial" w:cs="Arial"/>
      <w:b w:val="0"/>
      <w:bCs w:val="0"/>
      <w:i w:val="0"/>
      <w:iCs w:val="0"/>
      <w:smallCaps w:val="0"/>
      <w:strike w:val="0"/>
      <w:sz w:val="20"/>
      <w:szCs w:val="20"/>
      <w:u w:val="none"/>
    </w:rPr>
  </w:style>
  <w:style w:type="paragraph" w:customStyle="1" w:styleId="Style16">
    <w:name w:val="Nadpis #1"/>
    <w:basedOn w:val="Normal"/>
    <w:link w:val="CharStyle17"/>
    <w:pPr>
      <w:widowControl w:val="0"/>
      <w:shd w:val="clear" w:color="auto" w:fill="FFFFFF"/>
      <w:spacing w:after="120"/>
      <w:jc w:val="center"/>
      <w:outlineLvl w:val="0"/>
    </w:pPr>
    <w:rPr>
      <w:rFonts w:ascii="Arial" w:eastAsia="Arial" w:hAnsi="Arial" w:cs="Arial"/>
      <w:b/>
      <w:bCs/>
      <w:i w:val="0"/>
      <w:iCs w:val="0"/>
      <w:smallCaps w:val="0"/>
      <w:strike w:val="0"/>
      <w:color w:val="231E2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O2 Návrh kupní smlouvy pro část 2</dc:title>
  <dc:subject/>
  <dc:creator>labik</dc:creator>
  <cp:keywords/>
</cp:coreProperties>
</file>