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200" w:line="240" w:lineRule="auto"/>
        <w:ind w:left="0" w:right="220" w:firstLine="0"/>
        <w:jc w:val="right"/>
      </w:pPr>
      <w:r>
        <w:rPr>
          <w:color w:val="000000"/>
          <w:spacing w:val="0"/>
          <w:w w:val="100"/>
          <w:position w:val="0"/>
          <w:shd w:val="clear" w:color="auto" w:fill="auto"/>
          <w:lang w:val="cs-CZ" w:eastAsia="cs-CZ" w:bidi="cs-CZ"/>
        </w:rPr>
        <w:t>Příloha O1</w:t>
      </w:r>
    </w:p>
    <w:tbl>
      <w:tblPr>
        <w:tblOverlap w:val="never"/>
        <w:jc w:val="left"/>
        <w:tblLayout w:type="fixed"/>
      </w:tblPr>
      <w:tblGrid>
        <w:gridCol w:w="2040"/>
        <w:gridCol w:w="6312"/>
      </w:tblGrid>
      <w:tr>
        <w:trPr>
          <w:trHeight w:val="25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U P N Í S M L O U V A</w:t>
            </w:r>
          </w:p>
        </w:tc>
      </w:tr>
    </w:tbl>
    <w:p>
      <w:pPr>
        <w:widowControl w:val="0"/>
        <w:spacing w:after="33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kupujícího:N-DO-16-2022-I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smlouvy prodávajícího: KS_NAKL_2023_00090</w:t>
      </w:r>
    </w:p>
    <w:tbl>
      <w:tblPr>
        <w:tblOverlap w:val="never"/>
        <w:jc w:val="left"/>
        <w:tblLayout w:type="fixed"/>
      </w:tblPr>
      <w:tblGrid>
        <w:gridCol w:w="2040"/>
        <w:gridCol w:w="6317"/>
      </w:tblGrid>
      <w:tr>
        <w:trPr>
          <w:trHeight w:val="614"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36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5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27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tc>
      </w:tr>
      <w:tr>
        <w:trPr>
          <w:trHeight w:val="25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59"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31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12"/>
        <w:keepNext w:val="0"/>
        <w:keepLines w:val="0"/>
        <w:widowControl w:val="0"/>
        <w:shd w:val="clear" w:color="auto" w:fill="auto"/>
        <w:bidi w:val="0"/>
        <w:spacing w:before="0" w:after="0" w:line="557" w:lineRule="auto"/>
        <w:ind w:left="0" w:right="0" w:firstLine="0"/>
        <w:jc w:val="left"/>
      </w:pPr>
      <w:r>
        <w:rPr>
          <w:color w:val="000000"/>
          <w:spacing w:val="0"/>
          <w:w w:val="100"/>
          <w:position w:val="0"/>
          <w:shd w:val="clear" w:color="auto" w:fill="auto"/>
          <w:lang w:val="cs-CZ" w:eastAsia="cs-CZ" w:bidi="cs-CZ"/>
        </w:rPr>
        <w:t>(dále jen kupující) a</w:t>
      </w:r>
    </w:p>
    <w:p>
      <w:pPr>
        <w:widowControl w:val="0"/>
        <w:spacing w:after="339" w:line="1" w:lineRule="exact"/>
      </w:pPr>
    </w:p>
    <w:p>
      <w:pPr>
        <w:pStyle w:val="Style12"/>
        <w:keepNext w:val="0"/>
        <w:keepLines w:val="0"/>
        <w:widowControl w:val="0"/>
        <w:shd w:val="clear" w:color="auto" w:fill="auto"/>
        <w:bidi w:val="0"/>
        <w:spacing w:before="0" w:after="0" w:line="557" w:lineRule="auto"/>
        <w:ind w:left="0" w:right="0" w:firstLine="0"/>
        <w:jc w:val="left"/>
      </w:pPr>
      <w:r>
        <w:rPr>
          <w:color w:val="000000"/>
          <w:spacing w:val="0"/>
          <w:w w:val="100"/>
          <w:position w:val="0"/>
          <w:shd w:val="clear" w:color="auto" w:fill="auto"/>
          <w:lang w:val="cs-CZ" w:eastAsia="cs-CZ" w:bidi="cs-CZ"/>
        </w:rPr>
        <w:t>Prodávající:</w:t>
      </w:r>
    </w:p>
    <w:tbl>
      <w:tblPr>
        <w:tblOverlap w:val="never"/>
        <w:jc w:val="left"/>
        <w:tblLayout w:type="fixed"/>
      </w:tblPr>
      <w:tblGrid>
        <w:gridCol w:w="2040"/>
        <w:gridCol w:w="6312"/>
      </w:tblGrid>
      <w:tr>
        <w:trPr>
          <w:trHeight w:val="27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firma:</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AGROTEC a.s.</w:t>
            </w:r>
          </w:p>
        </w:tc>
      </w:tr>
      <w:tr>
        <w:trPr>
          <w:trHeight w:val="27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Brněnská 74, 693 01 Hustopeče</w:t>
            </w:r>
          </w:p>
        </w:tc>
      </w:tr>
      <w:tr>
        <w:trPr>
          <w:trHeight w:val="26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Robert Labík, na základě pověření</w:t>
            </w:r>
          </w:p>
        </w:tc>
      </w:tr>
    </w:tbl>
    <w:p>
      <w:pPr>
        <w:pStyle w:val="Style12"/>
        <w:keepNext w:val="0"/>
        <w:keepLines w:val="0"/>
        <w:widowControl w:val="0"/>
        <w:shd w:val="clear" w:color="auto" w:fill="auto"/>
        <w:tabs>
          <w:tab w:pos="2083" w:val="left"/>
        </w:tabs>
        <w:bidi w:val="0"/>
        <w:spacing w:before="0" w:after="0" w:line="276" w:lineRule="auto"/>
        <w:ind w:left="0" w:right="0" w:firstLine="0"/>
        <w:jc w:val="left"/>
      </w:pPr>
      <w:r>
        <w:rPr>
          <w:color w:val="000000"/>
          <w:spacing w:val="0"/>
          <w:w w:val="100"/>
          <w:position w:val="0"/>
          <w:shd w:val="clear" w:color="auto" w:fill="auto"/>
          <w:lang w:val="cs-CZ" w:eastAsia="cs-CZ" w:bidi="cs-CZ"/>
        </w:rPr>
        <w:t>zapsán v obchodním rejstříku vedeném Krajským soudem v Brně, oddíl B, vložka 138 IČO:</w:t>
        <w:tab/>
        <w:t>00544957</w:t>
      </w:r>
    </w:p>
    <w:p>
      <w:pPr>
        <w:pStyle w:val="Style12"/>
        <w:keepNext w:val="0"/>
        <w:keepLines w:val="0"/>
        <w:widowControl w:val="0"/>
        <w:shd w:val="clear" w:color="auto" w:fill="auto"/>
        <w:tabs>
          <w:tab w:pos="2083" w:val="left"/>
        </w:tabs>
        <w:bidi w:val="0"/>
        <w:spacing w:before="0" w:after="0" w:line="276" w:lineRule="auto"/>
        <w:ind w:left="0" w:right="0" w:firstLine="0"/>
        <w:jc w:val="left"/>
      </w:pPr>
      <w:r>
        <w:rPr>
          <w:color w:val="000000"/>
          <w:spacing w:val="0"/>
          <w:w w:val="100"/>
          <w:position w:val="0"/>
          <w:shd w:val="clear" w:color="auto" w:fill="auto"/>
          <w:lang w:val="cs-CZ" w:eastAsia="cs-CZ" w:bidi="cs-CZ"/>
        </w:rPr>
        <w:t>DIČ:</w:t>
        <w:tab/>
        <w:t>CZ00544957</w:t>
      </w:r>
    </w:p>
    <w:p>
      <w:pPr>
        <w:pStyle w:val="Style1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(dále jen prodávající)</w:t>
      </w:r>
    </w:p>
    <w:p>
      <w:pPr>
        <w:widowControl w:val="0"/>
        <w:spacing w:after="539" w:line="1" w:lineRule="exact"/>
      </w:pP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2079 a násl. zákona č. 89/2012 Sb., občanského zákoníku (dále jen „OZ“) </w:t>
      </w:r>
      <w:r>
        <w:rPr>
          <w:color w:val="000000"/>
          <w:spacing w:val="0"/>
          <w:w w:val="100"/>
          <w:position w:val="0"/>
          <w:shd w:val="clear" w:color="auto" w:fill="auto"/>
          <w:lang w:val="cs-CZ" w:eastAsia="cs-CZ" w:bidi="cs-CZ"/>
        </w:rPr>
        <w:t xml:space="preserve">a za účelem realizace nákupu zboží definovaného v této kupní smlouvě navazující na výběr nejvhodnější nabídky v rámci veřejné zakázky s názvem </w:t>
      </w:r>
      <w:r>
        <w:rPr>
          <w:b/>
          <w:bCs/>
          <w:color w:val="000000"/>
          <w:spacing w:val="0"/>
          <w:w w:val="100"/>
          <w:position w:val="0"/>
          <w:shd w:val="clear" w:color="auto" w:fill="auto"/>
          <w:lang w:val="cs-CZ" w:eastAsia="cs-CZ" w:bidi="cs-CZ"/>
        </w:rPr>
        <w:t xml:space="preserve">„Dodávka technologických vozidel do 3,5 t a nad 5 t“ </w:t>
      </w:r>
      <w:r>
        <w:rPr>
          <w:color w:val="000000"/>
          <w:spacing w:val="0"/>
          <w:w w:val="100"/>
          <w:position w:val="0"/>
          <w:shd w:val="clear" w:color="auto" w:fill="auto"/>
          <w:lang w:val="cs-CZ" w:eastAsia="cs-CZ" w:bidi="cs-CZ"/>
        </w:rPr>
        <w:t>uzavírají níže uvedeného dne, měsíce a roku tuto</w:t>
      </w:r>
    </w:p>
    <w:p>
      <w:pPr>
        <w:pStyle w:val="Style16"/>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smlouvu (dále jen „smlouva“),</w:t>
      </w:r>
      <w:bookmarkEnd w:id="0"/>
      <w:bookmarkEnd w:id="1"/>
    </w:p>
    <w:p>
      <w:pPr>
        <w:pStyle w:val="Style2"/>
        <w:keepNext w:val="0"/>
        <w:keepLines w:val="0"/>
        <w:widowControl w:val="0"/>
        <w:shd w:val="clear" w:color="auto" w:fill="auto"/>
        <w:bidi w:val="0"/>
        <w:spacing w:before="0" w:after="340" w:line="276" w:lineRule="auto"/>
        <w:ind w:left="0" w:right="0" w:firstLine="0"/>
        <w:jc w:val="both"/>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 ěci a kupující se zavazuje zaplatit prodávajícímu kupní cenu.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Předmět plnění</w:t>
      </w:r>
    </w:p>
    <w:p>
      <w:pPr>
        <w:pStyle w:val="Style2"/>
        <w:keepNext w:val="0"/>
        <w:keepLines w:val="0"/>
        <w:widowControl w:val="0"/>
        <w:numPr>
          <w:ilvl w:val="0"/>
          <w:numId w:val="1"/>
        </w:numPr>
        <w:shd w:val="clear" w:color="auto" w:fill="auto"/>
        <w:tabs>
          <w:tab w:pos="629"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dle této smlouvy je závazek prodávajícího odevzdat kupujícímu v místě</w:t>
      </w:r>
    </w:p>
    <w:p>
      <w:pPr>
        <w:pStyle w:val="Style2"/>
        <w:keepNext w:val="0"/>
        <w:keepLines w:val="0"/>
        <w:widowControl w:val="0"/>
        <w:shd w:val="clear" w:color="auto" w:fill="auto"/>
        <w:tabs>
          <w:tab w:pos="2069" w:val="left"/>
        </w:tabs>
        <w:bidi w:val="0"/>
        <w:spacing w:before="0" w:after="0" w:line="360" w:lineRule="auto"/>
        <w:ind w:left="720" w:right="0" w:firstLine="0"/>
        <w:jc w:val="both"/>
      </w:pPr>
      <w:r>
        <w:rPr>
          <w:color w:val="000000"/>
          <w:spacing w:val="0"/>
          <w:w w:val="100"/>
          <w:position w:val="0"/>
          <w:shd w:val="clear" w:color="auto" w:fill="auto"/>
          <w:lang w:val="cs-CZ" w:eastAsia="cs-CZ" w:bidi="cs-CZ"/>
        </w:rPr>
        <w:t xml:space="preserve">plnění </w:t>
      </w:r>
      <w:r>
        <w:rPr>
          <w:b/>
          <w:bCs/>
          <w:color w:val="000000"/>
          <w:spacing w:val="0"/>
          <w:w w:val="100"/>
          <w:position w:val="0"/>
          <w:shd w:val="clear" w:color="auto" w:fill="auto"/>
          <w:lang w:val="cs-CZ" w:eastAsia="cs-CZ" w:bidi="cs-CZ"/>
        </w:rPr>
        <w:t>1 technologické vozidlo do 3,5 t s double kabinou a valníkovou nástavbou</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Výrobce:</w:t>
        <w:tab/>
        <w:t>IVECO</w:t>
      </w:r>
    </w:p>
    <w:p>
      <w:pPr>
        <w:pStyle w:val="Style2"/>
        <w:keepNext w:val="0"/>
        <w:keepLines w:val="0"/>
        <w:widowControl w:val="0"/>
        <w:shd w:val="clear" w:color="auto" w:fill="auto"/>
        <w:tabs>
          <w:tab w:pos="2069" w:val="left"/>
        </w:tabs>
        <w:bidi w:val="0"/>
        <w:spacing w:before="0" w:after="120" w:line="240" w:lineRule="auto"/>
        <w:ind w:left="0" w:right="0" w:firstLine="720"/>
        <w:jc w:val="left"/>
      </w:pPr>
      <w:r>
        <w:rPr>
          <w:b/>
          <w:bCs/>
          <w:color w:val="000000"/>
          <w:spacing w:val="0"/>
          <w:w w:val="100"/>
          <w:position w:val="0"/>
          <w:shd w:val="clear" w:color="auto" w:fill="auto"/>
          <w:lang w:val="cs-CZ" w:eastAsia="cs-CZ" w:bidi="cs-CZ"/>
        </w:rPr>
        <w:t>Typ:</w:t>
        <w:tab/>
        <w:t>Daily 35S16 D</w:t>
      </w:r>
    </w:p>
    <w:p>
      <w:pPr>
        <w:pStyle w:val="Style2"/>
        <w:keepNext w:val="0"/>
        <w:keepLines w:val="0"/>
        <w:widowControl w:val="0"/>
        <w:shd w:val="clear" w:color="auto" w:fill="auto"/>
        <w:bidi w:val="0"/>
        <w:spacing w:before="0" w:after="280" w:line="240" w:lineRule="auto"/>
        <w:ind w:left="72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1900" w:h="16840"/>
          <w:pgMar w:top="692" w:left="1378" w:right="1373" w:bottom="1638"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podle technických parametrů a specifikace uvedené v </w:t>
      </w:r>
      <w:r>
        <w:rPr>
          <w:b/>
          <w:bCs/>
          <w:color w:val="000000"/>
          <w:spacing w:val="0"/>
          <w:w w:val="100"/>
          <w:position w:val="0"/>
          <w:shd w:val="clear" w:color="auto" w:fill="auto"/>
          <w:lang w:val="cs-CZ" w:eastAsia="cs-CZ" w:bidi="cs-CZ"/>
        </w:rPr>
        <w:t xml:space="preserve">příloze A2 </w:t>
      </w:r>
      <w:r>
        <w:rPr>
          <w:color w:val="000000"/>
          <w:spacing w:val="0"/>
          <w:w w:val="100"/>
          <w:position w:val="0"/>
          <w:shd w:val="clear" w:color="auto" w:fill="auto"/>
          <w:lang w:val="cs-CZ" w:eastAsia="cs-CZ" w:bidi="cs-CZ"/>
        </w:rPr>
        <w:t>této smlouvy (dále jen zboží).</w:t>
      </w:r>
    </w:p>
    <w:p>
      <w:pPr>
        <w:pStyle w:val="Style2"/>
        <w:keepNext w:val="0"/>
        <w:keepLines w:val="0"/>
        <w:widowControl w:val="0"/>
        <w:numPr>
          <w:ilvl w:val="0"/>
          <w:numId w:val="1"/>
        </w:numPr>
        <w:shd w:val="clear" w:color="auto" w:fill="auto"/>
        <w:tabs>
          <w:tab w:pos="706" w:val="left"/>
        </w:tabs>
        <w:bidi w:val="0"/>
        <w:spacing w:before="0" w:line="240" w:lineRule="auto"/>
        <w:ind w:left="740" w:right="0" w:hanging="740"/>
        <w:jc w:val="both"/>
      </w:pPr>
      <w:r>
        <w:rPr>
          <w:spacing w:val="0"/>
          <w:w w:val="100"/>
          <w:position w:val="0"/>
          <w:shd w:val="clear" w:color="auto" w:fill="auto"/>
          <w:lang w:val="cs-CZ" w:eastAsia="cs-CZ" w:bidi="cs-CZ"/>
        </w:rPr>
        <w:t>Prodávající je povinen při odevzdání zboží předat kupujícímu doklady, nezbytné k převzetí a užívání zboží dle § 2094 OZ a to v českém jazyce (návod k obsluze a údržbě v tištěné a elektronické verzi, prohlášení o shodě atd.).</w:t>
      </w:r>
    </w:p>
    <w:p>
      <w:pPr>
        <w:pStyle w:val="Style2"/>
        <w:keepNext w:val="0"/>
        <w:keepLines w:val="0"/>
        <w:widowControl w:val="0"/>
        <w:numPr>
          <w:ilvl w:val="0"/>
          <w:numId w:val="1"/>
        </w:numPr>
        <w:shd w:val="clear" w:color="auto" w:fill="auto"/>
        <w:tabs>
          <w:tab w:pos="706" w:val="left"/>
        </w:tabs>
        <w:bidi w:val="0"/>
        <w:spacing w:before="0" w:after="240" w:line="240" w:lineRule="auto"/>
        <w:ind w:left="740" w:right="0" w:hanging="740"/>
        <w:jc w:val="both"/>
      </w:pPr>
      <w:r>
        <w:rPr>
          <w:spacing w:val="0"/>
          <w:w w:val="100"/>
          <w:position w:val="0"/>
          <w:shd w:val="clear" w:color="auto" w:fill="auto"/>
          <w:lang w:val="cs-CZ" w:eastAsia="cs-CZ" w:bidi="cs-CZ"/>
        </w:rPr>
        <w:t>Prodávající prohlašuje, že dodané zboží je nové a nepoužívané,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p>
    <w:p>
      <w:pPr>
        <w:pStyle w:val="Style2"/>
        <w:keepNext w:val="0"/>
        <w:keepLines w:val="0"/>
        <w:widowControl w:val="0"/>
        <w:numPr>
          <w:ilvl w:val="0"/>
          <w:numId w:val="1"/>
        </w:numPr>
        <w:shd w:val="clear" w:color="auto" w:fill="auto"/>
        <w:tabs>
          <w:tab w:pos="706" w:val="left"/>
        </w:tabs>
        <w:bidi w:val="0"/>
        <w:spacing w:before="0" w:after="240" w:line="240" w:lineRule="auto"/>
        <w:ind w:left="740" w:right="0" w:hanging="740"/>
        <w:jc w:val="both"/>
      </w:pPr>
      <w:r>
        <w:rPr>
          <w:spacing w:val="0"/>
          <w:w w:val="100"/>
          <w:position w:val="0"/>
          <w:shd w:val="clear" w:color="auto" w:fill="auto"/>
          <w:lang w:val="cs-CZ" w:eastAsia="cs-CZ" w:bidi="cs-CZ"/>
        </w:rPr>
        <w:t>Předmětem této smlouvy je též uvedení vozidla do provozu a předvedení funkčnosti v místě plnění. Předmětem plnění je dále zaškolení obsluhy kupujícího v dostatečném rozsahu pro bezpečné ovládání a základní údržbu. Zaškoleny budou alespoň 2 osoby kupujícího, o školení a jeho rozsahu bude proveden příslušný zápis včetně jmenného seznamu s podpisy účastníků.</w:t>
      </w:r>
    </w:p>
    <w:p>
      <w:pPr>
        <w:pStyle w:val="Style2"/>
        <w:keepNext w:val="0"/>
        <w:keepLines w:val="0"/>
        <w:widowControl w:val="0"/>
        <w:numPr>
          <w:ilvl w:val="0"/>
          <w:numId w:val="1"/>
        </w:numPr>
        <w:shd w:val="clear" w:color="auto" w:fill="auto"/>
        <w:tabs>
          <w:tab w:pos="706" w:val="left"/>
        </w:tabs>
        <w:bidi w:val="0"/>
        <w:spacing w:before="0" w:after="240" w:line="240" w:lineRule="auto"/>
        <w:ind w:left="740" w:right="0" w:hanging="740"/>
        <w:jc w:val="both"/>
      </w:pPr>
      <w:r>
        <w:rPr>
          <w:spacing w:val="0"/>
          <w:w w:val="100"/>
          <w:position w:val="0"/>
          <w:shd w:val="clear" w:color="auto" w:fill="auto"/>
          <w:lang w:val="cs-CZ" w:eastAsia="cs-CZ" w:bidi="cs-CZ"/>
        </w:rPr>
        <w:t xml:space="preserve">Předmětem této smlouvy je též závazek kupujícího zaplatit za zboží cenu dle </w:t>
      </w:r>
      <w:r>
        <w:rPr>
          <w:b/>
          <w:bCs/>
          <w:spacing w:val="0"/>
          <w:w w:val="100"/>
          <w:position w:val="0"/>
          <w:shd w:val="clear" w:color="auto" w:fill="auto"/>
          <w:lang w:val="cs-CZ" w:eastAsia="cs-CZ" w:bidi="cs-CZ"/>
        </w:rPr>
        <w:t xml:space="preserve">čl. 3 </w:t>
      </w:r>
      <w:r>
        <w:rPr>
          <w:spacing w:val="0"/>
          <w:w w:val="100"/>
          <w:position w:val="0"/>
          <w:shd w:val="clear" w:color="auto" w:fill="auto"/>
          <w:lang w:val="cs-CZ" w:eastAsia="cs-CZ" w:bidi="cs-CZ"/>
        </w:rPr>
        <w:t>této smlouvy.</w:t>
      </w:r>
    </w:p>
    <w:p>
      <w:pPr>
        <w:pStyle w:val="Style16"/>
        <w:keepNext/>
        <w:keepLines/>
        <w:widowControl w:val="0"/>
        <w:shd w:val="clear" w:color="auto" w:fill="auto"/>
        <w:bidi w:val="0"/>
        <w:spacing w:before="0" w:after="100" w:line="240" w:lineRule="auto"/>
        <w:ind w:left="0" w:right="0" w:firstLine="0"/>
        <w:jc w:val="center"/>
      </w:pPr>
      <w:bookmarkStart w:id="2" w:name="bookmark2"/>
      <w:bookmarkStart w:id="3" w:name="bookmark3"/>
      <w:r>
        <w:rPr>
          <w:spacing w:val="0"/>
          <w:w w:val="100"/>
          <w:position w:val="0"/>
          <w:shd w:val="clear" w:color="auto" w:fill="auto"/>
          <w:lang w:val="cs-CZ" w:eastAsia="cs-CZ" w:bidi="cs-CZ"/>
        </w:rPr>
        <w:t>Článek 3</w:t>
        <w:br/>
        <w:t>Cena za plnění</w:t>
      </w:r>
      <w:bookmarkEnd w:id="2"/>
      <w:bookmarkEnd w:id="3"/>
    </w:p>
    <w:p>
      <w:pPr>
        <w:pStyle w:val="Style2"/>
        <w:keepNext w:val="0"/>
        <w:keepLines w:val="0"/>
        <w:widowControl w:val="0"/>
        <w:numPr>
          <w:ilvl w:val="0"/>
          <w:numId w:val="3"/>
        </w:numPr>
        <w:shd w:val="clear" w:color="auto" w:fill="auto"/>
        <w:tabs>
          <w:tab w:pos="706" w:val="left"/>
        </w:tabs>
        <w:bidi w:val="0"/>
        <w:spacing w:before="0" w:line="240" w:lineRule="auto"/>
        <w:ind w:left="0" w:right="0" w:firstLine="0"/>
        <w:jc w:val="both"/>
      </w:pPr>
      <w:r>
        <w:rPr>
          <w:spacing w:val="0"/>
          <w:w w:val="100"/>
          <w:position w:val="0"/>
          <w:shd w:val="clear" w:color="auto" w:fill="auto"/>
          <w:lang w:val="cs-CZ" w:eastAsia="cs-CZ" w:bidi="cs-CZ"/>
        </w:rPr>
        <w:t xml:space="preserve">Celkový finanční objem plnění podle </w:t>
      </w:r>
      <w:r>
        <w:rPr>
          <w:b/>
          <w:bCs/>
          <w:spacing w:val="0"/>
          <w:w w:val="100"/>
          <w:position w:val="0"/>
          <w:shd w:val="clear" w:color="auto" w:fill="auto"/>
          <w:lang w:val="cs-CZ" w:eastAsia="cs-CZ" w:bidi="cs-CZ"/>
        </w:rPr>
        <w:t xml:space="preserve">čl. 2 </w:t>
      </w:r>
      <w:r>
        <w:rPr>
          <w:spacing w:val="0"/>
          <w:w w:val="100"/>
          <w:position w:val="0"/>
          <w:shd w:val="clear" w:color="auto" w:fill="auto"/>
          <w:lang w:val="cs-CZ" w:eastAsia="cs-CZ" w:bidi="cs-CZ"/>
        </w:rPr>
        <w:t>této kupní smlouvy činí</w:t>
      </w:r>
    </w:p>
    <w:p>
      <w:pPr>
        <w:pStyle w:val="Style2"/>
        <w:keepNext w:val="0"/>
        <w:keepLines w:val="0"/>
        <w:widowControl w:val="0"/>
        <w:shd w:val="clear" w:color="auto" w:fill="auto"/>
        <w:tabs>
          <w:tab w:pos="6468" w:val="left"/>
        </w:tabs>
        <w:bidi w:val="0"/>
        <w:spacing w:before="0" w:line="240" w:lineRule="auto"/>
        <w:ind w:left="1260" w:right="0" w:firstLine="0"/>
        <w:jc w:val="both"/>
      </w:pPr>
      <w:r>
        <w:rPr>
          <w:b/>
          <w:bCs/>
          <w:spacing w:val="0"/>
          <w:w w:val="100"/>
          <w:position w:val="0"/>
          <w:shd w:val="clear" w:color="auto" w:fill="auto"/>
          <w:lang w:val="cs-CZ" w:eastAsia="cs-CZ" w:bidi="cs-CZ"/>
        </w:rPr>
        <w:t>Celková cena plnění bez DPH</w:t>
        <w:tab/>
        <w:t>1.128.800,00 Kč</w:t>
      </w:r>
    </w:p>
    <w:p>
      <w:pPr>
        <w:pStyle w:val="Style2"/>
        <w:keepNext w:val="0"/>
        <w:keepLines w:val="0"/>
        <w:widowControl w:val="0"/>
        <w:shd w:val="clear" w:color="auto" w:fill="auto"/>
        <w:bidi w:val="0"/>
        <w:spacing w:before="0" w:line="240" w:lineRule="auto"/>
        <w:ind w:left="1260" w:right="0" w:firstLine="0"/>
        <w:jc w:val="both"/>
      </w:pPr>
      <w:r>
        <w:rPr>
          <w:spacing w:val="0"/>
          <w:w w:val="100"/>
          <w:position w:val="0"/>
          <w:shd w:val="clear" w:color="auto" w:fill="auto"/>
          <w:lang w:val="cs-CZ" w:eastAsia="cs-CZ" w:bidi="cs-CZ"/>
        </w:rPr>
        <w:t>DPH 21 % 237.048,00 Kč</w:t>
      </w:r>
    </w:p>
    <w:p>
      <w:pPr>
        <w:pStyle w:val="Style2"/>
        <w:keepNext w:val="0"/>
        <w:keepLines w:val="0"/>
        <w:widowControl w:val="0"/>
        <w:shd w:val="clear" w:color="auto" w:fill="auto"/>
        <w:tabs>
          <w:tab w:pos="6468" w:val="left"/>
        </w:tabs>
        <w:bidi w:val="0"/>
        <w:spacing w:before="0" w:line="240" w:lineRule="auto"/>
        <w:ind w:left="1260" w:right="0" w:firstLine="0"/>
        <w:jc w:val="both"/>
      </w:pPr>
      <w:r>
        <w:rPr>
          <w:b/>
          <w:bCs/>
          <w:spacing w:val="0"/>
          <w:w w:val="100"/>
          <w:position w:val="0"/>
          <w:shd w:val="clear" w:color="auto" w:fill="auto"/>
          <w:lang w:val="cs-CZ" w:eastAsia="cs-CZ" w:bidi="cs-CZ"/>
        </w:rPr>
        <w:t>Celková cena včetně DPH</w:t>
        <w:tab/>
        <w:t>1.365.848,00 Kč</w:t>
      </w:r>
    </w:p>
    <w:p>
      <w:pPr>
        <w:pStyle w:val="Style2"/>
        <w:keepNext w:val="0"/>
        <w:keepLines w:val="0"/>
        <w:widowControl w:val="0"/>
        <w:numPr>
          <w:ilvl w:val="0"/>
          <w:numId w:val="3"/>
        </w:numPr>
        <w:shd w:val="clear" w:color="auto" w:fill="auto"/>
        <w:tabs>
          <w:tab w:pos="706" w:val="left"/>
        </w:tabs>
        <w:bidi w:val="0"/>
        <w:spacing w:before="0" w:line="240" w:lineRule="auto"/>
        <w:ind w:left="740" w:right="0" w:hanging="740"/>
        <w:jc w:val="both"/>
      </w:pPr>
      <w:r>
        <w:rPr>
          <w:spacing w:val="0"/>
          <w:w w:val="100"/>
          <w:position w:val="0"/>
          <w:shd w:val="clear" w:color="auto" w:fill="auto"/>
          <w:lang w:val="cs-CZ" w:eastAsia="cs-CZ" w:bidi="cs-CZ"/>
        </w:rPr>
        <w:t>Tato cena zahrnuje veškeré náklady spojené s předmětem smlouvy, tj. cenu zboží včetně dopravného do místa plnění, dokumentace, zaškolení obsluhy a dalších souvisejících nákladů. Tato cena je konečná, nepřekročitelná pro daný předmět smlouvy.</w:t>
      </w:r>
    </w:p>
    <w:p>
      <w:pPr>
        <w:pStyle w:val="Style2"/>
        <w:keepNext w:val="0"/>
        <w:keepLines w:val="0"/>
        <w:widowControl w:val="0"/>
        <w:numPr>
          <w:ilvl w:val="0"/>
          <w:numId w:val="3"/>
        </w:numPr>
        <w:shd w:val="clear" w:color="auto" w:fill="auto"/>
        <w:tabs>
          <w:tab w:pos="706" w:val="left"/>
        </w:tabs>
        <w:bidi w:val="0"/>
        <w:spacing w:before="0" w:line="240" w:lineRule="auto"/>
        <w:ind w:left="740" w:right="0" w:hanging="740"/>
        <w:jc w:val="both"/>
      </w:pPr>
      <w:r>
        <w:rPr>
          <w:spacing w:val="0"/>
          <w:w w:val="100"/>
          <w:position w:val="0"/>
          <w:shd w:val="clear" w:color="auto" w:fill="auto"/>
          <w:lang w:val="cs-CZ" w:eastAsia="cs-CZ" w:bidi="cs-CZ"/>
        </w:rPr>
        <w:t>Cena obsahuje veškeré náklady souvisejících s dodávkou, včetně těch, které nebyly v době zpracování nabídky známy a nutnost jejich úhrady nastala až v době plnění, bez vlivu na kupní cenu.</w:t>
      </w:r>
    </w:p>
    <w:p>
      <w:pPr>
        <w:pStyle w:val="Style2"/>
        <w:keepNext w:val="0"/>
        <w:keepLines w:val="0"/>
        <w:widowControl w:val="0"/>
        <w:numPr>
          <w:ilvl w:val="0"/>
          <w:numId w:val="3"/>
        </w:numPr>
        <w:shd w:val="clear" w:color="auto" w:fill="auto"/>
        <w:tabs>
          <w:tab w:pos="706" w:val="left"/>
        </w:tabs>
        <w:bidi w:val="0"/>
        <w:spacing w:before="0" w:line="240" w:lineRule="auto"/>
        <w:ind w:left="0" w:right="0" w:firstLine="0"/>
        <w:jc w:val="both"/>
      </w:pPr>
      <w:r>
        <w:rPr>
          <w:spacing w:val="0"/>
          <w:w w:val="100"/>
          <w:position w:val="0"/>
          <w:shd w:val="clear" w:color="auto" w:fill="auto"/>
          <w:lang w:val="cs-CZ" w:eastAsia="cs-CZ" w:bidi="cs-CZ"/>
        </w:rPr>
        <w:t>Cena zahrnuje daně, cla, poplatky, případně další náklady spojené s realizací dodávky.</w:t>
      </w:r>
    </w:p>
    <w:p>
      <w:pPr>
        <w:pStyle w:val="Style2"/>
        <w:keepNext w:val="0"/>
        <w:keepLines w:val="0"/>
        <w:widowControl w:val="0"/>
        <w:numPr>
          <w:ilvl w:val="0"/>
          <w:numId w:val="3"/>
        </w:numPr>
        <w:shd w:val="clear" w:color="auto" w:fill="auto"/>
        <w:tabs>
          <w:tab w:pos="706" w:val="left"/>
        </w:tabs>
        <w:bidi w:val="0"/>
        <w:spacing w:before="0" w:line="240" w:lineRule="auto"/>
        <w:ind w:left="740" w:right="0" w:hanging="740"/>
        <w:jc w:val="both"/>
      </w:pPr>
      <w:r>
        <w:rPr>
          <w:spacing w:val="0"/>
          <w:w w:val="100"/>
          <w:position w:val="0"/>
          <w:shd w:val="clear" w:color="auto" w:fill="auto"/>
          <w:lang w:val="cs-CZ" w:eastAsia="cs-CZ" w:bidi="cs-CZ"/>
        </w:rPr>
        <w:t>Cena obsahuje předpokládané změny ceny v závislosti na čase a předpokládanému vývoji cen vstupních nákladů. Změna ceny na základě inflačních vlivů se nepřipouští.</w:t>
      </w:r>
    </w:p>
    <w:p>
      <w:pPr>
        <w:pStyle w:val="Style2"/>
        <w:keepNext w:val="0"/>
        <w:keepLines w:val="0"/>
        <w:widowControl w:val="0"/>
        <w:numPr>
          <w:ilvl w:val="0"/>
          <w:numId w:val="3"/>
        </w:numPr>
        <w:shd w:val="clear" w:color="auto" w:fill="auto"/>
        <w:tabs>
          <w:tab w:pos="706" w:val="left"/>
        </w:tabs>
        <w:bidi w:val="0"/>
        <w:spacing w:before="0" w:line="240" w:lineRule="auto"/>
        <w:ind w:left="740" w:right="0" w:hanging="740"/>
        <w:jc w:val="both"/>
      </w:pPr>
      <w:r>
        <w:rPr>
          <w:spacing w:val="0"/>
          <w:w w:val="100"/>
          <w:position w:val="0"/>
          <w:shd w:val="clear" w:color="auto" w:fill="auto"/>
          <w:lang w:val="cs-CZ" w:eastAsia="cs-CZ" w:bidi="cs-CZ"/>
        </w:rPr>
        <w:t>Cena nebude měněna v souvislosti s inflací české koruny, hodnotou kurzu české koruny vůči zahraničním měnám či jinými faktory s vlivem na měnový kurz, a to po celou dobu platnosti smlouvy na dodávku.</w:t>
      </w:r>
    </w:p>
    <w:p>
      <w:pPr>
        <w:pStyle w:val="Style2"/>
        <w:keepNext w:val="0"/>
        <w:keepLines w:val="0"/>
        <w:widowControl w:val="0"/>
        <w:numPr>
          <w:ilvl w:val="0"/>
          <w:numId w:val="3"/>
        </w:numPr>
        <w:shd w:val="clear" w:color="auto" w:fill="auto"/>
        <w:tabs>
          <w:tab w:pos="706" w:val="left"/>
        </w:tabs>
        <w:bidi w:val="0"/>
        <w:spacing w:before="0" w:line="240" w:lineRule="auto"/>
        <w:ind w:left="0" w:right="0" w:firstLine="0"/>
        <w:jc w:val="both"/>
      </w:pPr>
      <w:r>
        <w:rPr>
          <w:spacing w:val="0"/>
          <w:w w:val="100"/>
          <w:position w:val="0"/>
          <w:shd w:val="clear" w:color="auto" w:fill="auto"/>
          <w:lang w:val="cs-CZ" w:eastAsia="cs-CZ" w:bidi="cs-CZ"/>
        </w:rPr>
        <w:t>Celkovou a pro účely fakturace rozhodnou cenou se rozumí cena včetně DPH.</w:t>
      </w:r>
    </w:p>
    <w:p>
      <w:pPr>
        <w:pStyle w:val="Style2"/>
        <w:keepNext w:val="0"/>
        <w:keepLines w:val="0"/>
        <w:widowControl w:val="0"/>
        <w:numPr>
          <w:ilvl w:val="0"/>
          <w:numId w:val="3"/>
        </w:numPr>
        <w:shd w:val="clear" w:color="auto" w:fill="auto"/>
        <w:tabs>
          <w:tab w:pos="706" w:val="left"/>
        </w:tabs>
        <w:bidi w:val="0"/>
        <w:spacing w:before="0" w:after="340" w:line="240" w:lineRule="auto"/>
        <w:ind w:left="740" w:right="0" w:hanging="740"/>
        <w:jc w:val="both"/>
      </w:pPr>
      <w:r>
        <w:rPr>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spacing w:val="0"/>
          <w:w w:val="100"/>
          <w:position w:val="0"/>
          <w:shd w:val="clear" w:color="auto" w:fill="auto"/>
          <w:lang w:val="cs-CZ" w:eastAsia="cs-CZ" w:bidi="cs-CZ"/>
        </w:rPr>
        <w:t>Místo plnění, odevzdání a převzetí zboží</w:t>
      </w:r>
    </w:p>
    <w:p>
      <w:pPr>
        <w:pStyle w:val="Style2"/>
        <w:keepNext w:val="0"/>
        <w:keepLines w:val="0"/>
        <w:widowControl w:val="0"/>
        <w:numPr>
          <w:ilvl w:val="0"/>
          <w:numId w:val="5"/>
        </w:numPr>
        <w:shd w:val="clear" w:color="auto" w:fill="auto"/>
        <w:tabs>
          <w:tab w:pos="706" w:val="left"/>
        </w:tabs>
        <w:bidi w:val="0"/>
        <w:spacing w:before="0" w:after="0" w:line="240" w:lineRule="auto"/>
        <w:ind w:left="0" w:right="0" w:firstLine="0"/>
        <w:jc w:val="both"/>
      </w:pPr>
      <w:r>
        <w:rPr>
          <w:spacing w:val="0"/>
          <w:w w:val="100"/>
          <w:position w:val="0"/>
          <w:shd w:val="clear" w:color="auto" w:fill="auto"/>
          <w:lang w:val="cs-CZ" w:eastAsia="cs-CZ" w:bidi="cs-CZ"/>
        </w:rPr>
        <w:t xml:space="preserve">Místo plnění: </w:t>
      </w:r>
      <w:r>
        <w:rPr>
          <w:b/>
          <w:bCs/>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line="240" w:lineRule="auto"/>
        <w:ind w:left="0" w:right="0" w:firstLine="740"/>
        <w:jc w:val="both"/>
      </w:pPr>
      <w:r>
        <w:rPr>
          <w:b/>
          <w:bCs/>
          <w:spacing w:val="0"/>
          <w:w w:val="100"/>
          <w:position w:val="0"/>
          <w:shd w:val="clear" w:color="auto" w:fill="auto"/>
          <w:lang w:val="cs-CZ" w:eastAsia="cs-CZ" w:bidi="cs-CZ"/>
        </w:rPr>
        <w:t>Kosovská 16, 58601 Jihlava</w:t>
      </w:r>
    </w:p>
    <w:p>
      <w:pPr>
        <w:pStyle w:val="Style2"/>
        <w:keepNext w:val="0"/>
        <w:keepLines w:val="0"/>
        <w:widowControl w:val="0"/>
        <w:numPr>
          <w:ilvl w:val="0"/>
          <w:numId w:val="5"/>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2"/>
        <w:keepNext w:val="0"/>
        <w:keepLines w:val="0"/>
        <w:widowControl w:val="0"/>
        <w:numPr>
          <w:ilvl w:val="0"/>
          <w:numId w:val="5"/>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 xml:space="preserve">Osoby oprávněné jednat ve věcech předání a převzetí zboží za smluvní strany jsou uvedeny v </w:t>
      </w:r>
      <w:r>
        <w:rPr>
          <w:b/>
          <w:bCs/>
          <w:spacing w:val="0"/>
          <w:w w:val="100"/>
          <w:position w:val="0"/>
          <w:shd w:val="clear" w:color="auto" w:fill="auto"/>
          <w:lang w:val="cs-CZ" w:eastAsia="cs-CZ" w:bidi="cs-CZ"/>
        </w:rPr>
        <w:t>příloze A1 smlouvy</w:t>
      </w:r>
      <w:r>
        <w:rPr>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 Uvedené osoby jsou oprávněny pověřit své zástupce.</w:t>
      </w:r>
    </w:p>
    <w:p>
      <w:pPr>
        <w:pStyle w:val="Style2"/>
        <w:keepNext w:val="0"/>
        <w:keepLines w:val="0"/>
        <w:widowControl w:val="0"/>
        <w:numPr>
          <w:ilvl w:val="0"/>
          <w:numId w:val="5"/>
        </w:numPr>
        <w:shd w:val="clear" w:color="auto" w:fill="auto"/>
        <w:tabs>
          <w:tab w:pos="849" w:val="left"/>
        </w:tabs>
        <w:bidi w:val="0"/>
        <w:spacing w:before="0" w:after="460" w:line="240" w:lineRule="auto"/>
        <w:ind w:left="860" w:right="0" w:hanging="860"/>
        <w:jc w:val="both"/>
      </w:pPr>
      <w:r>
        <w:rPr>
          <w:spacing w:val="0"/>
          <w:w w:val="100"/>
          <w:position w:val="0"/>
          <w:shd w:val="clear" w:color="auto" w:fill="auto"/>
          <w:lang w:val="cs-CZ" w:eastAsia="cs-CZ" w:bidi="cs-CZ"/>
        </w:rPr>
        <w:t>Přechod vlastnického práva k dodávce je dnem předání a převzetí, který bude uveden ve vzájemně podepsaném protokolu o předání a převzetí.</w:t>
      </w:r>
    </w:p>
    <w:p>
      <w:pPr>
        <w:pStyle w:val="Style16"/>
        <w:keepNext/>
        <w:keepLines/>
        <w:widowControl w:val="0"/>
        <w:shd w:val="clear" w:color="auto" w:fill="auto"/>
        <w:bidi w:val="0"/>
        <w:spacing w:before="0" w:line="240" w:lineRule="auto"/>
        <w:ind w:left="0" w:right="0" w:firstLine="0"/>
        <w:jc w:val="center"/>
      </w:pPr>
      <w:bookmarkStart w:id="4" w:name="bookmark4"/>
      <w:bookmarkStart w:id="5" w:name="bookmark5"/>
      <w:r>
        <w:rPr>
          <w:spacing w:val="0"/>
          <w:w w:val="100"/>
          <w:position w:val="0"/>
          <w:shd w:val="clear" w:color="auto" w:fill="auto"/>
          <w:lang w:val="cs-CZ" w:eastAsia="cs-CZ" w:bidi="cs-CZ"/>
        </w:rPr>
        <w:t>Článek 5</w:t>
        <w:br/>
        <w:t>Doba plnění</w:t>
      </w:r>
      <w:bookmarkEnd w:id="4"/>
      <w:bookmarkEnd w:id="5"/>
    </w:p>
    <w:p>
      <w:pPr>
        <w:pStyle w:val="Style2"/>
        <w:keepNext w:val="0"/>
        <w:keepLines w:val="0"/>
        <w:widowControl w:val="0"/>
        <w:numPr>
          <w:ilvl w:val="1"/>
          <w:numId w:val="5"/>
        </w:numPr>
        <w:shd w:val="clear" w:color="auto" w:fill="auto"/>
        <w:tabs>
          <w:tab w:pos="849" w:val="left"/>
        </w:tabs>
        <w:bidi w:val="0"/>
        <w:spacing w:before="0" w:after="240" w:line="240" w:lineRule="auto"/>
        <w:ind w:left="0" w:right="0" w:firstLine="0"/>
        <w:jc w:val="left"/>
      </w:pPr>
      <w:r>
        <w:rPr>
          <w:spacing w:val="0"/>
          <w:w w:val="100"/>
          <w:position w:val="0"/>
          <w:shd w:val="clear" w:color="auto" w:fill="auto"/>
          <w:lang w:val="cs-CZ" w:eastAsia="cs-CZ" w:bidi="cs-CZ"/>
        </w:rPr>
        <w:t xml:space="preserve">Prodávající je povinen odevzdat zboží </w:t>
      </w:r>
      <w:r>
        <w:rPr>
          <w:b/>
          <w:bCs/>
          <w:spacing w:val="0"/>
          <w:w w:val="100"/>
          <w:position w:val="0"/>
          <w:shd w:val="clear" w:color="auto" w:fill="auto"/>
          <w:lang w:val="cs-CZ" w:eastAsia="cs-CZ" w:bidi="cs-CZ"/>
        </w:rPr>
        <w:t xml:space="preserve">do 16 měsíců </w:t>
      </w:r>
      <w:r>
        <w:rPr>
          <w:spacing w:val="0"/>
          <w:w w:val="100"/>
          <w:position w:val="0"/>
          <w:shd w:val="clear" w:color="auto" w:fill="auto"/>
          <w:lang w:val="cs-CZ" w:eastAsia="cs-CZ" w:bidi="cs-CZ"/>
        </w:rPr>
        <w:t>od nabytí účinnosti smlouvy.</w:t>
      </w:r>
    </w:p>
    <w:p>
      <w:pPr>
        <w:pStyle w:val="Style2"/>
        <w:keepNext w:val="0"/>
        <w:keepLines w:val="0"/>
        <w:widowControl w:val="0"/>
        <w:numPr>
          <w:ilvl w:val="1"/>
          <w:numId w:val="5"/>
        </w:numPr>
        <w:shd w:val="clear" w:color="auto" w:fill="auto"/>
        <w:tabs>
          <w:tab w:pos="849" w:val="left"/>
        </w:tabs>
        <w:bidi w:val="0"/>
        <w:spacing w:before="0" w:after="240" w:line="240" w:lineRule="auto"/>
        <w:ind w:left="0" w:right="0" w:firstLine="0"/>
        <w:jc w:val="left"/>
      </w:pPr>
      <w:r>
        <w:rPr>
          <w:spacing w:val="0"/>
          <w:w w:val="100"/>
          <w:position w:val="0"/>
          <w:shd w:val="clear" w:color="auto" w:fill="auto"/>
          <w:lang w:val="cs-CZ" w:eastAsia="cs-CZ" w:bidi="cs-CZ"/>
        </w:rPr>
        <w:t>Dřívější plnění je možné.</w:t>
      </w:r>
    </w:p>
    <w:p>
      <w:pPr>
        <w:pStyle w:val="Style16"/>
        <w:keepNext/>
        <w:keepLines/>
        <w:widowControl w:val="0"/>
        <w:shd w:val="clear" w:color="auto" w:fill="auto"/>
        <w:bidi w:val="0"/>
        <w:spacing w:before="0" w:line="240" w:lineRule="auto"/>
        <w:ind w:left="0" w:right="0" w:firstLine="0"/>
        <w:jc w:val="center"/>
      </w:pPr>
      <w:bookmarkStart w:id="6" w:name="bookmark6"/>
      <w:bookmarkStart w:id="7" w:name="bookmark7"/>
      <w:r>
        <w:rPr>
          <w:spacing w:val="0"/>
          <w:w w:val="100"/>
          <w:position w:val="0"/>
          <w:shd w:val="clear" w:color="auto" w:fill="auto"/>
          <w:lang w:val="cs-CZ" w:eastAsia="cs-CZ" w:bidi="cs-CZ"/>
        </w:rPr>
        <w:t>Článek 6</w:t>
        <w:br/>
        <w:t>Platební podmínky</w:t>
      </w:r>
      <w:bookmarkEnd w:id="6"/>
      <w:bookmarkEnd w:id="7"/>
    </w:p>
    <w:p>
      <w:pPr>
        <w:pStyle w:val="Style2"/>
        <w:keepNext w:val="0"/>
        <w:keepLines w:val="0"/>
        <w:widowControl w:val="0"/>
        <w:numPr>
          <w:ilvl w:val="0"/>
          <w:numId w:val="7"/>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 xml:space="preserve">Prodávající po předání zboží v souladu s touto kupní smlouvou je povinen vystavit fakturu a do 5 kalendářních dnů doporučeně kupujícímu odeslat za dodané zboží ve dvojím vyhotovení. Tato faktura je splatná do </w:t>
      </w:r>
      <w:r>
        <w:rPr>
          <w:b/>
          <w:bCs/>
          <w:spacing w:val="0"/>
          <w:w w:val="100"/>
          <w:position w:val="0"/>
          <w:shd w:val="clear" w:color="auto" w:fill="auto"/>
          <w:lang w:val="cs-CZ" w:eastAsia="cs-CZ" w:bidi="cs-CZ"/>
        </w:rPr>
        <w:t xml:space="preserve">30 kalendářních dnů </w:t>
      </w:r>
      <w:r>
        <w:rPr>
          <w:spacing w:val="0"/>
          <w:w w:val="100"/>
          <w:position w:val="0"/>
          <w:shd w:val="clear" w:color="auto" w:fill="auto"/>
          <w:lang w:val="cs-CZ" w:eastAsia="cs-CZ" w:bidi="cs-CZ"/>
        </w:rPr>
        <w:t>ode dne jejího doručení a povinně, v souladu se zákonem č. 235/2004 Sb. o dani z přidané hodnoty, ve znění pozdějších předpisů (dále zákon o DPH), a zákonem č. 563/1991 Sb. o účetnictví, 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pPr>
        <w:pStyle w:val="Style2"/>
        <w:keepNext w:val="0"/>
        <w:keepLines w:val="0"/>
        <w:widowControl w:val="0"/>
        <w:numPr>
          <w:ilvl w:val="0"/>
          <w:numId w:val="7"/>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pracovních dnů ode dne doručení oprávněně vrácené faktury.</w:t>
      </w:r>
    </w:p>
    <w:p>
      <w:pPr>
        <w:pStyle w:val="Style2"/>
        <w:keepNext w:val="0"/>
        <w:keepLines w:val="0"/>
        <w:widowControl w:val="0"/>
        <w:numPr>
          <w:ilvl w:val="0"/>
          <w:numId w:val="7"/>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 xml:space="preserve">Kupující přijímá i elektronické faktury, a to ve formátech XML nebo PDF. V takovém případě je prodávající povinen elektronickou fakturu zaslat kupujícímu na email </w:t>
      </w:r>
      <w:r>
        <w:fldChar w:fldCharType="begin"/>
      </w:r>
      <w:r>
        <w:rPr/>
        <w:instrText> HYPERLINK "mailto:ksusv@ksusv.cz" </w:instrText>
      </w:r>
      <w:r>
        <w:fldChar w:fldCharType="separate"/>
      </w:r>
      <w:r>
        <w:rPr>
          <w:spacing w:val="0"/>
          <w:w w:val="100"/>
          <w:position w:val="0"/>
          <w:shd w:val="clear" w:color="auto" w:fill="auto"/>
          <w:lang w:val="cs-CZ" w:eastAsia="cs-CZ" w:bidi="cs-CZ"/>
        </w:rPr>
        <w:t>ksusv@ksusv.cz</w:t>
      </w:r>
      <w:r>
        <w:fldChar w:fldCharType="end"/>
      </w:r>
      <w:r>
        <w:rPr>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Úhrada kupní ceny bude realizována bezhotovostním převodem na účet prodávajícího, který je správcem daně (finančním úřadem) zveřejněn způsobem umožňujícím dálkový přístup ve smyslu § 98 zákona o DPH.</w:t>
      </w:r>
    </w:p>
    <w:p>
      <w:pPr>
        <w:pStyle w:val="Style2"/>
        <w:keepNext w:val="0"/>
        <w:keepLines w:val="0"/>
        <w:widowControl w:val="0"/>
        <w:numPr>
          <w:ilvl w:val="0"/>
          <w:numId w:val="7"/>
        </w:numPr>
        <w:shd w:val="clear" w:color="auto" w:fill="auto"/>
        <w:tabs>
          <w:tab w:pos="849" w:val="left"/>
        </w:tabs>
        <w:bidi w:val="0"/>
        <w:spacing w:before="0" w:after="120" w:line="240" w:lineRule="auto"/>
        <w:ind w:left="860" w:right="0" w:hanging="860"/>
        <w:jc w:val="both"/>
      </w:pPr>
      <w:r>
        <w:rPr>
          <w:spacing w:val="0"/>
          <w:w w:val="100"/>
          <w:position w:val="0"/>
          <w:shd w:val="clear" w:color="auto" w:fill="auto"/>
          <w:lang w:val="cs-CZ" w:eastAsia="cs-CZ" w:bidi="cs-CZ"/>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7</w:t>
      </w:r>
    </w:p>
    <w:p>
      <w:pPr>
        <w:pStyle w:val="Style16"/>
        <w:keepNext/>
        <w:keepLines/>
        <w:widowControl w:val="0"/>
        <w:shd w:val="clear" w:color="auto" w:fill="auto"/>
        <w:bidi w:val="0"/>
        <w:spacing w:before="0" w:after="100" w:line="240" w:lineRule="auto"/>
        <w:ind w:left="0" w:right="0" w:firstLine="0"/>
        <w:jc w:val="center"/>
      </w:pPr>
      <w:bookmarkStart w:id="8" w:name="bookmark8"/>
      <w:bookmarkStart w:id="9" w:name="bookmark9"/>
      <w:r>
        <w:rPr>
          <w:spacing w:val="0"/>
          <w:w w:val="100"/>
          <w:position w:val="0"/>
          <w:shd w:val="clear" w:color="auto" w:fill="auto"/>
          <w:lang w:val="cs-CZ" w:eastAsia="cs-CZ" w:bidi="cs-CZ"/>
        </w:rPr>
        <w:t>Záruka a reklamace</w:t>
      </w:r>
      <w:bookmarkEnd w:id="8"/>
      <w:bookmarkEnd w:id="9"/>
    </w:p>
    <w:p>
      <w:pPr>
        <w:pStyle w:val="Style2"/>
        <w:keepNext w:val="0"/>
        <w:keepLines w:val="0"/>
        <w:widowControl w:val="0"/>
        <w:numPr>
          <w:ilvl w:val="0"/>
          <w:numId w:val="9"/>
        </w:numPr>
        <w:shd w:val="clear" w:color="auto" w:fill="auto"/>
        <w:tabs>
          <w:tab w:pos="807" w:val="left"/>
        </w:tabs>
        <w:bidi w:val="0"/>
        <w:spacing w:before="0" w:line="240" w:lineRule="auto"/>
        <w:ind w:left="860" w:right="0" w:hanging="860"/>
        <w:jc w:val="both"/>
      </w:pPr>
      <w:r>
        <w:rPr>
          <w:spacing w:val="0"/>
          <w:w w:val="100"/>
          <w:position w:val="0"/>
          <w:shd w:val="clear" w:color="auto" w:fill="auto"/>
          <w:lang w:val="cs-CZ" w:eastAsia="cs-CZ" w:bidi="cs-CZ"/>
        </w:rPr>
        <w:t xml:space="preserve">Minimální délka záruční doby na zboží a na originální příslušenství činí </w:t>
      </w:r>
      <w:r>
        <w:rPr>
          <w:b/>
          <w:bCs/>
          <w:spacing w:val="0"/>
          <w:w w:val="100"/>
          <w:position w:val="0"/>
          <w:shd w:val="clear" w:color="auto" w:fill="auto"/>
          <w:lang w:val="cs-CZ" w:eastAsia="cs-CZ" w:bidi="cs-CZ"/>
        </w:rPr>
        <w:t>minimálně 24 měsíců</w:t>
      </w:r>
      <w:r>
        <w:rPr>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807" w:val="left"/>
        </w:tabs>
        <w:bidi w:val="0"/>
        <w:spacing w:before="0" w:line="240" w:lineRule="auto"/>
        <w:ind w:left="0" w:right="0" w:firstLine="0"/>
        <w:jc w:val="both"/>
      </w:pPr>
      <w:r>
        <w:rPr>
          <w:spacing w:val="0"/>
          <w:w w:val="100"/>
          <w:position w:val="0"/>
          <w:shd w:val="clear" w:color="auto" w:fill="auto"/>
          <w:lang w:val="cs-CZ" w:eastAsia="cs-CZ" w:bidi="cs-CZ"/>
        </w:rPr>
        <w:t>Reklamace a záruky uplatňuje kupující přímo u prodávajícího.</w:t>
      </w:r>
    </w:p>
    <w:p>
      <w:pPr>
        <w:pStyle w:val="Style2"/>
        <w:keepNext w:val="0"/>
        <w:keepLines w:val="0"/>
        <w:widowControl w:val="0"/>
        <w:numPr>
          <w:ilvl w:val="0"/>
          <w:numId w:val="9"/>
        </w:numPr>
        <w:shd w:val="clear" w:color="auto" w:fill="auto"/>
        <w:tabs>
          <w:tab w:pos="807" w:val="left"/>
        </w:tabs>
        <w:bidi w:val="0"/>
        <w:spacing w:before="0" w:after="340" w:line="240" w:lineRule="auto"/>
        <w:ind w:left="860" w:right="0" w:hanging="860"/>
        <w:jc w:val="both"/>
      </w:pPr>
      <w:r>
        <w:rPr>
          <w:spacing w:val="0"/>
          <w:w w:val="100"/>
          <w:position w:val="0"/>
          <w:shd w:val="clear" w:color="auto" w:fill="auto"/>
          <w:lang w:val="cs-CZ" w:eastAsia="cs-CZ" w:bidi="cs-CZ"/>
        </w:rPr>
        <w:t>V dalším se pro úpravu práv kupujícího a odpovědnosti prodávajícího ze záruky či z vadného plnění prodávajícího užijí příslušná ustanovení občanského zákoníku.</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8</w:t>
      </w:r>
    </w:p>
    <w:p>
      <w:pPr>
        <w:pStyle w:val="Style16"/>
        <w:keepNext/>
        <w:keepLines/>
        <w:widowControl w:val="0"/>
        <w:shd w:val="clear" w:color="auto" w:fill="auto"/>
        <w:bidi w:val="0"/>
        <w:spacing w:before="0" w:after="100" w:line="240" w:lineRule="auto"/>
        <w:ind w:left="0" w:right="0" w:firstLine="0"/>
        <w:jc w:val="center"/>
      </w:pPr>
      <w:bookmarkStart w:id="10" w:name="bookmark10"/>
      <w:bookmarkStart w:id="11" w:name="bookmark11"/>
      <w:r>
        <w:rPr>
          <w:spacing w:val="0"/>
          <w:w w:val="100"/>
          <w:position w:val="0"/>
          <w:shd w:val="clear" w:color="auto" w:fill="auto"/>
          <w:lang w:val="cs-CZ" w:eastAsia="cs-CZ" w:bidi="cs-CZ"/>
        </w:rPr>
        <w:t>Smluvní pokuty</w:t>
      </w:r>
      <w:bookmarkEnd w:id="10"/>
      <w:bookmarkEnd w:id="11"/>
    </w:p>
    <w:p>
      <w:pPr>
        <w:pStyle w:val="Style2"/>
        <w:keepNext w:val="0"/>
        <w:keepLines w:val="0"/>
        <w:widowControl w:val="0"/>
        <w:numPr>
          <w:ilvl w:val="0"/>
          <w:numId w:val="11"/>
        </w:numPr>
        <w:shd w:val="clear" w:color="auto" w:fill="auto"/>
        <w:tabs>
          <w:tab w:pos="807" w:val="left"/>
        </w:tabs>
        <w:bidi w:val="0"/>
        <w:spacing w:before="0" w:line="240" w:lineRule="auto"/>
        <w:ind w:left="860" w:right="0" w:hanging="860"/>
        <w:jc w:val="both"/>
      </w:pPr>
      <w:r>
        <w:rPr>
          <w:spacing w:val="0"/>
          <w:w w:val="100"/>
          <w:position w:val="0"/>
          <w:shd w:val="clear" w:color="auto" w:fill="auto"/>
          <w:lang w:val="cs-CZ" w:eastAsia="cs-CZ" w:bidi="cs-CZ"/>
        </w:rPr>
        <w:t xml:space="preserve">V případě, že prodávající bude v prodlení s odevzdáním zboží v termínu stanoveném v </w:t>
      </w:r>
      <w:r>
        <w:rPr>
          <w:b/>
          <w:bCs/>
          <w:spacing w:val="0"/>
          <w:w w:val="100"/>
          <w:position w:val="0"/>
          <w:shd w:val="clear" w:color="auto" w:fill="auto"/>
          <w:lang w:val="cs-CZ" w:eastAsia="cs-CZ" w:bidi="cs-CZ"/>
        </w:rPr>
        <w:t xml:space="preserve">čl. 5 </w:t>
      </w:r>
      <w:r>
        <w:rPr>
          <w:spacing w:val="0"/>
          <w:w w:val="100"/>
          <w:position w:val="0"/>
          <w:shd w:val="clear" w:color="auto" w:fill="auto"/>
          <w:lang w:val="cs-CZ" w:eastAsia="cs-CZ" w:bidi="cs-CZ"/>
        </w:rPr>
        <w:t xml:space="preserve">této smlouvy je povinen zaplatit kupujícímu smluvní pokutu ve výši </w:t>
      </w:r>
      <w:r>
        <w:rPr>
          <w:b/>
          <w:bCs/>
          <w:spacing w:val="0"/>
          <w:w w:val="100"/>
          <w:position w:val="0"/>
          <w:shd w:val="clear" w:color="auto" w:fill="auto"/>
          <w:lang w:val="cs-CZ" w:eastAsia="cs-CZ" w:bidi="cs-CZ"/>
        </w:rPr>
        <w:t xml:space="preserve">0,2 % z ceny celkem bez DPH </w:t>
      </w:r>
      <w:r>
        <w:rPr>
          <w:spacing w:val="0"/>
          <w:w w:val="100"/>
          <w:position w:val="0"/>
          <w:shd w:val="clear" w:color="auto" w:fill="auto"/>
          <w:lang w:val="cs-CZ" w:eastAsia="cs-CZ" w:bidi="cs-CZ"/>
        </w:rPr>
        <w:t>za každý i započatý den prodlení, nejvýše však do celkové ceny takto nesplněné dodávky.</w:t>
      </w:r>
    </w:p>
    <w:p>
      <w:pPr>
        <w:pStyle w:val="Style2"/>
        <w:keepNext w:val="0"/>
        <w:keepLines w:val="0"/>
        <w:widowControl w:val="0"/>
        <w:numPr>
          <w:ilvl w:val="0"/>
          <w:numId w:val="11"/>
        </w:numPr>
        <w:shd w:val="clear" w:color="auto" w:fill="auto"/>
        <w:tabs>
          <w:tab w:pos="807" w:val="left"/>
        </w:tabs>
        <w:bidi w:val="0"/>
        <w:spacing w:before="0" w:line="240" w:lineRule="auto"/>
        <w:ind w:left="860" w:right="0" w:hanging="860"/>
        <w:jc w:val="both"/>
      </w:pPr>
      <w:r>
        <w:rPr>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spacing w:val="0"/>
          <w:w w:val="100"/>
          <w:position w:val="0"/>
          <w:shd w:val="clear" w:color="auto" w:fill="auto"/>
          <w:lang w:val="cs-CZ" w:eastAsia="cs-CZ" w:bidi="cs-CZ"/>
        </w:rPr>
        <w:t xml:space="preserve">0,2 % z ceny celkem bez DPH </w:t>
      </w:r>
      <w:r>
        <w:rPr>
          <w:spacing w:val="0"/>
          <w:w w:val="100"/>
          <w:position w:val="0"/>
          <w:shd w:val="clear" w:color="auto" w:fill="auto"/>
          <w:lang w:val="cs-CZ" w:eastAsia="cs-CZ" w:bidi="cs-CZ"/>
        </w:rPr>
        <w:t>za každý i započatý den prodlení se zaplacením faktury.</w:t>
      </w:r>
    </w:p>
    <w:p>
      <w:pPr>
        <w:pStyle w:val="Style2"/>
        <w:keepNext w:val="0"/>
        <w:keepLines w:val="0"/>
        <w:widowControl w:val="0"/>
        <w:numPr>
          <w:ilvl w:val="0"/>
          <w:numId w:val="11"/>
        </w:numPr>
        <w:shd w:val="clear" w:color="auto" w:fill="auto"/>
        <w:tabs>
          <w:tab w:pos="807" w:val="left"/>
        </w:tabs>
        <w:bidi w:val="0"/>
        <w:spacing w:before="0" w:line="240" w:lineRule="auto"/>
        <w:ind w:left="860" w:right="0" w:hanging="860"/>
        <w:jc w:val="both"/>
      </w:pPr>
      <w:r>
        <w:rPr>
          <w:spacing w:val="0"/>
          <w:w w:val="100"/>
          <w:position w:val="0"/>
          <w:shd w:val="clear" w:color="auto" w:fill="auto"/>
          <w:lang w:val="cs-CZ" w:eastAsia="cs-CZ" w:bidi="cs-CZ"/>
        </w:rPr>
        <w:t>Pro případ porušení uvedených smluvních povinností jsou mezi smluvními stranami sjednány dle § 2048 a násl. OZ tyto výše uvedené smluvní pokuty, jejichž sjednáním není dle § 2050 OZ dotčen nárok kupujícího na náhradu škody způsobené porušením povinnosti, zajištěné smluvní pokutou.</w:t>
      </w:r>
    </w:p>
    <w:p>
      <w:pPr>
        <w:pStyle w:val="Style2"/>
        <w:keepNext w:val="0"/>
        <w:keepLines w:val="0"/>
        <w:widowControl w:val="0"/>
        <w:numPr>
          <w:ilvl w:val="0"/>
          <w:numId w:val="11"/>
        </w:numPr>
        <w:shd w:val="clear" w:color="auto" w:fill="auto"/>
        <w:tabs>
          <w:tab w:pos="807" w:val="left"/>
        </w:tabs>
        <w:bidi w:val="0"/>
        <w:spacing w:before="0" w:line="240" w:lineRule="auto"/>
        <w:ind w:left="860" w:right="0" w:hanging="860"/>
        <w:jc w:val="both"/>
      </w:pPr>
      <w:r>
        <w:rPr>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2"/>
        <w:keepNext w:val="0"/>
        <w:keepLines w:val="0"/>
        <w:widowControl w:val="0"/>
        <w:numPr>
          <w:ilvl w:val="0"/>
          <w:numId w:val="11"/>
        </w:numPr>
        <w:shd w:val="clear" w:color="auto" w:fill="auto"/>
        <w:tabs>
          <w:tab w:pos="807" w:val="left"/>
        </w:tabs>
        <w:bidi w:val="0"/>
        <w:spacing w:before="0" w:after="340" w:line="240" w:lineRule="auto"/>
        <w:ind w:left="860" w:right="0" w:hanging="860"/>
        <w:jc w:val="both"/>
      </w:pPr>
      <w:r>
        <w:rPr>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9</w:t>
      </w:r>
    </w:p>
    <w:p>
      <w:pPr>
        <w:pStyle w:val="Style16"/>
        <w:keepNext/>
        <w:keepLines/>
        <w:widowControl w:val="0"/>
        <w:shd w:val="clear" w:color="auto" w:fill="auto"/>
        <w:bidi w:val="0"/>
        <w:spacing w:before="0" w:after="100" w:line="240" w:lineRule="auto"/>
        <w:ind w:left="0" w:right="0" w:firstLine="0"/>
        <w:jc w:val="center"/>
      </w:pPr>
      <w:bookmarkStart w:id="12" w:name="bookmark12"/>
      <w:bookmarkStart w:id="13" w:name="bookmark13"/>
      <w:r>
        <w:rPr>
          <w:spacing w:val="0"/>
          <w:w w:val="100"/>
          <w:position w:val="0"/>
          <w:shd w:val="clear" w:color="auto" w:fill="auto"/>
          <w:lang w:val="cs-CZ" w:eastAsia="cs-CZ" w:bidi="cs-CZ"/>
        </w:rPr>
        <w:t>Podstatné porušení smlouvy</w:t>
      </w:r>
      <w:bookmarkEnd w:id="12"/>
      <w:bookmarkEnd w:id="13"/>
    </w:p>
    <w:p>
      <w:pPr>
        <w:pStyle w:val="Style2"/>
        <w:keepNext w:val="0"/>
        <w:keepLines w:val="0"/>
        <w:widowControl w:val="0"/>
        <w:numPr>
          <w:ilvl w:val="0"/>
          <w:numId w:val="13"/>
        </w:numPr>
        <w:shd w:val="clear" w:color="auto" w:fill="auto"/>
        <w:tabs>
          <w:tab w:pos="807" w:val="left"/>
        </w:tabs>
        <w:bidi w:val="0"/>
        <w:spacing w:before="0" w:after="460" w:line="240" w:lineRule="auto"/>
        <w:ind w:left="720" w:right="0" w:hanging="720"/>
        <w:jc w:val="both"/>
      </w:pPr>
      <w:r>
        <w:rPr>
          <w:spacing w:val="0"/>
          <w:w w:val="100"/>
          <w:position w:val="0"/>
          <w:shd w:val="clear" w:color="auto" w:fill="auto"/>
          <w:lang w:val="cs-CZ" w:eastAsia="cs-CZ" w:bidi="cs-CZ"/>
        </w:rPr>
        <w:t xml:space="preserve">Nesplnění dodací lhůty, dle </w:t>
      </w:r>
      <w:r>
        <w:rPr>
          <w:b/>
          <w:bCs/>
          <w:spacing w:val="0"/>
          <w:w w:val="100"/>
          <w:position w:val="0"/>
          <w:shd w:val="clear" w:color="auto" w:fill="auto"/>
          <w:lang w:val="cs-CZ" w:eastAsia="cs-CZ" w:bidi="cs-CZ"/>
        </w:rPr>
        <w:t>článku 5</w:t>
      </w:r>
      <w:r>
        <w:rPr>
          <w:spacing w:val="0"/>
          <w:w w:val="100"/>
          <w:position w:val="0"/>
          <w:shd w:val="clear" w:color="auto" w:fill="auto"/>
          <w:lang w:val="cs-CZ" w:eastAsia="cs-CZ" w:bidi="cs-CZ"/>
        </w:rPr>
        <w:t>, se považuje za podstatné porušení této smlouvy s důsledky podle ustanovení § 2001 OZ, tj. kupující může od smlouvy okamžitě odstoupit.</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10</w:t>
      </w:r>
    </w:p>
    <w:p>
      <w:pPr>
        <w:pStyle w:val="Style16"/>
        <w:keepNext/>
        <w:keepLines/>
        <w:widowControl w:val="0"/>
        <w:shd w:val="clear" w:color="auto" w:fill="auto"/>
        <w:bidi w:val="0"/>
        <w:spacing w:before="0" w:after="100" w:line="240" w:lineRule="auto"/>
        <w:ind w:left="0" w:right="0" w:firstLine="0"/>
        <w:jc w:val="center"/>
      </w:pPr>
      <w:bookmarkStart w:id="14" w:name="bookmark14"/>
      <w:bookmarkStart w:id="15" w:name="bookmark15"/>
      <w:r>
        <w:rPr>
          <w:spacing w:val="0"/>
          <w:w w:val="100"/>
          <w:position w:val="0"/>
          <w:shd w:val="clear" w:color="auto" w:fill="auto"/>
          <w:lang w:val="cs-CZ" w:eastAsia="cs-CZ" w:bidi="cs-CZ"/>
        </w:rPr>
        <w:t>Další ujednání</w:t>
      </w:r>
      <w:bookmarkEnd w:id="14"/>
      <w:bookmarkEnd w:id="15"/>
    </w:p>
    <w:p>
      <w:pPr>
        <w:pStyle w:val="Style2"/>
        <w:keepNext w:val="0"/>
        <w:keepLines w:val="0"/>
        <w:widowControl w:val="0"/>
        <w:numPr>
          <w:ilvl w:val="0"/>
          <w:numId w:val="15"/>
        </w:numPr>
        <w:shd w:val="clear" w:color="auto" w:fill="auto"/>
        <w:tabs>
          <w:tab w:pos="807" w:val="left"/>
        </w:tabs>
        <w:bidi w:val="0"/>
        <w:spacing w:before="0" w:line="240" w:lineRule="auto"/>
        <w:ind w:left="720" w:right="0" w:hanging="720"/>
        <w:jc w:val="both"/>
      </w:pPr>
      <w:r>
        <w:rPr>
          <w:spacing w:val="0"/>
          <w:w w:val="100"/>
          <w:position w:val="0"/>
          <w:shd w:val="clear" w:color="auto" w:fill="auto"/>
          <w:lang w:val="cs-CZ" w:eastAsia="cs-CZ" w:bidi="cs-CZ"/>
        </w:rPr>
        <w:t>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 1765 OZ.</w:t>
      </w:r>
    </w:p>
    <w:p>
      <w:pPr>
        <w:pStyle w:val="Style2"/>
        <w:keepNext w:val="0"/>
        <w:keepLines w:val="0"/>
        <w:widowControl w:val="0"/>
        <w:numPr>
          <w:ilvl w:val="0"/>
          <w:numId w:val="15"/>
        </w:numPr>
        <w:shd w:val="clear" w:color="auto" w:fill="auto"/>
        <w:tabs>
          <w:tab w:pos="807" w:val="left"/>
        </w:tabs>
        <w:bidi w:val="0"/>
        <w:spacing w:before="0" w:line="240" w:lineRule="auto"/>
        <w:ind w:left="720" w:right="0" w:hanging="720"/>
        <w:jc w:val="both"/>
      </w:pPr>
      <w:r>
        <w:rPr>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2"/>
        <w:keepNext w:val="0"/>
        <w:keepLines w:val="0"/>
        <w:widowControl w:val="0"/>
        <w:numPr>
          <w:ilvl w:val="0"/>
          <w:numId w:val="15"/>
        </w:numPr>
        <w:shd w:val="clear" w:color="auto" w:fill="auto"/>
        <w:tabs>
          <w:tab w:pos="807" w:val="left"/>
        </w:tabs>
        <w:bidi w:val="0"/>
        <w:spacing w:before="0" w:line="240" w:lineRule="auto"/>
        <w:ind w:left="720" w:right="0" w:hanging="720"/>
        <w:jc w:val="both"/>
      </w:pPr>
      <w:r>
        <w:rPr>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15"/>
        </w:numPr>
        <w:shd w:val="clear" w:color="auto" w:fill="auto"/>
        <w:tabs>
          <w:tab w:pos="691" w:val="left"/>
        </w:tabs>
        <w:bidi w:val="0"/>
        <w:spacing w:before="0" w:line="240" w:lineRule="auto"/>
        <w:ind w:left="720" w:right="0" w:hanging="720"/>
        <w:jc w:val="both"/>
      </w:pPr>
      <w:r>
        <w:rPr>
          <w:spacing w:val="0"/>
          <w:w w:val="100"/>
          <w:position w:val="0"/>
          <w:shd w:val="clear" w:color="auto" w:fill="auto"/>
          <w:lang w:val="cs-CZ" w:eastAsia="cs-CZ" w:bidi="cs-CZ"/>
        </w:rP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pPr>
        <w:pStyle w:val="Style2"/>
        <w:keepNext w:val="0"/>
        <w:keepLines w:val="0"/>
        <w:widowControl w:val="0"/>
        <w:numPr>
          <w:ilvl w:val="0"/>
          <w:numId w:val="15"/>
        </w:numPr>
        <w:shd w:val="clear" w:color="auto" w:fill="auto"/>
        <w:tabs>
          <w:tab w:pos="691" w:val="left"/>
        </w:tabs>
        <w:bidi w:val="0"/>
        <w:spacing w:before="0" w:line="240" w:lineRule="auto"/>
        <w:ind w:left="720" w:right="0" w:hanging="720"/>
        <w:jc w:val="both"/>
      </w:pPr>
      <w:r>
        <w:rPr>
          <w:spacing w:val="0"/>
          <w:w w:val="100"/>
          <w:position w:val="0"/>
          <w:shd w:val="clear" w:color="auto" w:fill="auto"/>
          <w:lang w:val="cs-CZ" w:eastAsia="cs-CZ" w:bidi="cs-CZ"/>
        </w:rPr>
        <w:t>Kterákoliv ze smluvních stran je oprávněna od smlouvy odstoupit v případě jejího podstatného porušení druhou smluvní stranou, za podmínek stanovených v § 2002 OZ.</w:t>
      </w:r>
    </w:p>
    <w:p>
      <w:pPr>
        <w:pStyle w:val="Style2"/>
        <w:keepNext w:val="0"/>
        <w:keepLines w:val="0"/>
        <w:widowControl w:val="0"/>
        <w:numPr>
          <w:ilvl w:val="0"/>
          <w:numId w:val="15"/>
        </w:numPr>
        <w:shd w:val="clear" w:color="auto" w:fill="auto"/>
        <w:tabs>
          <w:tab w:pos="691" w:val="left"/>
        </w:tabs>
        <w:bidi w:val="0"/>
        <w:spacing w:before="0" w:line="240" w:lineRule="auto"/>
        <w:ind w:left="720" w:right="0" w:hanging="720"/>
        <w:jc w:val="both"/>
      </w:pPr>
      <w:r>
        <w:rPr>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15"/>
        </w:numPr>
        <w:shd w:val="clear" w:color="auto" w:fill="auto"/>
        <w:tabs>
          <w:tab w:pos="691" w:val="left"/>
        </w:tabs>
        <w:bidi w:val="0"/>
        <w:spacing w:before="0" w:line="240" w:lineRule="auto"/>
        <w:ind w:left="0" w:right="0" w:firstLine="0"/>
        <w:jc w:val="both"/>
      </w:pPr>
      <w:r>
        <w:rPr>
          <w:spacing w:val="0"/>
          <w:w w:val="100"/>
          <w:position w:val="0"/>
          <w:shd w:val="clear" w:color="auto" w:fill="auto"/>
          <w:lang w:val="cs-CZ" w:eastAsia="cs-CZ" w:bidi="cs-CZ"/>
        </w:rPr>
        <w:t>Kupující má dále právo bez předchozího písemného upozornění od smlouvy odstoupit:</w:t>
      </w:r>
    </w:p>
    <w:p>
      <w:pPr>
        <w:pStyle w:val="Style2"/>
        <w:keepNext w:val="0"/>
        <w:keepLines w:val="0"/>
        <w:widowControl w:val="0"/>
        <w:numPr>
          <w:ilvl w:val="0"/>
          <w:numId w:val="17"/>
        </w:numPr>
        <w:shd w:val="clear" w:color="auto" w:fill="auto"/>
        <w:tabs>
          <w:tab w:pos="1178" w:val="left"/>
        </w:tabs>
        <w:bidi w:val="0"/>
        <w:spacing w:before="0" w:line="240" w:lineRule="auto"/>
        <w:ind w:left="0" w:right="0" w:firstLine="860"/>
        <w:jc w:val="both"/>
      </w:pPr>
      <w:r>
        <w:rPr>
          <w:spacing w:val="0"/>
          <w:w w:val="100"/>
          <w:position w:val="0"/>
          <w:shd w:val="clear" w:color="auto" w:fill="auto"/>
          <w:lang w:val="cs-CZ" w:eastAsia="cs-CZ" w:bidi="cs-CZ"/>
        </w:rPr>
        <w:t xml:space="preserve">v případě podstatného porušení smlouvy dle </w:t>
      </w:r>
      <w:r>
        <w:rPr>
          <w:b/>
          <w:bCs/>
          <w:spacing w:val="0"/>
          <w:w w:val="100"/>
          <w:position w:val="0"/>
          <w:shd w:val="clear" w:color="auto" w:fill="auto"/>
          <w:lang w:val="cs-CZ" w:eastAsia="cs-CZ" w:bidi="cs-CZ"/>
        </w:rPr>
        <w:t xml:space="preserve">článku 9 </w:t>
      </w:r>
      <w:r>
        <w:rPr>
          <w:spacing w:val="0"/>
          <w:w w:val="100"/>
          <w:position w:val="0"/>
          <w:shd w:val="clear" w:color="auto" w:fill="auto"/>
          <w:lang w:val="cs-CZ" w:eastAsia="cs-CZ" w:bidi="cs-CZ"/>
        </w:rPr>
        <w:t>této smlouvy; a nebo</w:t>
      </w:r>
    </w:p>
    <w:p>
      <w:pPr>
        <w:pStyle w:val="Style2"/>
        <w:keepNext w:val="0"/>
        <w:keepLines w:val="0"/>
        <w:widowControl w:val="0"/>
        <w:numPr>
          <w:ilvl w:val="0"/>
          <w:numId w:val="17"/>
        </w:numPr>
        <w:shd w:val="clear" w:color="auto" w:fill="auto"/>
        <w:tabs>
          <w:tab w:pos="1192" w:val="left"/>
        </w:tabs>
        <w:bidi w:val="0"/>
        <w:spacing w:before="0" w:line="240" w:lineRule="auto"/>
        <w:ind w:left="0" w:right="0" w:firstLine="860"/>
        <w:jc w:val="both"/>
      </w:pPr>
      <w:r>
        <w:rPr>
          <w:spacing w:val="0"/>
          <w:w w:val="100"/>
          <w:position w:val="0"/>
          <w:shd w:val="clear" w:color="auto" w:fill="auto"/>
          <w:lang w:val="cs-CZ" w:eastAsia="cs-CZ" w:bidi="cs-CZ"/>
        </w:rPr>
        <w:t>při zjištění, že technické parametry zboží neodpovídají požadavkům kupujícího; a nebo</w:t>
      </w:r>
    </w:p>
    <w:p>
      <w:pPr>
        <w:pStyle w:val="Style2"/>
        <w:keepNext w:val="0"/>
        <w:keepLines w:val="0"/>
        <w:widowControl w:val="0"/>
        <w:numPr>
          <w:ilvl w:val="0"/>
          <w:numId w:val="17"/>
        </w:numPr>
        <w:shd w:val="clear" w:color="auto" w:fill="auto"/>
        <w:tabs>
          <w:tab w:pos="1178" w:val="left"/>
        </w:tabs>
        <w:bidi w:val="0"/>
        <w:spacing w:before="0" w:line="240" w:lineRule="auto"/>
        <w:ind w:left="1140" w:right="0" w:hanging="280"/>
        <w:jc w:val="both"/>
      </w:pPr>
      <w:r>
        <w:rPr>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2"/>
        <w:keepNext w:val="0"/>
        <w:keepLines w:val="0"/>
        <w:widowControl w:val="0"/>
        <w:numPr>
          <w:ilvl w:val="0"/>
          <w:numId w:val="17"/>
        </w:numPr>
        <w:shd w:val="clear" w:color="auto" w:fill="auto"/>
        <w:tabs>
          <w:tab w:pos="1192" w:val="left"/>
        </w:tabs>
        <w:bidi w:val="0"/>
        <w:spacing w:before="0" w:line="240" w:lineRule="auto"/>
        <w:ind w:left="0" w:right="0" w:firstLine="860"/>
        <w:jc w:val="both"/>
      </w:pPr>
      <w:r>
        <w:rPr>
          <w:spacing w:val="0"/>
          <w:w w:val="100"/>
          <w:position w:val="0"/>
          <w:shd w:val="clear" w:color="auto" w:fill="auto"/>
          <w:lang w:val="cs-CZ" w:eastAsia="cs-CZ" w:bidi="cs-CZ"/>
        </w:rPr>
        <w:t>v souvislosti s plněním účelu této smlouvy dojde ke spáchání trestného činu; a nebo</w:t>
      </w:r>
    </w:p>
    <w:p>
      <w:pPr>
        <w:pStyle w:val="Style2"/>
        <w:keepNext w:val="0"/>
        <w:keepLines w:val="0"/>
        <w:widowControl w:val="0"/>
        <w:numPr>
          <w:ilvl w:val="0"/>
          <w:numId w:val="17"/>
        </w:numPr>
        <w:shd w:val="clear" w:color="auto" w:fill="auto"/>
        <w:tabs>
          <w:tab w:pos="1226" w:val="left"/>
        </w:tabs>
        <w:bidi w:val="0"/>
        <w:spacing w:before="0" w:line="240" w:lineRule="auto"/>
        <w:ind w:left="0" w:right="0" w:firstLine="720"/>
        <w:jc w:val="both"/>
      </w:pPr>
      <w:r>
        <w:rPr>
          <w:spacing w:val="0"/>
          <w:w w:val="100"/>
          <w:position w:val="0"/>
          <w:shd w:val="clear" w:color="auto" w:fill="auto"/>
          <w:lang w:val="cs-CZ" w:eastAsia="cs-CZ" w:bidi="cs-CZ"/>
        </w:rPr>
        <w:t>v případech stanovených v § 223 ZZVZ; a</w:t>
      </w:r>
    </w:p>
    <w:p>
      <w:pPr>
        <w:pStyle w:val="Style2"/>
        <w:keepNext w:val="0"/>
        <w:keepLines w:val="0"/>
        <w:widowControl w:val="0"/>
        <w:numPr>
          <w:ilvl w:val="0"/>
          <w:numId w:val="17"/>
        </w:numPr>
        <w:shd w:val="clear" w:color="auto" w:fill="auto"/>
        <w:tabs>
          <w:tab w:pos="1226" w:val="left"/>
        </w:tabs>
        <w:bidi w:val="0"/>
        <w:spacing w:before="0" w:line="240" w:lineRule="auto"/>
        <w:ind w:left="1140" w:right="0" w:hanging="420"/>
        <w:jc w:val="both"/>
      </w:pPr>
      <w:r>
        <w:rPr>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pPr>
        <w:pStyle w:val="Style2"/>
        <w:keepNext w:val="0"/>
        <w:keepLines w:val="0"/>
        <w:widowControl w:val="0"/>
        <w:numPr>
          <w:ilvl w:val="0"/>
          <w:numId w:val="17"/>
        </w:numPr>
        <w:shd w:val="clear" w:color="auto" w:fill="auto"/>
        <w:tabs>
          <w:tab w:pos="1226" w:val="left"/>
        </w:tabs>
        <w:bidi w:val="0"/>
        <w:spacing w:before="0" w:after="340" w:line="240" w:lineRule="auto"/>
        <w:ind w:left="1140" w:right="0" w:hanging="420"/>
        <w:jc w:val="both"/>
      </w:pPr>
      <w:r>
        <w:rPr>
          <w:spacing w:val="0"/>
          <w:w w:val="100"/>
          <w:position w:val="0"/>
          <w:shd w:val="clear" w:color="auto" w:fill="auto"/>
          <w:lang w:val="cs-CZ" w:eastAsia="cs-CZ" w:bidi="cs-CZ"/>
        </w:rPr>
        <w:t xml:space="preserve">dojde-li ze strany prodávajícího k porušení ustanovení dle odst. </w:t>
      </w:r>
      <w:r>
        <w:rPr>
          <w:b/>
          <w:bCs/>
          <w:spacing w:val="0"/>
          <w:w w:val="100"/>
          <w:position w:val="0"/>
          <w:shd w:val="clear" w:color="auto" w:fill="auto"/>
          <w:lang w:val="cs-CZ" w:eastAsia="cs-CZ" w:bidi="cs-CZ"/>
        </w:rPr>
        <w:t xml:space="preserve">12.1. </w:t>
      </w:r>
      <w:r>
        <w:rPr>
          <w:spacing w:val="0"/>
          <w:w w:val="100"/>
          <w:position w:val="0"/>
          <w:shd w:val="clear" w:color="auto" w:fill="auto"/>
          <w:lang w:val="cs-CZ" w:eastAsia="cs-CZ" w:bidi="cs-CZ"/>
        </w:rPr>
        <w:t xml:space="preserve">a </w:t>
      </w:r>
      <w:r>
        <w:rPr>
          <w:b/>
          <w:bCs/>
          <w:spacing w:val="0"/>
          <w:w w:val="100"/>
          <w:position w:val="0"/>
          <w:shd w:val="clear" w:color="auto" w:fill="auto"/>
          <w:lang w:val="cs-CZ" w:eastAsia="cs-CZ" w:bidi="cs-CZ"/>
        </w:rPr>
        <w:t xml:space="preserve">12.2. </w:t>
      </w:r>
      <w:r>
        <w:rPr>
          <w:spacing w:val="0"/>
          <w:w w:val="100"/>
          <w:position w:val="0"/>
          <w:shd w:val="clear" w:color="auto" w:fill="auto"/>
          <w:lang w:val="cs-CZ" w:eastAsia="cs-CZ" w:bidi="cs-CZ"/>
        </w:rPr>
        <w:t>v souvislosti s Nařízením Rady (EU) č. 833/2014 o omezujících opatřeních vzhledem k činnostem Ruska destabilizujícím situaci na Ukrajině, ve znění novely Nařízením Rady (EU) č. 2022/576.</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11</w:t>
      </w:r>
    </w:p>
    <w:p>
      <w:pPr>
        <w:pStyle w:val="Style16"/>
        <w:keepNext/>
        <w:keepLines/>
        <w:widowControl w:val="0"/>
        <w:shd w:val="clear" w:color="auto" w:fill="auto"/>
        <w:bidi w:val="0"/>
        <w:spacing w:before="0" w:after="200" w:line="240" w:lineRule="auto"/>
        <w:ind w:left="0" w:right="0" w:firstLine="0"/>
        <w:jc w:val="center"/>
      </w:pPr>
      <w:bookmarkStart w:id="16" w:name="bookmark16"/>
      <w:bookmarkStart w:id="17" w:name="bookmark17"/>
      <w:r>
        <w:rPr>
          <w:spacing w:val="0"/>
          <w:w w:val="100"/>
          <w:position w:val="0"/>
          <w:shd w:val="clear" w:color="auto" w:fill="auto"/>
          <w:lang w:val="cs-CZ" w:eastAsia="cs-CZ" w:bidi="cs-CZ"/>
        </w:rPr>
        <w:t>Platnost a účinnost smlouvy</w:t>
      </w:r>
      <w:bookmarkEnd w:id="16"/>
      <w:bookmarkEnd w:id="17"/>
    </w:p>
    <w:p>
      <w:pPr>
        <w:pStyle w:val="Style2"/>
        <w:keepNext w:val="0"/>
        <w:keepLines w:val="0"/>
        <w:widowControl w:val="0"/>
        <w:numPr>
          <w:ilvl w:val="0"/>
          <w:numId w:val="19"/>
        </w:numPr>
        <w:shd w:val="clear" w:color="auto" w:fill="auto"/>
        <w:tabs>
          <w:tab w:pos="784" w:val="left"/>
        </w:tabs>
        <w:bidi w:val="0"/>
        <w:spacing w:before="0" w:line="240" w:lineRule="auto"/>
        <w:ind w:left="720" w:right="0" w:hanging="720"/>
        <w:jc w:val="both"/>
      </w:pPr>
      <w:r>
        <w:rPr>
          <w:spacing w:val="0"/>
          <w:w w:val="100"/>
          <w:position w:val="0"/>
          <w:shd w:val="clear" w:color="auto" w:fill="auto"/>
          <w:lang w:val="cs-CZ" w:eastAsia="cs-CZ" w:bidi="cs-CZ"/>
        </w:rPr>
        <w:t>Tato smlouva je vyhotovena v elektronické podobě, přičemž obě smluvní strany obdrží její elektronický originál.</w:t>
      </w:r>
    </w:p>
    <w:p>
      <w:pPr>
        <w:pStyle w:val="Style2"/>
        <w:keepNext w:val="0"/>
        <w:keepLines w:val="0"/>
        <w:widowControl w:val="0"/>
        <w:numPr>
          <w:ilvl w:val="0"/>
          <w:numId w:val="19"/>
        </w:numPr>
        <w:shd w:val="clear" w:color="auto" w:fill="auto"/>
        <w:tabs>
          <w:tab w:pos="784" w:val="left"/>
        </w:tabs>
        <w:bidi w:val="0"/>
        <w:spacing w:before="0" w:line="240" w:lineRule="auto"/>
        <w:ind w:left="720" w:right="0" w:hanging="720"/>
        <w:jc w:val="both"/>
      </w:pPr>
      <w:r>
        <w:rPr>
          <w:spacing w:val="0"/>
          <w:w w:val="100"/>
          <w:position w:val="0"/>
          <w:shd w:val="clear" w:color="auto" w:fill="auto"/>
          <w:lang w:val="cs-CZ" w:eastAsia="cs-CZ" w:bidi="cs-CZ"/>
        </w:rPr>
        <w:t xml:space="preserve">Smlouva je </w:t>
      </w:r>
      <w:r>
        <w:rPr>
          <w:b/>
          <w:bCs/>
          <w:spacing w:val="0"/>
          <w:w w:val="100"/>
          <w:position w:val="0"/>
          <w:u w:val="single"/>
          <w:shd w:val="clear" w:color="auto" w:fill="auto"/>
          <w:lang w:val="cs-CZ" w:eastAsia="cs-CZ" w:bidi="cs-CZ"/>
        </w:rPr>
        <w:t>platná</w:t>
      </w: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9"/>
        </w:numPr>
        <w:shd w:val="clear" w:color="auto" w:fill="auto"/>
        <w:tabs>
          <w:tab w:pos="784" w:val="left"/>
        </w:tabs>
        <w:bidi w:val="0"/>
        <w:spacing w:before="0" w:after="340" w:line="240" w:lineRule="auto"/>
        <w:ind w:left="0" w:right="0" w:firstLine="0"/>
        <w:jc w:val="both"/>
      </w:pPr>
      <w:r>
        <w:rPr>
          <w:spacing w:val="0"/>
          <w:w w:val="100"/>
          <w:position w:val="0"/>
          <w:shd w:val="clear" w:color="auto" w:fill="auto"/>
          <w:lang w:val="cs-CZ" w:eastAsia="cs-CZ" w:bidi="cs-CZ"/>
        </w:rPr>
        <w:t xml:space="preserve">Smlouva je </w:t>
      </w:r>
      <w:r>
        <w:rPr>
          <w:b/>
          <w:bCs/>
          <w:spacing w:val="0"/>
          <w:w w:val="100"/>
          <w:position w:val="0"/>
          <w:u w:val="single"/>
          <w:shd w:val="clear" w:color="auto" w:fill="auto"/>
          <w:lang w:val="cs-CZ" w:eastAsia="cs-CZ" w:bidi="cs-CZ"/>
        </w:rPr>
        <w:t>účinná</w:t>
      </w:r>
      <w:r>
        <w:rPr>
          <w:b/>
          <w:bCs/>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dnem jejího uveřejnění v Registru smluv.</w:t>
      </w:r>
    </w:p>
    <w:p>
      <w:pPr>
        <w:pStyle w:val="Style16"/>
        <w:keepNext/>
        <w:keepLines/>
        <w:widowControl w:val="0"/>
        <w:shd w:val="clear" w:color="auto" w:fill="auto"/>
        <w:bidi w:val="0"/>
        <w:spacing w:before="0" w:after="200" w:line="240" w:lineRule="auto"/>
        <w:ind w:left="0" w:right="0" w:firstLine="0"/>
        <w:jc w:val="center"/>
      </w:pPr>
      <w:bookmarkStart w:id="18" w:name="bookmark18"/>
      <w:bookmarkStart w:id="19" w:name="bookmark19"/>
      <w:r>
        <w:rPr>
          <w:spacing w:val="0"/>
          <w:w w:val="100"/>
          <w:position w:val="0"/>
          <w:shd w:val="clear" w:color="auto" w:fill="auto"/>
          <w:lang w:val="cs-CZ" w:eastAsia="cs-CZ" w:bidi="cs-CZ"/>
        </w:rPr>
        <w:t>Článek 12</w:t>
        <w:br/>
        <w:t>Zvláštní ustanovení</w:t>
      </w:r>
      <w:bookmarkEnd w:id="18"/>
      <w:bookmarkEnd w:id="19"/>
    </w:p>
    <w:p>
      <w:pPr>
        <w:pStyle w:val="Style2"/>
        <w:keepNext w:val="0"/>
        <w:keepLines w:val="0"/>
        <w:widowControl w:val="0"/>
        <w:numPr>
          <w:ilvl w:val="0"/>
          <w:numId w:val="21"/>
        </w:numPr>
        <w:shd w:val="clear" w:color="auto" w:fill="auto"/>
        <w:tabs>
          <w:tab w:pos="784" w:val="left"/>
        </w:tabs>
        <w:bidi w:val="0"/>
        <w:spacing w:before="0" w:line="240" w:lineRule="auto"/>
        <w:ind w:left="860" w:right="0" w:hanging="860"/>
        <w:jc w:val="both"/>
      </w:pPr>
      <w:r>
        <w:rPr>
          <w:spacing w:val="0"/>
          <w:w w:val="100"/>
          <w:position w:val="0"/>
          <w:shd w:val="clear" w:color="auto" w:fill="auto"/>
          <w:lang w:val="cs-CZ" w:eastAsia="cs-CZ" w:bidi="cs-CZ"/>
        </w:rP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21"/>
        </w:numPr>
        <w:shd w:val="clear" w:color="auto" w:fill="auto"/>
        <w:tabs>
          <w:tab w:pos="784" w:val="left"/>
        </w:tabs>
        <w:bidi w:val="0"/>
        <w:spacing w:before="0" w:after="200" w:line="240" w:lineRule="auto"/>
        <w:ind w:left="860" w:right="0" w:hanging="860"/>
        <w:jc w:val="both"/>
      </w:pPr>
      <w:r>
        <w:rPr>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23"/>
        </w:numPr>
        <w:shd w:val="clear" w:color="auto" w:fill="auto"/>
        <w:tabs>
          <w:tab w:pos="1226" w:val="left"/>
        </w:tabs>
        <w:bidi w:val="0"/>
        <w:spacing w:before="0" w:after="200" w:line="240" w:lineRule="auto"/>
        <w:ind w:left="0" w:right="0" w:firstLine="860"/>
        <w:jc w:val="both"/>
      </w:pPr>
      <w:r>
        <w:rPr>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23"/>
        </w:numPr>
        <w:shd w:val="clear" w:color="auto" w:fill="auto"/>
        <w:tabs>
          <w:tab w:pos="1227" w:val="left"/>
        </w:tabs>
        <w:bidi w:val="0"/>
        <w:spacing w:before="0" w:after="200" w:line="240" w:lineRule="auto"/>
        <w:ind w:left="1280" w:right="0" w:hanging="400"/>
        <w:jc w:val="both"/>
      </w:pPr>
      <w:r>
        <w:rPr>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23"/>
        </w:numPr>
        <w:shd w:val="clear" w:color="auto" w:fill="auto"/>
        <w:tabs>
          <w:tab w:pos="1227" w:val="left"/>
        </w:tabs>
        <w:bidi w:val="0"/>
        <w:spacing w:before="0" w:after="200" w:line="240" w:lineRule="auto"/>
        <w:ind w:left="1280" w:right="0" w:hanging="400"/>
        <w:jc w:val="both"/>
      </w:pPr>
      <w:r>
        <w:rPr>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21"/>
        </w:numPr>
        <w:shd w:val="clear" w:color="auto" w:fill="auto"/>
        <w:tabs>
          <w:tab w:pos="784" w:val="left"/>
        </w:tabs>
        <w:bidi w:val="0"/>
        <w:spacing w:before="0" w:after="200" w:line="240" w:lineRule="auto"/>
        <w:ind w:left="860" w:right="0" w:hanging="860"/>
        <w:jc w:val="both"/>
      </w:pPr>
      <w:r>
        <w:rPr>
          <w:spacing w:val="0"/>
          <w:w w:val="100"/>
          <w:position w:val="0"/>
          <w:shd w:val="clear" w:color="auto" w:fill="auto"/>
          <w:lang w:val="cs-CZ" w:eastAsia="cs-CZ" w:bidi="cs-CZ"/>
        </w:rPr>
        <w:t xml:space="preserve">Ke změně ustanovení dle odst. </w:t>
      </w:r>
      <w:r>
        <w:rPr>
          <w:b/>
          <w:bCs/>
          <w:spacing w:val="0"/>
          <w:w w:val="100"/>
          <w:position w:val="0"/>
          <w:shd w:val="clear" w:color="auto" w:fill="auto"/>
          <w:lang w:val="cs-CZ" w:eastAsia="cs-CZ" w:bidi="cs-CZ"/>
        </w:rPr>
        <w:t xml:space="preserve">10.7. písm. g. </w:t>
      </w:r>
      <w:r>
        <w:rPr>
          <w:spacing w:val="0"/>
          <w:w w:val="100"/>
          <w:position w:val="0"/>
          <w:shd w:val="clear" w:color="auto" w:fill="auto"/>
          <w:lang w:val="cs-CZ" w:eastAsia="cs-CZ" w:bidi="cs-CZ"/>
        </w:rPr>
        <w:t xml:space="preserve">a odst. </w:t>
      </w:r>
      <w:r>
        <w:rPr>
          <w:b/>
          <w:bCs/>
          <w:spacing w:val="0"/>
          <w:w w:val="100"/>
          <w:position w:val="0"/>
          <w:shd w:val="clear" w:color="auto" w:fill="auto"/>
          <w:lang w:val="cs-CZ" w:eastAsia="cs-CZ" w:bidi="cs-CZ"/>
        </w:rPr>
        <w:t xml:space="preserve">12.1. </w:t>
      </w:r>
      <w:r>
        <w:rPr>
          <w:spacing w:val="0"/>
          <w:w w:val="100"/>
          <w:position w:val="0"/>
          <w:shd w:val="clear" w:color="auto" w:fill="auto"/>
          <w:lang w:val="cs-CZ" w:eastAsia="cs-CZ" w:bidi="cs-CZ"/>
        </w:rPr>
        <w:t xml:space="preserve">a </w:t>
      </w:r>
      <w:r>
        <w:rPr>
          <w:b/>
          <w:bCs/>
          <w:spacing w:val="0"/>
          <w:w w:val="100"/>
          <w:position w:val="0"/>
          <w:shd w:val="clear" w:color="auto" w:fill="auto"/>
          <w:lang w:val="cs-CZ" w:eastAsia="cs-CZ" w:bidi="cs-CZ"/>
        </w:rPr>
        <w:t xml:space="preserve">12.2. </w:t>
      </w:r>
      <w:r>
        <w:rPr>
          <w:spacing w:val="0"/>
          <w:w w:val="100"/>
          <w:position w:val="0"/>
          <w:shd w:val="clear" w:color="auto" w:fill="auto"/>
          <w:lang w:val="cs-CZ" w:eastAsia="cs-CZ" w:bidi="cs-CZ"/>
        </w:rP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Článek 13</w:t>
      </w:r>
    </w:p>
    <w:p>
      <w:pPr>
        <w:pStyle w:val="Style16"/>
        <w:keepNext/>
        <w:keepLines/>
        <w:widowControl w:val="0"/>
        <w:shd w:val="clear" w:color="auto" w:fill="auto"/>
        <w:bidi w:val="0"/>
        <w:spacing w:before="0" w:after="100" w:line="240" w:lineRule="auto"/>
        <w:ind w:left="0" w:right="0" w:firstLine="0"/>
        <w:jc w:val="center"/>
      </w:pPr>
      <w:bookmarkStart w:id="20" w:name="bookmark20"/>
      <w:bookmarkStart w:id="21" w:name="bookmark21"/>
      <w:r>
        <w:rPr>
          <w:spacing w:val="0"/>
          <w:w w:val="100"/>
          <w:position w:val="0"/>
          <w:shd w:val="clear" w:color="auto" w:fill="auto"/>
          <w:lang w:val="cs-CZ" w:eastAsia="cs-CZ" w:bidi="cs-CZ"/>
        </w:rPr>
        <w:t>Závěrečná ujednání</w:t>
      </w:r>
      <w:bookmarkEnd w:id="20"/>
      <w:bookmarkEnd w:id="21"/>
    </w:p>
    <w:p>
      <w:pPr>
        <w:pStyle w:val="Style2"/>
        <w:keepNext w:val="0"/>
        <w:keepLines w:val="0"/>
        <w:widowControl w:val="0"/>
        <w:numPr>
          <w:ilvl w:val="0"/>
          <w:numId w:val="25"/>
        </w:numPr>
        <w:shd w:val="clear" w:color="auto" w:fill="auto"/>
        <w:tabs>
          <w:tab w:pos="784" w:val="left"/>
        </w:tabs>
        <w:bidi w:val="0"/>
        <w:spacing w:before="0" w:line="240" w:lineRule="auto"/>
        <w:ind w:left="860" w:right="0" w:hanging="860"/>
        <w:jc w:val="both"/>
      </w:pPr>
      <w:r>
        <w:rPr>
          <w:spacing w:val="0"/>
          <w:w w:val="100"/>
          <w:position w:val="0"/>
          <w:shd w:val="clear" w:color="auto" w:fill="auto"/>
          <w:lang w:val="cs-CZ" w:eastAsia="cs-CZ" w:bidi="cs-CZ"/>
        </w:rPr>
        <w:t xml:space="preserve">Prodávající souhlasí se zveřejněním případných informací o této smlouvě dle </w:t>
      </w:r>
      <w:r>
        <w:rPr>
          <w:b/>
          <w:bCs/>
          <w:spacing w:val="0"/>
          <w:w w:val="100"/>
          <w:position w:val="0"/>
          <w:shd w:val="clear" w:color="auto" w:fill="auto"/>
          <w:lang w:val="cs-CZ" w:eastAsia="cs-CZ" w:bidi="cs-CZ"/>
        </w:rPr>
        <w:t>zákona č. 106/1999 Sb. o svobodném přístupu k informacím, v jeho platném znění</w:t>
      </w:r>
      <w:r>
        <w:rPr>
          <w:spacing w:val="0"/>
          <w:w w:val="100"/>
          <w:position w:val="0"/>
          <w:shd w:val="clear" w:color="auto" w:fill="auto"/>
          <w:lang w:val="cs-CZ" w:eastAsia="cs-CZ" w:bidi="cs-CZ"/>
        </w:rPr>
        <w:t>,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w:t>
        <w:br w:type="page"/>
      </w:r>
      <w:r>
        <w:rPr>
          <w:spacing w:val="0"/>
          <w:w w:val="100"/>
          <w:position w:val="0"/>
          <w:shd w:val="clear" w:color="auto" w:fill="auto"/>
          <w:lang w:val="cs-CZ" w:eastAsia="cs-CZ" w:bidi="cs-CZ"/>
        </w:rPr>
        <w:t xml:space="preserve">kupujícího dle </w:t>
      </w:r>
      <w:r>
        <w:rPr>
          <w:b/>
          <w:bCs/>
          <w:spacing w:val="0"/>
          <w:w w:val="100"/>
          <w:position w:val="0"/>
          <w:shd w:val="clear" w:color="auto" w:fill="auto"/>
          <w:lang w:val="cs-CZ" w:eastAsia="cs-CZ" w:bidi="cs-CZ"/>
        </w:rPr>
        <w:t xml:space="preserve">§ 219 ZZVZ </w:t>
      </w:r>
      <w:r>
        <w:rPr>
          <w:spacing w:val="0"/>
          <w:w w:val="100"/>
          <w:position w:val="0"/>
          <w:shd w:val="clear" w:color="auto" w:fill="auto"/>
          <w:lang w:val="cs-CZ" w:eastAsia="cs-CZ" w:bidi="cs-CZ"/>
        </w:rPr>
        <w:t xml:space="preserve">a v Registru smluv dle </w:t>
      </w:r>
      <w:r>
        <w:rPr>
          <w:b/>
          <w:bCs/>
          <w:spacing w:val="0"/>
          <w:w w:val="100"/>
          <w:position w:val="0"/>
          <w:shd w:val="clear" w:color="auto" w:fill="auto"/>
          <w:lang w:val="cs-CZ" w:eastAsia="cs-CZ" w:bidi="cs-CZ"/>
        </w:rPr>
        <w:t>zákona č. 340/2015 Sb. o zvláštních podmínkách účinnosti některých smluv, uveřejňování těchto smluv a o registru smluv, v platném znění (zákon o registru smluv)</w:t>
      </w:r>
      <w:r>
        <w:rPr>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kupující.</w:t>
      </w:r>
    </w:p>
    <w:p>
      <w:pPr>
        <w:pStyle w:val="Style2"/>
        <w:keepNext w:val="0"/>
        <w:keepLines w:val="0"/>
        <w:widowControl w:val="0"/>
        <w:numPr>
          <w:ilvl w:val="0"/>
          <w:numId w:val="25"/>
        </w:numPr>
        <w:shd w:val="clear" w:color="auto" w:fill="auto"/>
        <w:tabs>
          <w:tab w:pos="720" w:val="left"/>
        </w:tabs>
        <w:bidi w:val="0"/>
        <w:spacing w:before="0" w:line="240" w:lineRule="auto"/>
        <w:ind w:left="720" w:right="0" w:hanging="720"/>
        <w:jc w:val="both"/>
      </w:pPr>
      <w:r>
        <w:rPr>
          <w:spacing w:val="0"/>
          <w:w w:val="100"/>
          <w:position w:val="0"/>
          <w:shd w:val="clear" w:color="auto" w:fill="auto"/>
          <w:lang w:val="cs-CZ" w:eastAsia="cs-CZ" w:bidi="cs-CZ"/>
        </w:rPr>
        <w:t>Smluvní strany se dohodly, že případné spory vzniklé z této smlouvy budou přednostně řešit smírnou cestou.</w:t>
      </w:r>
    </w:p>
    <w:p>
      <w:pPr>
        <w:pStyle w:val="Style2"/>
        <w:keepNext w:val="0"/>
        <w:keepLines w:val="0"/>
        <w:widowControl w:val="0"/>
        <w:numPr>
          <w:ilvl w:val="0"/>
          <w:numId w:val="25"/>
        </w:numPr>
        <w:shd w:val="clear" w:color="auto" w:fill="auto"/>
        <w:tabs>
          <w:tab w:pos="720" w:val="left"/>
        </w:tabs>
        <w:bidi w:val="0"/>
        <w:spacing w:before="0" w:line="240" w:lineRule="auto"/>
        <w:ind w:left="720" w:right="0" w:hanging="720"/>
        <w:jc w:val="both"/>
      </w:pPr>
      <w:r>
        <w:rPr>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 postoupení pohledávky od počátku za neplatné.</w:t>
      </w:r>
    </w:p>
    <w:p>
      <w:pPr>
        <w:pStyle w:val="Style2"/>
        <w:keepNext w:val="0"/>
        <w:keepLines w:val="0"/>
        <w:widowControl w:val="0"/>
        <w:numPr>
          <w:ilvl w:val="0"/>
          <w:numId w:val="25"/>
        </w:numPr>
        <w:shd w:val="clear" w:color="auto" w:fill="auto"/>
        <w:tabs>
          <w:tab w:pos="720" w:val="left"/>
        </w:tabs>
        <w:bidi w:val="0"/>
        <w:spacing w:before="0" w:line="240" w:lineRule="auto"/>
        <w:ind w:left="720" w:right="0" w:hanging="720"/>
        <w:jc w:val="both"/>
      </w:pPr>
      <w:r>
        <w:rPr>
          <w:spacing w:val="0"/>
          <w:w w:val="100"/>
          <w:position w:val="0"/>
          <w:shd w:val="clear" w:color="auto" w:fill="auto"/>
          <w:lang w:val="cs-CZ" w:eastAsia="cs-CZ" w:bidi="cs-CZ"/>
        </w:rPr>
        <w:t xml:space="preserve">Nestanoví-li smlouva jinak, řídí se plnění této smlouvy příslušným </w:t>
      </w:r>
      <w:r>
        <w:rPr>
          <w:b/>
          <w:bCs/>
          <w:spacing w:val="0"/>
          <w:w w:val="100"/>
          <w:position w:val="0"/>
          <w:shd w:val="clear" w:color="auto" w:fill="auto"/>
          <w:lang w:val="cs-CZ" w:eastAsia="cs-CZ" w:bidi="cs-CZ"/>
        </w:rPr>
        <w:t>zákonem č. 89/2012 Sb., v platném znění</w:t>
      </w:r>
      <w:r>
        <w:rPr>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720" w:val="left"/>
        </w:tabs>
        <w:bidi w:val="0"/>
        <w:spacing w:before="0" w:line="240" w:lineRule="auto"/>
        <w:ind w:left="720" w:right="0" w:hanging="720"/>
        <w:jc w:val="both"/>
      </w:pPr>
      <w:r>
        <w:rPr>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2"/>
        <w:keepNext w:val="0"/>
        <w:keepLines w:val="0"/>
        <w:widowControl w:val="0"/>
        <w:numPr>
          <w:ilvl w:val="0"/>
          <w:numId w:val="25"/>
        </w:numPr>
        <w:shd w:val="clear" w:color="auto" w:fill="auto"/>
        <w:tabs>
          <w:tab w:pos="720" w:val="left"/>
        </w:tabs>
        <w:bidi w:val="0"/>
        <w:spacing w:before="0" w:line="240" w:lineRule="auto"/>
        <w:ind w:left="720" w:right="0" w:hanging="720"/>
        <w:jc w:val="both"/>
      </w:pPr>
      <w:r>
        <w:rPr>
          <w:spacing w:val="0"/>
          <w:w w:val="100"/>
          <w:position w:val="0"/>
          <w:shd w:val="clear" w:color="auto" w:fill="auto"/>
          <w:lang w:val="cs-CZ" w:eastAsia="cs-CZ" w:bidi="cs-CZ"/>
        </w:rPr>
        <w:t xml:space="preserve">Smluvní strany se dohodly, že na jejich vztah upravený touto smlouvou se dále neužijí ustanovení </w:t>
      </w:r>
      <w:r>
        <w:rPr>
          <w:b/>
          <w:bCs/>
          <w:spacing w:val="0"/>
          <w:w w:val="100"/>
          <w:position w:val="0"/>
          <w:shd w:val="clear" w:color="auto" w:fill="auto"/>
          <w:lang w:val="cs-CZ" w:eastAsia="cs-CZ" w:bidi="cs-CZ"/>
        </w:rPr>
        <w:t>§ 1921, § 1978 odst. 2, § 2093, § 2099 odst. 2, § 2106 odst. 3, § 2111 a § 2112 OZ</w:t>
      </w:r>
      <w:r>
        <w:rPr>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720" w:val="left"/>
        </w:tabs>
        <w:bidi w:val="0"/>
        <w:spacing w:before="0" w:line="240" w:lineRule="auto"/>
        <w:ind w:left="720" w:right="0" w:hanging="720"/>
        <w:jc w:val="both"/>
      </w:pPr>
      <w:r>
        <w:rPr>
          <w:spacing w:val="0"/>
          <w:w w:val="100"/>
          <w:position w:val="0"/>
          <w:shd w:val="clear" w:color="auto" w:fill="auto"/>
          <w:lang w:val="cs-CZ" w:eastAsia="cs-CZ" w:bidi="cs-CZ"/>
        </w:rPr>
        <w:t>Případné obchodní zvyklosti, týkající se sjednaného plnění, nemají přednost před smluvními ujednáními, ani před ustanoveními zákona, byť by tato neměla donucující účinky.</w:t>
      </w:r>
    </w:p>
    <w:p>
      <w:pPr>
        <w:pStyle w:val="Style2"/>
        <w:keepNext w:val="0"/>
        <w:keepLines w:val="0"/>
        <w:widowControl w:val="0"/>
        <w:numPr>
          <w:ilvl w:val="0"/>
          <w:numId w:val="25"/>
        </w:numPr>
        <w:shd w:val="clear" w:color="auto" w:fill="auto"/>
        <w:tabs>
          <w:tab w:pos="720" w:val="left"/>
        </w:tabs>
        <w:bidi w:val="0"/>
        <w:spacing w:before="0" w:after="240" w:line="240" w:lineRule="auto"/>
        <w:ind w:left="720" w:right="0" w:hanging="720"/>
        <w:jc w:val="both"/>
      </w:pPr>
      <w:r>
        <w:rPr>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after="40" w:line="240" w:lineRule="auto"/>
        <w:ind w:left="0" w:right="0" w:firstLine="0"/>
        <w:jc w:val="left"/>
      </w:pPr>
      <w:r>
        <w:rPr>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40" w:line="240" w:lineRule="auto"/>
        <w:ind w:left="0" w:right="0" w:firstLine="380"/>
        <w:jc w:val="both"/>
      </w:pPr>
      <w:r>
        <w:rPr>
          <w:rFonts w:ascii="Times New Roman" w:eastAsia="Times New Roman" w:hAnsi="Times New Roman" w:cs="Times New Roman"/>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příloha A1 Údaje, které jsou součástí ujednání a nebudou zveřejněny v Registru smluv</w:t>
      </w:r>
    </w:p>
    <w:p>
      <w:pPr>
        <w:pStyle w:val="Style2"/>
        <w:keepNext w:val="0"/>
        <w:keepLines w:val="0"/>
        <w:widowControl w:val="0"/>
        <w:shd w:val="clear" w:color="auto" w:fill="auto"/>
        <w:bidi w:val="0"/>
        <w:spacing w:before="0" w:after="280" w:line="240" w:lineRule="auto"/>
        <w:ind w:left="0" w:right="0" w:firstLine="380"/>
        <w:jc w:val="both"/>
      </w:pPr>
      <w:r>
        <w:rPr>
          <w:rFonts w:ascii="Times New Roman" w:eastAsia="Times New Roman" w:hAnsi="Times New Roman" w:cs="Times New Roman"/>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příloha A2 Technické parametry a specifikace</w:t>
      </w:r>
    </w:p>
    <w:p>
      <w:pPr>
        <w:pStyle w:val="Style2"/>
        <w:keepNext w:val="0"/>
        <w:keepLines w:val="0"/>
        <w:widowControl w:val="0"/>
        <w:shd w:val="clear" w:color="auto" w:fill="auto"/>
        <w:bidi w:val="0"/>
        <w:spacing w:before="0" w:after="500" w:line="276" w:lineRule="auto"/>
        <w:ind w:left="0" w:right="0" w:firstLine="0"/>
        <w:jc w:val="both"/>
      </w:pPr>
      <w:r>
        <w:rPr>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line="240" w:lineRule="auto"/>
        <w:ind w:left="0" w:right="0" w:firstLine="720"/>
        <w:jc w:val="left"/>
      </w:pPr>
      <w:r>
        <mc:AlternateContent>
          <mc:Choice Requires="wps">
            <w:drawing>
              <wp:anchor distT="0" distB="0" distL="114300" distR="114300" simplePos="0" relativeHeight="125829378" behindDoc="0" locked="0" layoutInCell="1" allowOverlap="1">
                <wp:simplePos x="0" y="0"/>
                <wp:positionH relativeFrom="page">
                  <wp:posOffset>4365625</wp:posOffset>
                </wp:positionH>
                <wp:positionV relativeFrom="paragraph">
                  <wp:posOffset>12700</wp:posOffset>
                </wp:positionV>
                <wp:extent cx="563880" cy="170815"/>
                <wp:wrapSquare wrapText="left"/>
                <wp:docPr id="13" name="Shape 13"/>
                <a:graphic xmlns:a="http://schemas.openxmlformats.org/drawingml/2006/main">
                  <a:graphicData uri="http://schemas.microsoft.com/office/word/2010/wordprocessingShape">
                    <wps:wsp>
                      <wps:cNvSpPr txBox="1"/>
                      <wps:spPr>
                        <a:xfrm>
                          <a:ext cx="563880"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Jihlavě</w:t>
                            </w:r>
                          </w:p>
                        </w:txbxContent>
                      </wps:txbx>
                      <wps:bodyPr wrap="none" lIns="0" tIns="0" rIns="0" bIns="0">
                        <a:noAutoFit/>
                      </wps:bodyPr>
                    </wps:wsp>
                  </a:graphicData>
                </a:graphic>
              </wp:anchor>
            </w:drawing>
          </mc:Choice>
          <mc:Fallback>
            <w:pict>
              <v:shape id="_x0000_s1039" type="#_x0000_t202" style="position:absolute;margin-left:343.75pt;margin-top:1.pt;width:44.399999999999999pt;height:13.4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 Jihlavě</w:t>
                      </w:r>
                    </w:p>
                  </w:txbxContent>
                </v:textbox>
                <w10:wrap type="square" side="left" anchorx="page"/>
              </v:shape>
            </w:pict>
          </mc:Fallback>
        </mc:AlternateContent>
      </w:r>
      <w:r>
        <w:rPr>
          <w:spacing w:val="0"/>
          <w:w w:val="100"/>
          <w:position w:val="0"/>
          <w:shd w:val="clear" w:color="auto" w:fill="auto"/>
          <w:lang w:val="cs-CZ" w:eastAsia="cs-CZ" w:bidi="cs-CZ"/>
        </w:rPr>
        <w:t>V Hustopečích</w:t>
      </w:r>
    </w:p>
    <w:p>
      <w:pPr>
        <w:widowControl w:val="0"/>
        <w:spacing w:line="1" w:lineRule="exact"/>
      </w:pPr>
      <w:r>
        <mc:AlternateContent>
          <mc:Choice Requires="wps">
            <w:drawing>
              <wp:anchor distT="1231900" distB="167640" distL="0" distR="0" simplePos="0" relativeHeight="125829380" behindDoc="0" locked="0" layoutInCell="1" allowOverlap="1">
                <wp:simplePos x="0" y="0"/>
                <wp:positionH relativeFrom="page">
                  <wp:posOffset>1314450</wp:posOffset>
                </wp:positionH>
                <wp:positionV relativeFrom="paragraph">
                  <wp:posOffset>1231900</wp:posOffset>
                </wp:positionV>
                <wp:extent cx="2270760" cy="359410"/>
                <wp:wrapTopAndBottom/>
                <wp:docPr id="15" name="Shape 15"/>
                <a:graphic xmlns:a="http://schemas.openxmlformats.org/drawingml/2006/main">
                  <a:graphicData uri="http://schemas.microsoft.com/office/word/2010/wordprocessingShape">
                    <wps:wsp>
                      <wps:cNvSpPr txBox="1"/>
                      <wps:spPr>
                        <a:xfrm>
                          <a:ext cx="2270760" cy="35941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spacing w:val="0"/>
                                <w:w w:val="100"/>
                                <w:position w:val="0"/>
                                <w:shd w:val="clear" w:color="auto" w:fill="auto"/>
                                <w:lang w:val="cs-CZ" w:eastAsia="cs-CZ" w:bidi="cs-CZ"/>
                              </w:rPr>
                              <w:t>Ing. Robert Labík, na základě pověření, AGROTEC a.s.</w:t>
                            </w:r>
                          </w:p>
                        </w:txbxContent>
                      </wps:txbx>
                      <wps:bodyPr lIns="0" tIns="0" rIns="0" bIns="0">
                        <a:noAutoFit/>
                      </wps:bodyPr>
                    </wps:wsp>
                  </a:graphicData>
                </a:graphic>
              </wp:anchor>
            </w:drawing>
          </mc:Choice>
          <mc:Fallback>
            <w:pict>
              <v:shape id="_x0000_s1041" type="#_x0000_t202" style="position:absolute;margin-left:103.5pt;margin-top:97.pt;width:178.80000000000001pt;height:28.300000000000001pt;z-index:-125829373;mso-wrap-distance-left:0;mso-wrap-distance-top:97.pt;mso-wrap-distance-right:0;mso-wrap-distance-bottom:13.199999999999999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spacing w:val="0"/>
                          <w:w w:val="100"/>
                          <w:position w:val="0"/>
                          <w:shd w:val="clear" w:color="auto" w:fill="auto"/>
                          <w:lang w:val="cs-CZ" w:eastAsia="cs-CZ" w:bidi="cs-CZ"/>
                        </w:rPr>
                        <w:t>Ing. Robert Labík, na základě pověření, AGROTEC a.s.</w:t>
                      </w:r>
                    </w:p>
                  </w:txbxContent>
                </v:textbox>
                <w10:wrap type="topAndBottom" anchorx="page"/>
              </v:shape>
            </w:pict>
          </mc:Fallback>
        </mc:AlternateContent>
      </w:r>
      <w:r>
        <mc:AlternateContent>
          <mc:Choice Requires="wps">
            <w:drawing>
              <wp:anchor distT="1231900" distB="0" distL="0" distR="0" simplePos="0" relativeHeight="125829382" behindDoc="0" locked="0" layoutInCell="1" allowOverlap="1">
                <wp:simplePos x="0" y="0"/>
                <wp:positionH relativeFrom="page">
                  <wp:posOffset>3978275</wp:posOffset>
                </wp:positionH>
                <wp:positionV relativeFrom="paragraph">
                  <wp:posOffset>1231900</wp:posOffset>
                </wp:positionV>
                <wp:extent cx="2310130" cy="527050"/>
                <wp:wrapTopAndBottom/>
                <wp:docPr id="17" name="Shape 17"/>
                <a:graphic xmlns:a="http://schemas.openxmlformats.org/drawingml/2006/main">
                  <a:graphicData uri="http://schemas.microsoft.com/office/word/2010/wordprocessingShape">
                    <wps:wsp>
                      <wps:cNvSpPr txBox="1"/>
                      <wps:spPr>
                        <a:xfrm>
                          <a:ext cx="2310130" cy="52705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spacing w:val="0"/>
                                <w:w w:val="100"/>
                                <w:position w:val="0"/>
                                <w:shd w:val="clear" w:color="auto" w:fill="auto"/>
                                <w:lang w:val="cs-CZ" w:eastAsia="cs-CZ" w:bidi="cs-CZ"/>
                              </w:rPr>
                              <w:t>Ing. Radovan Necid, ředitel organizace, Krajská správa a údržba silnic Vysočiny, příspěvková organizace</w:t>
                            </w:r>
                          </w:p>
                        </w:txbxContent>
                      </wps:txbx>
                      <wps:bodyPr lIns="0" tIns="0" rIns="0" bIns="0">
                        <a:noAutoFit/>
                      </wps:bodyPr>
                    </wps:wsp>
                  </a:graphicData>
                </a:graphic>
              </wp:anchor>
            </w:drawing>
          </mc:Choice>
          <mc:Fallback>
            <w:pict>
              <v:shape id="_x0000_s1043" type="#_x0000_t202" style="position:absolute;margin-left:313.25pt;margin-top:97.pt;width:181.90000000000001pt;height:41.5pt;z-index:-125829371;mso-wrap-distance-left:0;mso-wrap-distance-top:97.pt;mso-wrap-distance-right:0;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pPr>
        <w:pStyle w:val="Style2"/>
        <w:keepNext w:val="0"/>
        <w:keepLines w:val="0"/>
        <w:widowControl w:val="0"/>
        <w:shd w:val="clear" w:color="auto" w:fill="auto"/>
        <w:bidi w:val="0"/>
        <w:spacing w:before="0" w:after="680" w:line="240" w:lineRule="auto"/>
        <w:ind w:left="7360" w:right="0" w:firstLine="0"/>
        <w:jc w:val="left"/>
      </w:pPr>
      <w:r>
        <w:rPr>
          <w:spacing w:val="0"/>
          <w:w w:val="100"/>
          <w:position w:val="0"/>
          <w:shd w:val="clear" w:color="auto" w:fill="auto"/>
          <w:lang w:val="cs-CZ" w:eastAsia="cs-CZ" w:bidi="cs-CZ"/>
        </w:rPr>
        <w:t>Příloha A1 smlouvy</w:t>
      </w:r>
    </w:p>
    <w:p>
      <w:pPr>
        <w:pStyle w:val="Style2"/>
        <w:keepNext w:val="0"/>
        <w:keepLines w:val="0"/>
        <w:widowControl w:val="0"/>
        <w:shd w:val="clear" w:color="auto" w:fill="auto"/>
        <w:bidi w:val="0"/>
        <w:spacing w:before="0" w:after="680" w:line="240" w:lineRule="auto"/>
        <w:ind w:left="0" w:right="0" w:firstLine="0"/>
        <w:jc w:val="center"/>
      </w:pPr>
      <w:r>
        <w:rPr>
          <w:b/>
          <w:bCs/>
          <w:spacing w:val="0"/>
          <w:w w:val="100"/>
          <w:position w:val="0"/>
          <w:shd w:val="clear" w:color="auto" w:fill="auto"/>
          <w:lang w:val="cs-CZ" w:eastAsia="cs-CZ" w:bidi="cs-CZ"/>
        </w:rPr>
        <w:t>Údaje, které jsou součástí ujednání a nebudou zveřejněny v Registru smluv:</w:t>
      </w:r>
    </w:p>
    <w:p>
      <w:pPr>
        <w:pStyle w:val="Style16"/>
        <w:keepNext/>
        <w:keepLines/>
        <w:widowControl w:val="0"/>
        <w:shd w:val="clear" w:color="auto" w:fill="auto"/>
        <w:bidi w:val="0"/>
        <w:spacing w:before="0" w:after="220" w:line="240" w:lineRule="auto"/>
        <w:ind w:left="0" w:right="0" w:firstLine="0"/>
        <w:jc w:val="both"/>
      </w:pPr>
      <w:bookmarkStart w:id="22" w:name="bookmark22"/>
      <w:bookmarkStart w:id="23" w:name="bookmark23"/>
      <w:r>
        <w:rPr>
          <w:spacing w:val="0"/>
          <w:w w:val="100"/>
          <w:position w:val="0"/>
          <w:shd w:val="clear" w:color="auto" w:fill="auto"/>
          <w:lang w:val="cs-CZ" w:eastAsia="cs-CZ" w:bidi="cs-CZ"/>
        </w:rPr>
        <w:t>Krajská správa a údržba silnic Vysočiny, příspěvková organizace</w:t>
      </w:r>
      <w:bookmarkEnd w:id="22"/>
      <w:bookmarkEnd w:id="23"/>
    </w:p>
    <w:p>
      <w:pPr>
        <w:pStyle w:val="Style2"/>
        <w:keepNext w:val="0"/>
        <w:keepLines w:val="0"/>
        <w:widowControl w:val="0"/>
        <w:shd w:val="clear" w:color="auto" w:fill="auto"/>
        <w:bidi w:val="0"/>
        <w:spacing w:before="0" w:after="220" w:line="240" w:lineRule="auto"/>
        <w:ind w:left="0" w:right="0" w:firstLine="0"/>
        <w:jc w:val="both"/>
      </w:pPr>
      <w:r>
        <w:rPr>
          <w:spacing w:val="0"/>
          <w:w w:val="100"/>
          <w:position w:val="0"/>
          <w:shd w:val="clear" w:color="auto" w:fill="auto"/>
          <w:lang w:val="cs-CZ" w:eastAsia="cs-CZ" w:bidi="cs-CZ"/>
        </w:rPr>
        <w:t>IČO: 00090450</w:t>
      </w:r>
    </w:p>
    <w:p>
      <w:pPr>
        <w:pStyle w:val="Style2"/>
        <w:keepNext w:val="0"/>
        <w:keepLines w:val="0"/>
        <w:widowControl w:val="0"/>
        <w:shd w:val="clear" w:color="auto" w:fill="auto"/>
        <w:bidi w:val="0"/>
        <w:spacing w:before="0" w:after="680" w:line="240" w:lineRule="auto"/>
        <w:ind w:left="0" w:right="0" w:firstLine="0"/>
        <w:jc w:val="both"/>
      </w:pPr>
      <w:r>
        <w:rPr>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220" w:line="240" w:lineRule="auto"/>
        <w:ind w:left="0" w:right="0" w:firstLine="0"/>
        <w:jc w:val="both"/>
      </w:pPr>
      <w:r>
        <w:rPr>
          <w:spacing w:val="0"/>
          <w:w w:val="100"/>
          <w:position w:val="0"/>
          <w:shd w:val="clear" w:color="auto" w:fill="auto"/>
          <w:lang w:val="cs-CZ" w:eastAsia="cs-CZ" w:bidi="cs-CZ"/>
        </w:rPr>
        <w:t>Osoba pověřená jednat jménem kupujícího ve věcech plnění a převzetí zboží:</w:t>
      </w:r>
    </w:p>
    <w:p>
      <w:pPr>
        <w:pStyle w:val="Style16"/>
        <w:keepNext/>
        <w:keepLines/>
        <w:widowControl w:val="0"/>
        <w:shd w:val="clear" w:color="auto" w:fill="auto"/>
        <w:bidi w:val="0"/>
        <w:spacing w:before="0" w:after="220" w:line="240" w:lineRule="auto"/>
        <w:ind w:left="0" w:right="0" w:firstLine="0"/>
        <w:jc w:val="both"/>
      </w:pPr>
      <w:bookmarkStart w:id="24" w:name="bookmark24"/>
      <w:bookmarkStart w:id="25" w:name="bookmark25"/>
      <w:r>
        <w:rPr>
          <w:spacing w:val="0"/>
          <w:w w:val="100"/>
          <w:position w:val="0"/>
          <w:shd w:val="clear" w:color="auto" w:fill="auto"/>
          <w:lang w:val="cs-CZ" w:eastAsia="cs-CZ" w:bidi="cs-CZ"/>
        </w:rPr>
        <w:t>Obchodní firma: AGROTEC a.s.</w:t>
      </w:r>
      <w:bookmarkEnd w:id="24"/>
      <w:bookmarkEnd w:id="25"/>
    </w:p>
    <w:p>
      <w:pPr>
        <w:pStyle w:val="Style2"/>
        <w:keepNext w:val="0"/>
        <w:keepLines w:val="0"/>
        <w:widowControl w:val="0"/>
        <w:shd w:val="clear" w:color="auto" w:fill="auto"/>
        <w:bidi w:val="0"/>
        <w:spacing w:before="0" w:after="220" w:line="240" w:lineRule="auto"/>
        <w:ind w:left="0" w:right="0" w:firstLine="0"/>
        <w:jc w:val="both"/>
      </w:pPr>
      <w:r>
        <w:rPr>
          <w:spacing w:val="0"/>
          <w:w w:val="100"/>
          <w:position w:val="0"/>
          <w:shd w:val="clear" w:color="auto" w:fill="auto"/>
          <w:lang w:val="cs-CZ" w:eastAsia="cs-CZ" w:bidi="cs-CZ"/>
        </w:rPr>
        <w:t>IČO: 00544957</w:t>
      </w:r>
    </w:p>
    <w:p>
      <w:pPr>
        <w:pStyle w:val="Style2"/>
        <w:keepNext w:val="0"/>
        <w:keepLines w:val="0"/>
        <w:widowControl w:val="0"/>
        <w:shd w:val="clear" w:color="auto" w:fill="auto"/>
        <w:bidi w:val="0"/>
        <w:spacing w:before="0" w:after="680" w:line="240" w:lineRule="auto"/>
        <w:ind w:left="0" w:right="0" w:firstLine="0"/>
        <w:jc w:val="both"/>
      </w:pPr>
      <w:r>
        <w:rPr>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pgSz w:w="11900" w:h="16840"/>
          <w:pgMar w:top="2161" w:left="1252" w:right="1326" w:bottom="1902" w:header="0" w:footer="3" w:gutter="0"/>
          <w:cols w:space="720"/>
          <w:noEndnote/>
          <w:rtlGutter w:val="0"/>
          <w:docGrid w:linePitch="360"/>
        </w:sectPr>
      </w:pPr>
      <w:r>
        <w:rPr>
          <w:spacing w:val="0"/>
          <w:w w:val="100"/>
          <w:position w:val="0"/>
          <w:shd w:val="clear" w:color="auto" w:fill="auto"/>
          <w:lang w:val="cs-CZ" w:eastAsia="cs-CZ" w:bidi="cs-CZ"/>
        </w:rPr>
        <w:t>Osoba pověřená jednat jménem prodávajícího ve věcech plnění a předání zboží: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0" w:after="60" w:line="240" w:lineRule="exact"/>
        <w:rPr>
          <w:sz w:val="19"/>
          <w:szCs w:val="19"/>
        </w:rPr>
      </w:pPr>
    </w:p>
    <w:p>
      <w:pPr>
        <w:widowControl w:val="0"/>
        <w:spacing w:line="1" w:lineRule="exact"/>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1460" w:left="1335" w:right="1421" w:bottom="1902" w:header="0" w:footer="3" w:gutter="0"/>
          <w:cols w:space="720"/>
          <w:noEndnote/>
          <w:rtlGutter w:val="0"/>
          <w:docGrid w:linePitch="360"/>
        </w:sectPr>
      </w:pPr>
    </w:p>
    <w:p>
      <w:pPr>
        <w:widowControl w:val="0"/>
        <w:spacing w:line="1" w:lineRule="exact"/>
      </w:pPr>
      <w:r>
        <mc:AlternateContent>
          <mc:Choice Requires="wps">
            <w:drawing>
              <wp:anchor distT="0" distB="469900" distL="0" distR="0" simplePos="0" relativeHeight="125829384" behindDoc="0" locked="0" layoutInCell="1" allowOverlap="1">
                <wp:simplePos x="0" y="0"/>
                <wp:positionH relativeFrom="page">
                  <wp:posOffset>5514340</wp:posOffset>
                </wp:positionH>
                <wp:positionV relativeFrom="paragraph">
                  <wp:posOffset>0</wp:posOffset>
                </wp:positionV>
                <wp:extent cx="1143000" cy="173990"/>
                <wp:wrapTopAndBottom/>
                <wp:docPr id="25" name="Shape 25"/>
                <a:graphic xmlns:a="http://schemas.openxmlformats.org/drawingml/2006/main">
                  <a:graphicData uri="http://schemas.microsoft.com/office/word/2010/wordprocessingShape">
                    <wps:wsp>
                      <wps:cNvSpPr txBox="1"/>
                      <wps:spPr>
                        <a:xfrm>
                          <a:ext cx="1143000" cy="1739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Příloha A2 smlouvy</w:t>
                            </w:r>
                          </w:p>
                        </w:txbxContent>
                      </wps:txbx>
                      <wps:bodyPr wrap="none" lIns="0" tIns="0" rIns="0" bIns="0">
                        <a:noAutoFit/>
                      </wps:bodyPr>
                    </wps:wsp>
                  </a:graphicData>
                </a:graphic>
              </wp:anchor>
            </w:drawing>
          </mc:Choice>
          <mc:Fallback>
            <w:pict>
              <v:shape id="_x0000_s1051" type="#_x0000_t202" style="position:absolute;margin-left:434.19999999999999pt;margin-top:0;width:90.pt;height:13.699999999999999pt;z-index:-125829369;mso-wrap-distance-left:0;mso-wrap-distance-right:0;mso-wrap-distance-bottom:3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Příloha A2 smlouvy</w:t>
                      </w:r>
                    </w:p>
                  </w:txbxContent>
                </v:textbox>
                <w10:wrap type="topAndBottom"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cs-CZ" w:eastAsia="cs-CZ" w:bidi="cs-CZ"/>
        </w:rPr>
        <w:t>Technické parametry a specifikace</w:t>
      </w:r>
      <w:r>
        <w:br w:type="page"/>
      </w:r>
    </w:p>
    <w:tbl>
      <w:tblPr>
        <w:tblOverlap w:val="never"/>
        <w:jc w:val="left"/>
        <w:tblLayout w:type="fixed"/>
      </w:tblPr>
      <w:tblGrid>
        <w:gridCol w:w="4013"/>
        <w:gridCol w:w="2352"/>
      </w:tblGrid>
      <w:tr>
        <w:trPr>
          <w:trHeight w:val="211" w:hRule="exact"/>
        </w:trPr>
        <w:tc>
          <w:tcPr>
            <w:gridSpan w:val="2"/>
            <w:tcBorders>
              <w:top w:val="single" w:sz="4"/>
              <w:left w:val="single" w:sz="4"/>
              <w:right w:val="single" w:sz="4"/>
            </w:tcBorders>
            <w:shd w:val="clear" w:color="auto" w:fill="D9E0F2"/>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Rekapitulace splnění technických parametrů - užitkové vozidlo s double kabinou a valníkovou nástavbou do 3.500 kg</w:t>
            </w:r>
          </w:p>
        </w:tc>
      </w:tr>
      <w:tr>
        <w:trPr>
          <w:trHeight w:val="61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394" w:lineRule="auto"/>
              <w:ind w:left="0" w:right="0" w:firstLine="0"/>
              <w:jc w:val="right"/>
              <w:rPr>
                <w:sz w:val="11"/>
                <w:szCs w:val="11"/>
              </w:rPr>
            </w:pPr>
            <w:r>
              <w:rPr>
                <w:color w:val="020102"/>
                <w:spacing w:val="0"/>
                <w:w w:val="100"/>
                <w:position w:val="0"/>
                <w:sz w:val="11"/>
                <w:szCs w:val="11"/>
                <w:shd w:val="clear" w:color="auto" w:fill="auto"/>
                <w:lang w:val="cs-CZ" w:eastAsia="cs-CZ" w:bidi="cs-CZ"/>
              </w:rPr>
              <w:t>Počet kusů: Tovární značka a typ:</w:t>
            </w:r>
          </w:p>
        </w:tc>
        <w:tc>
          <w:tcPr>
            <w:tcBorders>
              <w:top w:val="single" w:sz="4"/>
              <w:right w:val="single" w:sz="4"/>
            </w:tcBorders>
            <w:shd w:val="clear" w:color="auto" w:fill="FFFFFF"/>
            <w:vAlign w:val="center"/>
          </w:tcPr>
          <w:p>
            <w:pPr>
              <w:pStyle w:val="Style9"/>
              <w:keepNext w:val="0"/>
              <w:keepLines w:val="0"/>
              <w:widowControl w:val="0"/>
              <w:shd w:val="clear" w:color="auto" w:fill="auto"/>
              <w:bidi w:val="0"/>
              <w:spacing w:before="0" w:after="8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1</w:t>
            </w:r>
          </w:p>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IVECO Daily 35S16 D</w:t>
            </w:r>
          </w:p>
        </w:tc>
      </w:tr>
      <w:tr>
        <w:trPr>
          <w:trHeight w:val="394" w:hRule="exact"/>
        </w:trPr>
        <w:tc>
          <w:tcPr>
            <w:tcBorders>
              <w:top w:val="single" w:sz="4"/>
              <w:left w:val="single" w:sz="4"/>
            </w:tcBorders>
            <w:shd w:val="clear" w:color="auto" w:fill="D9E0F2"/>
            <w:vAlign w:val="center"/>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Parametry, výbava vozidla</w:t>
            </w:r>
          </w:p>
        </w:tc>
        <w:tc>
          <w:tcPr>
            <w:tcBorders>
              <w:top w:val="single" w:sz="4"/>
              <w:left w:val="single" w:sz="4"/>
              <w:right w:val="single" w:sz="4"/>
            </w:tcBorders>
            <w:shd w:val="clear" w:color="auto" w:fill="D9E0F2"/>
            <w:vAlign w:val="center"/>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Údaj o splnění</w:t>
            </w:r>
          </w:p>
        </w:tc>
      </w:tr>
      <w:tr>
        <w:trPr>
          <w:trHeight w:val="144" w:hRule="exact"/>
        </w:trPr>
        <w:tc>
          <w:tcPr>
            <w:gridSpan w:val="2"/>
            <w:tcBorders>
              <w:top w:val="single" w:sz="4"/>
              <w:left w:val="single" w:sz="4"/>
              <w:right w:val="single" w:sz="4"/>
            </w:tcBorders>
            <w:shd w:val="clear" w:color="auto" w:fill="E1EFD9"/>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Motor a pohon</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Přeplňovaný vznětový</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1"/>
                <w:szCs w:val="11"/>
              </w:rPr>
            </w:pPr>
            <w:r>
              <w:rPr>
                <w:color w:val="020102"/>
                <w:spacing w:val="0"/>
                <w:w w:val="100"/>
                <w:position w:val="0"/>
                <w:sz w:val="11"/>
                <w:szCs w:val="11"/>
                <w:shd w:val="clear" w:color="auto" w:fill="auto"/>
                <w:lang w:val="cs-CZ" w:eastAsia="cs-CZ" w:bidi="cs-CZ"/>
              </w:rPr>
              <w:t>Výkon motoru</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115 kW</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1"/>
                <w:szCs w:val="11"/>
              </w:rPr>
            </w:pPr>
            <w:r>
              <w:rPr>
                <w:color w:val="020102"/>
                <w:spacing w:val="0"/>
                <w:w w:val="100"/>
                <w:position w:val="0"/>
                <w:sz w:val="11"/>
                <w:szCs w:val="11"/>
                <w:shd w:val="clear" w:color="auto" w:fill="auto"/>
                <w:lang w:val="cs-CZ" w:eastAsia="cs-CZ" w:bidi="cs-CZ"/>
              </w:rPr>
              <w:t>Objem motoru</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2287 cm3</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both"/>
              <w:rPr>
                <w:sz w:val="11"/>
                <w:szCs w:val="11"/>
              </w:rPr>
            </w:pPr>
            <w:r>
              <w:rPr>
                <w:color w:val="020102"/>
                <w:spacing w:val="0"/>
                <w:w w:val="100"/>
                <w:position w:val="0"/>
                <w:sz w:val="11"/>
                <w:szCs w:val="11"/>
                <w:shd w:val="clear" w:color="auto" w:fill="auto"/>
                <w:lang w:val="cs-CZ" w:eastAsia="cs-CZ" w:bidi="cs-CZ"/>
              </w:rPr>
              <w:t>Pohon 4x2</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Palivo motorová nafta</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Celkový objem palivové nádrže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70 l</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Převodovka s manuálním řazením</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6 st.</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Minimální emisní limit ve výfukových plynech</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EURO 6</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Spotřeba nafty pro kombinovaný provoz</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8 l / 100km</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Manuální upozornění spuštění regenerace DPF</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gridSpan w:val="2"/>
            <w:tcBorders>
              <w:top w:val="single" w:sz="4"/>
              <w:left w:val="single" w:sz="4"/>
              <w:right w:val="single" w:sz="4"/>
            </w:tcBorders>
            <w:shd w:val="clear" w:color="auto" w:fill="E1EFD9"/>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Hmotnost vozidla</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Maximální přípustná hmotnost</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3500 kg</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Přípustné svislé zatížení tažného zařízení</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150 kg</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Maximální přípustné zatížení zadní nápravy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1900 kg</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Maximální přípustné zatížení přední nápravy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2240 kg</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Rozvor náprav</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3450 mm</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Užitečná hmotnost maximálního zatížení</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1090 kg</w:t>
            </w:r>
          </w:p>
        </w:tc>
      </w:tr>
      <w:tr>
        <w:trPr>
          <w:trHeight w:val="149" w:hRule="exact"/>
        </w:trPr>
        <w:tc>
          <w:tcPr>
            <w:gridSpan w:val="2"/>
            <w:tcBorders>
              <w:top w:val="single" w:sz="4"/>
              <w:left w:val="single" w:sz="4"/>
              <w:right w:val="single" w:sz="4"/>
            </w:tcBorders>
            <w:shd w:val="clear" w:color="auto" w:fill="E1EFD9"/>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Řízení a brzdová soustava</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Posilovač řízení</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Kotoučové brzdy na zadní přední nápravě</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Akustická signalizace zpětného chodu</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gridSpan w:val="2"/>
            <w:tcBorders>
              <w:top w:val="single" w:sz="4"/>
              <w:left w:val="single" w:sz="4"/>
              <w:right w:val="single" w:sz="4"/>
            </w:tcBorders>
            <w:shd w:val="clear" w:color="auto" w:fill="E1EFD9"/>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Asistenční systémy</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ESP</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ABS</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Asistent rozjezdu do kopce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gridSpan w:val="2"/>
            <w:tcBorders>
              <w:top w:val="single" w:sz="4"/>
              <w:left w:val="single" w:sz="4"/>
              <w:right w:val="single" w:sz="4"/>
            </w:tcBorders>
            <w:shd w:val="clear" w:color="auto" w:fill="E1EFD9"/>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Kabina a rozměry vozidla</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Počet míst sezení v kabině 2+4</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Elektrické ovládání oken řidiče v první řadě</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Okno v zadní stěně kabiny s výhledem na nástavbu</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Výškově nastavitelné sedadlo řidiče s loketní opěrkou.</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Opěrka hlavy pro řidiče a spolujezdce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Polohovatelný volant</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Airbag řidiče a spolujezdce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Boční dveře pro obě řady sedadel</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Zadní dveře umístěny z obou stran kabiny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Vyhřívaná venkovní zpětná zrcátka</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Ovládání venkovních zpětných zrcátek elektriky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Středové zpětné zrcátko v kabině řidiče zaclonitelné</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Autorádio s telefonním rozhraní Bluetooth</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Světla pro denní svícení</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Klimatizace ovládaná v prostor řidiče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39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64" w:lineRule="auto"/>
              <w:ind w:left="0" w:right="0" w:firstLine="0"/>
              <w:jc w:val="left"/>
              <w:rPr>
                <w:sz w:val="11"/>
                <w:szCs w:val="11"/>
              </w:rPr>
            </w:pPr>
            <w:r>
              <w:rPr>
                <w:color w:val="020102"/>
                <w:spacing w:val="0"/>
                <w:w w:val="100"/>
                <w:position w:val="0"/>
                <w:sz w:val="11"/>
                <w:szCs w:val="11"/>
                <w:shd w:val="clear" w:color="auto" w:fill="auto"/>
                <w:lang w:val="cs-CZ" w:eastAsia="cs-CZ" w:bidi="cs-CZ"/>
              </w:rPr>
              <w:t>Majáková LED rampa umístěna pevně na střeše oranž. ovládaná v prostoru řidiče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1089 mm</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Barva kabiny oranž. RAL 2011</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Reflexní polepy odrazivosti II. tř., červenobílé</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Výška majákové LED rampy oranžové barvy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80 mm</w:t>
            </w:r>
          </w:p>
        </w:tc>
      </w:tr>
      <w:tr>
        <w:trPr>
          <w:trHeight w:val="144" w:hRule="exact"/>
        </w:trPr>
        <w:tc>
          <w:tcPr>
            <w:gridSpan w:val="2"/>
            <w:tcBorders>
              <w:top w:val="single" w:sz="4"/>
              <w:left w:val="single" w:sz="4"/>
              <w:right w:val="single" w:sz="4"/>
            </w:tcBorders>
            <w:shd w:val="clear" w:color="auto" w:fill="E1EFD9"/>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Rozměry valníkové nástavby</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Vnější rozměry ložné délky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2700 mm</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Vnější rozměry ložné šířky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2040 mm</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Výška bočnice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400 mm</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Čelní bočnice, pevná</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400 mm</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Čelní bočnice prostavěná ochrannou mříží do výše kabiny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Do výše střechy kabiny (ochranný rám)</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Sklopné bočnice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Sklopné a výkyvné zadní čelo s sklopnou stupačkou</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Přední šroubované sloupky</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Zadní sloupky výsuvné se zajištěním</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gridSpan w:val="2"/>
            <w:tcBorders>
              <w:top w:val="single" w:sz="4"/>
              <w:left w:val="single" w:sz="4"/>
              <w:right w:val="single" w:sz="4"/>
            </w:tcBorders>
            <w:shd w:val="clear" w:color="auto" w:fill="E1EFD9"/>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Rám valníkové nástavby</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Rošt valníkové nástavby antikorozní úprava,pozink.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Ocelový svařenec</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Podlaha z voduvzdorné překližky - výška od 20 mm</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Bočnice ocelové</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Oka na podlaze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Počet párů ok na podlaze</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2 páry</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Tažné zařízení ISO 50 elektrické přípojky 12 V</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Centrální zamykání dálkově ovládané</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Zásuvka 12 V</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Přední a zadní lapače nečistot</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Zadní blatníky plastové nebo kovové</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plastové</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Potahy všech sedadel</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Gumové rohože na podlahu</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Sada zimních kol (disk + plášť)</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Plnohodnotné rezervní kolo</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Barva profilových bočnic nástavby AL</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293"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64" w:lineRule="auto"/>
              <w:ind w:left="0" w:right="0" w:firstLine="0"/>
              <w:jc w:val="left"/>
              <w:rPr>
                <w:sz w:val="11"/>
                <w:szCs w:val="11"/>
              </w:rPr>
            </w:pPr>
            <w:r>
              <w:rPr>
                <w:color w:val="020102"/>
                <w:spacing w:val="0"/>
                <w:w w:val="100"/>
                <w:position w:val="0"/>
                <w:sz w:val="11"/>
                <w:szCs w:val="11"/>
                <w:shd w:val="clear" w:color="auto" w:fill="auto"/>
                <w:lang w:val="cs-CZ" w:eastAsia="cs-CZ" w:bidi="cs-CZ"/>
              </w:rPr>
              <w:t>Reflexní polepy bíločervené diagonální na vnějších rozích valníkové nástavby odrazivost č. II</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293"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64" w:lineRule="auto"/>
              <w:ind w:left="0" w:right="0" w:firstLine="0"/>
              <w:jc w:val="left"/>
              <w:rPr>
                <w:sz w:val="11"/>
                <w:szCs w:val="11"/>
              </w:rPr>
            </w:pPr>
            <w:r>
              <w:rPr>
                <w:color w:val="020102"/>
                <w:spacing w:val="0"/>
                <w:w w:val="100"/>
                <w:position w:val="0"/>
                <w:sz w:val="11"/>
                <w:szCs w:val="11"/>
                <w:shd w:val="clear" w:color="auto" w:fill="auto"/>
                <w:lang w:val="cs-CZ" w:eastAsia="cs-CZ" w:bidi="cs-CZ"/>
              </w:rPr>
              <w:t>Montáž GPS dodané zadavatelem pro sledování polohy vozu (GPS od společnost PRINCIP a.s., IČO 41690311)</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Ocelové disky do 16"</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44"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Předání vozidla cms Telč</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r>
        <w:trPr>
          <w:trHeight w:val="149" w:hRule="exact"/>
        </w:trPr>
        <w:tc>
          <w:tcPr>
            <w:tcBorders>
              <w:top w:val="single" w:sz="4"/>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Návod k obsluze vozidla</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center"/>
              <w:rPr>
                <w:sz w:val="11"/>
                <w:szCs w:val="11"/>
              </w:rPr>
            </w:pPr>
            <w:r>
              <w:rPr>
                <w:color w:val="020102"/>
                <w:spacing w:val="0"/>
                <w:w w:val="100"/>
                <w:position w:val="0"/>
                <w:sz w:val="11"/>
                <w:szCs w:val="11"/>
                <w:shd w:val="clear" w:color="auto" w:fill="auto"/>
                <w:lang w:val="cs-CZ" w:eastAsia="cs-CZ" w:bidi="cs-CZ"/>
              </w:rPr>
              <w:t>ano</w:t>
            </w:r>
          </w:p>
        </w:tc>
      </w:tr>
      <w:tr>
        <w:trPr>
          <w:trHeight w:val="154" w:hRule="exact"/>
        </w:trPr>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1"/>
                <w:szCs w:val="11"/>
              </w:rPr>
            </w:pPr>
            <w:r>
              <w:rPr>
                <w:color w:val="020102"/>
                <w:spacing w:val="0"/>
                <w:w w:val="100"/>
                <w:position w:val="0"/>
                <w:sz w:val="11"/>
                <w:szCs w:val="11"/>
                <w:shd w:val="clear" w:color="auto" w:fill="auto"/>
                <w:lang w:val="cs-CZ" w:eastAsia="cs-CZ" w:bidi="cs-CZ"/>
              </w:rPr>
              <w:t>Zaškolení obsluhy při předání</w:t>
            </w:r>
          </w:p>
        </w:tc>
        <w:tc>
          <w:tcPr>
            <w:tcBorders>
              <w:top w:val="single" w:sz="4"/>
              <w:left w:val="single" w:sz="4"/>
              <w:bottom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both"/>
              <w:rPr>
                <w:sz w:val="11"/>
                <w:szCs w:val="11"/>
              </w:rPr>
            </w:pPr>
            <w:r>
              <w:rPr>
                <w:color w:val="020102"/>
                <w:spacing w:val="0"/>
                <w:w w:val="100"/>
                <w:position w:val="0"/>
                <w:sz w:val="11"/>
                <w:szCs w:val="11"/>
                <w:shd w:val="clear" w:color="auto" w:fill="auto"/>
                <w:lang w:val="cs-CZ" w:eastAsia="cs-CZ" w:bidi="cs-CZ"/>
              </w:rPr>
              <w:t>ano</w:t>
            </w:r>
          </w:p>
        </w:tc>
      </w:tr>
    </w:tbl>
    <w:sectPr>
      <w:footnotePr>
        <w:pos w:val="pageBottom"/>
        <w:numFmt w:val="decimal"/>
        <w:numRestart w:val="continuous"/>
      </w:footnotePr>
      <w:type w:val="continuous"/>
      <w:pgSz w:w="11900" w:h="16840"/>
      <w:pgMar w:top="1460" w:left="1335" w:right="1421" w:bottom="190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3444240</wp:posOffset>
              </wp:positionH>
              <wp:positionV relativeFrom="page">
                <wp:posOffset>9653270</wp:posOffset>
              </wp:positionV>
              <wp:extent cx="670560" cy="88265"/>
              <wp:wrapNone/>
              <wp:docPr id="4" name="Shape 4"/>
              <a:graphic xmlns:a="http://schemas.openxmlformats.org/drawingml/2006/main">
                <a:graphicData uri="http://schemas.microsoft.com/office/word/2010/wordprocessingShape">
                  <wps:wsp>
                    <wps:cNvSpPr txBox="1"/>
                    <wps:spPr>
                      <a:xfrm>
                        <a:ext cx="67056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0" type="#_x0000_t202" style="position:absolute;margin-left:271.19999999999999pt;margin-top:760.10000000000002pt;width:52.799999999999997pt;height:6.95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9603105</wp:posOffset>
              </wp:positionV>
              <wp:extent cx="5800090" cy="0"/>
              <wp:wrapNone/>
              <wp:docPr id="6" name="Shape 6"/>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56.14999999999998pt;width:456.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3444240</wp:posOffset>
              </wp:positionH>
              <wp:positionV relativeFrom="page">
                <wp:posOffset>9653270</wp:posOffset>
              </wp:positionV>
              <wp:extent cx="670560" cy="88265"/>
              <wp:wrapNone/>
              <wp:docPr id="10" name="Shape 10"/>
              <a:graphic xmlns:a="http://schemas.openxmlformats.org/drawingml/2006/main">
                <a:graphicData uri="http://schemas.microsoft.com/office/word/2010/wordprocessingShape">
                  <wps:wsp>
                    <wps:cNvSpPr txBox="1"/>
                    <wps:spPr>
                      <a:xfrm>
                        <a:ext cx="67056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6" type="#_x0000_t202" style="position:absolute;margin-left:271.19999999999999pt;margin-top:760.10000000000002pt;width:52.799999999999997pt;height:6.95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9603105</wp:posOffset>
              </wp:positionV>
              <wp:extent cx="5800090" cy="0"/>
              <wp:wrapNone/>
              <wp:docPr id="12" name="Shape 12"/>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56.14999999999998pt;width:456.6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3444240</wp:posOffset>
              </wp:positionH>
              <wp:positionV relativeFrom="page">
                <wp:posOffset>9653270</wp:posOffset>
              </wp:positionV>
              <wp:extent cx="670560" cy="88265"/>
              <wp:wrapNone/>
              <wp:docPr id="22" name="Shape 22"/>
              <a:graphic xmlns:a="http://schemas.openxmlformats.org/drawingml/2006/main">
                <a:graphicData uri="http://schemas.microsoft.com/office/word/2010/wordprocessingShape">
                  <wps:wsp>
                    <wps:cNvSpPr txBox="1"/>
                    <wps:spPr>
                      <a:xfrm>
                        <a:ext cx="67056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8" type="#_x0000_t202" style="position:absolute;margin-left:271.19999999999999pt;margin-top:760.10000000000002pt;width:52.799999999999997pt;height:6.9500000000000002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Calibri" w:eastAsia="Calibri" w:hAnsi="Calibri" w:cs="Calibri"/>
                        <w:b/>
                        <w:bCs/>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20"/>
                          <w:szCs w:val="20"/>
                          <w:shd w:val="clear" w:color="auto" w:fill="auto"/>
                          <w:lang w:val="cs-CZ" w:eastAsia="cs-CZ" w:bidi="cs-CZ"/>
                        </w:rPr>
                        <w:t>#</w:t>
                      </w:r>
                    </w:fldSimple>
                    <w:r>
                      <w:rPr>
                        <w:rFonts w:ascii="Calibri" w:eastAsia="Calibri" w:hAnsi="Calibri" w:cs="Calibri"/>
                        <w:b/>
                        <w:bCs/>
                        <w:color w:val="000000"/>
                        <w:spacing w:val="0"/>
                        <w:w w:val="100"/>
                        <w:position w:val="0"/>
                        <w:sz w:val="20"/>
                        <w:szCs w:val="20"/>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878205</wp:posOffset>
              </wp:positionH>
              <wp:positionV relativeFrom="page">
                <wp:posOffset>9603105</wp:posOffset>
              </wp:positionV>
              <wp:extent cx="5800090" cy="0"/>
              <wp:wrapNone/>
              <wp:docPr id="24" name="Shape 24"/>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150000000000006pt;margin-top:756.14999999999998pt;width:456.6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899160</wp:posOffset>
              </wp:positionH>
              <wp:positionV relativeFrom="page">
                <wp:posOffset>442595</wp:posOffset>
              </wp:positionV>
              <wp:extent cx="3706495" cy="405130"/>
              <wp:wrapNone/>
              <wp:docPr id="1" name="Shape 1"/>
              <a:graphic xmlns:a="http://schemas.openxmlformats.org/drawingml/2006/main">
                <a:graphicData uri="http://schemas.microsoft.com/office/word/2010/wordprocessingShape">
                  <wps:wsp>
                    <wps:cNvSpPr txBox="1"/>
                    <wps:spPr>
                      <a:xfrm>
                        <a:ext cx="3706495" cy="405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Dodávka technologických vozidel do 3,5 t a nad 5 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Část 1 Dodávka technologického vozidla do 3,5t s double kabinou</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 valníkovou nástavbou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799999999999997pt;margin-top:34.850000000000001pt;width:291.85000000000002pt;height:31.89999999999999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Dodávka technologických vozidel do 3,5 t a nad 5 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Část 1 Dodávka technologického vozidla do 3,5t s double kabinou</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 valníkovou nástavbou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829310</wp:posOffset>
              </wp:positionH>
              <wp:positionV relativeFrom="page">
                <wp:posOffset>892175</wp:posOffset>
              </wp:positionV>
              <wp:extent cx="5763895" cy="0"/>
              <wp:wrapNone/>
              <wp:docPr id="3" name="Shape 3"/>
              <a:graphic xmlns:a="http://schemas.openxmlformats.org/drawingml/2006/main">
                <a:graphicData uri="http://schemas.microsoft.com/office/word/2010/wordprocessingShape">
                  <wps:wsp>
                    <wps:cNvCnPr/>
                    <wps:spPr>
                      <a:xfrm>
                        <a:ext cx="5763895" cy="0"/>
                      </a:xfrm>
                      <a:prstGeom prst="straightConnector1"/>
                      <a:ln w="12700">
                        <a:solidFill/>
                      </a:ln>
                    </wps:spPr>
                    <wps:bodyPr/>
                  </wps:wsp>
                </a:graphicData>
              </a:graphic>
            </wp:anchor>
          </w:drawing>
        </mc:Choice>
        <mc:Fallback>
          <w:pict>
            <v:shape o:spt="32" o:oned="true" path="m,l21600,21600e" style="position:absolute;margin-left:65.299999999999997pt;margin-top:70.25pt;width:453.85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899160</wp:posOffset>
              </wp:positionH>
              <wp:positionV relativeFrom="page">
                <wp:posOffset>442595</wp:posOffset>
              </wp:positionV>
              <wp:extent cx="3706495" cy="405130"/>
              <wp:wrapNone/>
              <wp:docPr id="7" name="Shape 7"/>
              <a:graphic xmlns:a="http://schemas.openxmlformats.org/drawingml/2006/main">
                <a:graphicData uri="http://schemas.microsoft.com/office/word/2010/wordprocessingShape">
                  <wps:wsp>
                    <wps:cNvSpPr txBox="1"/>
                    <wps:spPr>
                      <a:xfrm>
                        <a:ext cx="3706495" cy="405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Dodávka technologických vozidel do 3,5 t a nad 5 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Část 1 Dodávka technologického vozidla do 3,5t s double kabinou</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 valníkovou nástavbou</w:t>
                          </w:r>
                        </w:p>
                      </w:txbxContent>
                    </wps:txbx>
                    <wps:bodyPr wrap="none" lIns="0" tIns="0" rIns="0" bIns="0">
                      <a:spAutoFit/>
                    </wps:bodyPr>
                  </wps:wsp>
                </a:graphicData>
              </a:graphic>
            </wp:anchor>
          </w:drawing>
        </mc:Choice>
        <mc:Fallback>
          <w:pict>
            <v:shape id="_x0000_s1033" type="#_x0000_t202" style="position:absolute;margin-left:70.799999999999997pt;margin-top:34.850000000000001pt;width:291.85000000000002pt;height:31.89999999999999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Dodávka technologických vozidel do 3,5 t a nad 5 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Část 1 Dodávka technologického vozidla do 3,5t s double kabinou</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 valníkovou nástavbou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829310</wp:posOffset>
              </wp:positionH>
              <wp:positionV relativeFrom="page">
                <wp:posOffset>892175</wp:posOffset>
              </wp:positionV>
              <wp:extent cx="5763895" cy="0"/>
              <wp:wrapNone/>
              <wp:docPr id="9" name="Shape 9"/>
              <a:graphic xmlns:a="http://schemas.openxmlformats.org/drawingml/2006/main">
                <a:graphicData uri="http://schemas.microsoft.com/office/word/2010/wordprocessingShape">
                  <wps:wsp>
                    <wps:cNvCnPr/>
                    <wps:spPr>
                      <a:xfrm>
                        <a:ext cx="5763895" cy="0"/>
                      </a:xfrm>
                      <a:prstGeom prst="straightConnector1"/>
                      <a:ln w="12700">
                        <a:solidFill/>
                      </a:ln>
                    </wps:spPr>
                    <wps:bodyPr/>
                  </wps:wsp>
                </a:graphicData>
              </a:graphic>
            </wp:anchor>
          </w:drawing>
        </mc:Choice>
        <mc:Fallback>
          <w:pict>
            <v:shape o:spt="32" o:oned="true" path="m,l21600,21600e" style="position:absolute;margin-left:65.299999999999997pt;margin-top:70.25pt;width:453.85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899160</wp:posOffset>
              </wp:positionH>
              <wp:positionV relativeFrom="page">
                <wp:posOffset>442595</wp:posOffset>
              </wp:positionV>
              <wp:extent cx="3706495" cy="405130"/>
              <wp:wrapNone/>
              <wp:docPr id="19" name="Shape 19"/>
              <a:graphic xmlns:a="http://schemas.openxmlformats.org/drawingml/2006/main">
                <a:graphicData uri="http://schemas.microsoft.com/office/word/2010/wordprocessingShape">
                  <wps:wsp>
                    <wps:cNvSpPr txBox="1"/>
                    <wps:spPr>
                      <a:xfrm>
                        <a:ext cx="3706495" cy="4051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Dodávka technologických vozidel do 3,5 t a nad 5 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Část 1 Dodávka technologického vozidla do 3,5t s double kabinou</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 valníkovou nástavbou</w:t>
                          </w:r>
                        </w:p>
                      </w:txbxContent>
                    </wps:txbx>
                    <wps:bodyPr wrap="none" lIns="0" tIns="0" rIns="0" bIns="0">
                      <a:spAutoFit/>
                    </wps:bodyPr>
                  </wps:wsp>
                </a:graphicData>
              </a:graphic>
            </wp:anchor>
          </w:drawing>
        </mc:Choice>
        <mc:Fallback>
          <w:pict>
            <v:shape id="_x0000_s1045" type="#_x0000_t202" style="position:absolute;margin-left:70.799999999999997pt;margin-top:34.850000000000001pt;width:291.85000000000002pt;height:31.899999999999999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Dodávka technologických vozidel do 3,5 t a nad 5 t</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Část 1 Dodávka technologického vozidla do 3,5t s double kabinou</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 valníkovou nástavbou</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829310</wp:posOffset>
              </wp:positionH>
              <wp:positionV relativeFrom="page">
                <wp:posOffset>892175</wp:posOffset>
              </wp:positionV>
              <wp:extent cx="5763895" cy="0"/>
              <wp:wrapNone/>
              <wp:docPr id="21" name="Shape 21"/>
              <a:graphic xmlns:a="http://schemas.openxmlformats.org/drawingml/2006/main">
                <a:graphicData uri="http://schemas.microsoft.com/office/word/2010/wordprocessingShape">
                  <wps:wsp>
                    <wps:cNvCnPr/>
                    <wps:spPr>
                      <a:xfrm>
                        <a:ext cx="5763895" cy="0"/>
                      </a:xfrm>
                      <a:prstGeom prst="straightConnector1"/>
                      <a:ln w="12700">
                        <a:solidFill/>
                      </a:ln>
                    </wps:spPr>
                    <wps:bodyPr/>
                  </wps:wsp>
                </a:graphicData>
              </a:graphic>
            </wp:anchor>
          </w:drawing>
        </mc:Choice>
        <mc:Fallback>
          <w:pict>
            <v:shape o:spt="32" o:oned="true" path="m,l21600,21600e" style="position:absolute;margin-left:65.299999999999997pt;margin-top:70.25pt;width:453.85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6.%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7.%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8.%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9.%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0.%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1.%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2.%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3.%1."/>
      <w:rPr>
        <w:rFonts w:ascii="Arial" w:eastAsia="Arial" w:hAnsi="Arial" w:cs="Arial"/>
        <w:b/>
        <w:bCs/>
        <w:i w:val="0"/>
        <w:iCs w:val="0"/>
        <w:smallCaps w:val="0"/>
        <w:strike w:val="0"/>
        <w:color w:val="231E2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color w:val="231E20"/>
      <w:sz w:val="20"/>
      <w:szCs w:val="20"/>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color w:val="231E2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7">
    <w:name w:val="Nadpis #1_"/>
    <w:basedOn w:val="DefaultParagraphFont"/>
    <w:link w:val="Style16"/>
    <w:rPr>
      <w:rFonts w:ascii="Arial" w:eastAsia="Arial" w:hAnsi="Arial" w:cs="Arial"/>
      <w:b/>
      <w:bCs/>
      <w:i w:val="0"/>
      <w:iCs w:val="0"/>
      <w:smallCaps w:val="0"/>
      <w:strike w:val="0"/>
      <w:color w:val="231E20"/>
      <w:sz w:val="20"/>
      <w:szCs w:val="20"/>
      <w:u w:val="none"/>
    </w:rPr>
  </w:style>
  <w:style w:type="paragraph" w:customStyle="1" w:styleId="Style2">
    <w:name w:val="Základní text"/>
    <w:basedOn w:val="Normal"/>
    <w:link w:val="CharStyle3"/>
    <w:pPr>
      <w:widowControl w:val="0"/>
      <w:shd w:val="clear" w:color="auto" w:fill="FFFFFF"/>
      <w:spacing w:after="100"/>
    </w:pPr>
    <w:rPr>
      <w:rFonts w:ascii="Arial" w:eastAsia="Arial" w:hAnsi="Arial" w:cs="Arial"/>
      <w:b w:val="0"/>
      <w:bCs w:val="0"/>
      <w:i w:val="0"/>
      <w:iCs w:val="0"/>
      <w:smallCaps w:val="0"/>
      <w:strike w:val="0"/>
      <w:color w:val="231E20"/>
      <w:sz w:val="20"/>
      <w:szCs w:val="20"/>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after="100"/>
    </w:pPr>
    <w:rPr>
      <w:rFonts w:ascii="Arial" w:eastAsia="Arial" w:hAnsi="Arial" w:cs="Arial"/>
      <w:b w:val="0"/>
      <w:bCs w:val="0"/>
      <w:i w:val="0"/>
      <w:iCs w:val="0"/>
      <w:smallCaps w:val="0"/>
      <w:strike w:val="0"/>
      <w:color w:val="231E20"/>
      <w:sz w:val="20"/>
      <w:szCs w:val="20"/>
      <w:u w:val="none"/>
    </w:rPr>
  </w:style>
  <w:style w:type="paragraph" w:customStyle="1" w:styleId="Style12">
    <w:name w:val="Titulek tabulky"/>
    <w:basedOn w:val="Normal"/>
    <w:link w:val="CharStyle13"/>
    <w:pPr>
      <w:widowControl w:val="0"/>
      <w:shd w:val="clear" w:color="auto" w:fill="FFFFFF"/>
      <w:spacing w:line="415" w:lineRule="auto"/>
    </w:pPr>
    <w:rPr>
      <w:rFonts w:ascii="Arial" w:eastAsia="Arial" w:hAnsi="Arial" w:cs="Arial"/>
      <w:b w:val="0"/>
      <w:bCs w:val="0"/>
      <w:i w:val="0"/>
      <w:iCs w:val="0"/>
      <w:smallCaps w:val="0"/>
      <w:strike w:val="0"/>
      <w:sz w:val="20"/>
      <w:szCs w:val="20"/>
      <w:u w:val="none"/>
    </w:rPr>
  </w:style>
  <w:style w:type="paragraph" w:customStyle="1" w:styleId="Style16">
    <w:name w:val="Nadpis #1"/>
    <w:basedOn w:val="Normal"/>
    <w:link w:val="CharStyle17"/>
    <w:pPr>
      <w:widowControl w:val="0"/>
      <w:shd w:val="clear" w:color="auto" w:fill="FFFFFF"/>
      <w:spacing w:after="120"/>
      <w:jc w:val="center"/>
      <w:outlineLvl w:val="0"/>
    </w:pPr>
    <w:rPr>
      <w:rFonts w:ascii="Arial" w:eastAsia="Arial" w:hAnsi="Arial" w:cs="Arial"/>
      <w:b/>
      <w:bCs/>
      <w:i w:val="0"/>
      <w:iCs w:val="0"/>
      <w:smallCaps w:val="0"/>
      <w:strike w:val="0"/>
      <w:color w:val="231E2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O1 Návrh kupní smlouvy pro část 1</dc:title>
  <dc:subject/>
  <dc:creator>labik</dc:creator>
  <cp:keywords/>
</cp:coreProperties>
</file>