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71DAD" w14:textId="77777777" w:rsidR="00AF21A1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Arial" w:eastAsia="Arial" w:hAnsi="Arial" w:cs="Arial"/>
          <w:b/>
          <w:smallCaps/>
          <w:color w:val="000000"/>
          <w:sz w:val="30"/>
          <w:szCs w:val="30"/>
          <w:u w:val="single"/>
        </w:rPr>
      </w:pPr>
      <w:r>
        <w:rPr>
          <w:rFonts w:ascii="Arial" w:eastAsia="Arial" w:hAnsi="Arial" w:cs="Arial"/>
          <w:b/>
          <w:smallCaps/>
          <w:color w:val="000000"/>
          <w:sz w:val="30"/>
          <w:szCs w:val="30"/>
          <w:u w:val="single"/>
        </w:rPr>
        <w:t>SMLOUVA O PODNÁJMU PROSTOR GALERIE VE VĚŽI ZA ÚČELEM PROVOZOVÁNÍ KAVÁRNY A ZAJIŠTĚNÍ OSTRAHY VYSTAVENÝCH UMĚLECKÝCH DĚL</w:t>
      </w:r>
    </w:p>
    <w:p w14:paraId="08BA4354" w14:textId="77777777" w:rsidR="00AF21A1" w:rsidRDefault="00AF2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smallCaps/>
          <w:color w:val="000000"/>
        </w:rPr>
      </w:pPr>
    </w:p>
    <w:p w14:paraId="6CB599F2" w14:textId="4F075E98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 xml:space="preserve">Mělnické kulturní centrum, </w:t>
      </w:r>
      <w:proofErr w:type="spellStart"/>
      <w:r w:rsidR="00233DBD" w:rsidRPr="00D11AFF">
        <w:rPr>
          <w:rFonts w:ascii="Arial" w:eastAsia="Arial" w:hAnsi="Arial" w:cs="Arial"/>
          <w:b/>
          <w:color w:val="000000"/>
          <w:sz w:val="24"/>
          <w:szCs w:val="24"/>
        </w:rPr>
        <w:t>z.ú</w:t>
      </w:r>
      <w:proofErr w:type="spellEnd"/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p w14:paraId="0DDFCE1B" w14:textId="26A4DBC9" w:rsidR="00AF21A1" w:rsidRPr="00D11AFF" w:rsidRDefault="00A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sídlo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>: U Sadů 323, 276 01 Mělník</w:t>
      </w:r>
    </w:p>
    <w:p w14:paraId="5DF29894" w14:textId="77777777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IČ: 24210137, DIČ:CZ24210137</w:t>
      </w:r>
    </w:p>
    <w:p w14:paraId="0BA32899" w14:textId="77777777" w:rsidR="003B51ED" w:rsidRPr="00D11AFF" w:rsidRDefault="003B51ED" w:rsidP="003B51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zapsaná v rejstříku obecně prospěšných společností vedeném Městským soudem v Praze oddíl O, vložka 874</w:t>
      </w:r>
    </w:p>
    <w:p w14:paraId="3ED45D80" w14:textId="56BDAD7C" w:rsidR="00AF21A1" w:rsidRPr="00D11AFF" w:rsidRDefault="00174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zastoupen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>ý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: Ing. Radk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>ou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 w:rsidRPr="00D11AFF">
        <w:rPr>
          <w:rFonts w:ascii="Arial" w:eastAsia="Arial" w:hAnsi="Arial" w:cs="Arial"/>
          <w:color w:val="000000"/>
          <w:sz w:val="24"/>
          <w:szCs w:val="24"/>
        </w:rPr>
        <w:t>Kareisov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>ou</w:t>
      </w:r>
      <w:proofErr w:type="spellEnd"/>
      <w:r w:rsidRPr="00D11AFF">
        <w:rPr>
          <w:rFonts w:ascii="Arial" w:eastAsia="Arial" w:hAnsi="Arial" w:cs="Arial"/>
          <w:color w:val="000000"/>
          <w:sz w:val="24"/>
          <w:szCs w:val="24"/>
        </w:rPr>
        <w:t>, ředitelk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>ou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413DB60" w14:textId="58081B23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bankovní spojení: </w:t>
      </w:r>
    </w:p>
    <w:p w14:paraId="169F2C0C" w14:textId="52C2CF97" w:rsidR="004D4473" w:rsidRPr="00D11AFF" w:rsidRDefault="004D44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kontaktní </w:t>
      </w:r>
      <w:proofErr w:type="gramStart"/>
      <w:r w:rsidRPr="00D11AFF">
        <w:rPr>
          <w:rFonts w:ascii="Arial" w:eastAsia="Arial" w:hAnsi="Arial" w:cs="Arial"/>
          <w:color w:val="000000"/>
          <w:sz w:val="24"/>
          <w:szCs w:val="24"/>
        </w:rPr>
        <w:t>osoba:</w:t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   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D11AFF">
        <w:rPr>
          <w:rFonts w:ascii="Arial" w:hAnsi="Arial" w:cs="Arial"/>
          <w:sz w:val="24"/>
          <w:szCs w:val="24"/>
        </w:rPr>
        <w:sym w:font="Wingdings" w:char="F02A"/>
      </w:r>
      <w:r w:rsidRPr="00D11AFF">
        <w:rPr>
          <w:rFonts w:ascii="Arial" w:hAnsi="Arial" w:cs="Arial"/>
          <w:sz w:val="24"/>
          <w:szCs w:val="24"/>
        </w:rPr>
        <w:t xml:space="preserve"> </w:t>
      </w:r>
      <w:r w:rsidR="00B10559">
        <w:rPr>
          <w:rFonts w:ascii="Arial" w:hAnsi="Arial" w:cs="Arial"/>
          <w:sz w:val="24"/>
          <w:szCs w:val="24"/>
        </w:rPr>
        <w:t xml:space="preserve">                          </w:t>
      </w:r>
      <w:r w:rsidRPr="00D11AFF">
        <w:rPr>
          <w:rFonts w:ascii="Arial" w:hAnsi="Arial" w:cs="Arial"/>
          <w:sz w:val="24"/>
          <w:szCs w:val="24"/>
        </w:rPr>
        <w:t>,</w:t>
      </w:r>
      <w:proofErr w:type="gramEnd"/>
      <w:r w:rsidRPr="00D11AFF">
        <w:rPr>
          <w:rFonts w:ascii="Arial" w:hAnsi="Arial" w:cs="Arial"/>
          <w:sz w:val="24"/>
          <w:szCs w:val="24"/>
        </w:rPr>
        <w:t xml:space="preserve"> </w:t>
      </w:r>
      <w:r w:rsidRPr="00D11AFF">
        <w:rPr>
          <w:rFonts w:ascii="Wingdings 3" w:hAnsi="Wingdings 3" w:cs="Arial"/>
          <w:kern w:val="21"/>
          <w:sz w:val="24"/>
          <w:szCs w:val="24"/>
        </w:rPr>
        <w:sym w:font="Wingdings 2" w:char="F027"/>
      </w:r>
      <w:r w:rsidRPr="00D11AFF">
        <w:rPr>
          <w:rFonts w:ascii="Arial" w:hAnsi="Arial" w:cs="Arial"/>
          <w:sz w:val="24"/>
          <w:szCs w:val="24"/>
        </w:rPr>
        <w:t xml:space="preserve"> </w:t>
      </w:r>
    </w:p>
    <w:p w14:paraId="38D3F6F3" w14:textId="77777777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Times New Roman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(dále jen </w:t>
      </w: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„nájemce“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36B59288" w14:textId="77777777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a</w:t>
      </w:r>
    </w:p>
    <w:p w14:paraId="781132EA" w14:textId="77777777" w:rsidR="00A848D9" w:rsidRPr="00D11AFF" w:rsidRDefault="00A848D9" w:rsidP="00A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Because</w:t>
      </w:r>
      <w:proofErr w:type="spellEnd"/>
      <w:r w:rsidRPr="00D11AFF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Coffee</w:t>
      </w:r>
      <w:proofErr w:type="spellEnd"/>
      <w:r w:rsidRPr="00D11AFF">
        <w:rPr>
          <w:rFonts w:ascii="Arial" w:eastAsia="Arial" w:hAnsi="Arial" w:cs="Arial"/>
          <w:b/>
          <w:color w:val="000000"/>
          <w:sz w:val="24"/>
          <w:szCs w:val="24"/>
        </w:rPr>
        <w:t xml:space="preserve"> s.r.o.</w:t>
      </w:r>
    </w:p>
    <w:p w14:paraId="0CE2352A" w14:textId="74569BE3" w:rsidR="00A848D9" w:rsidRPr="00D11AFF" w:rsidRDefault="00A848D9" w:rsidP="00A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sídlo: náměstí Přátelství 1518/4, Hostivař, 102 00 Praha 10</w:t>
      </w:r>
    </w:p>
    <w:p w14:paraId="52539195" w14:textId="7A0404BD" w:rsidR="00A848D9" w:rsidRPr="00D11AFF" w:rsidRDefault="00A848D9" w:rsidP="00A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IČ: 05394694,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DIČ: CZ05394694</w:t>
      </w:r>
    </w:p>
    <w:p w14:paraId="7D8E62CA" w14:textId="4AF3F179" w:rsidR="00A848D9" w:rsidRPr="00D11AFF" w:rsidRDefault="00A848D9" w:rsidP="00A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D11AFF">
        <w:rPr>
          <w:rFonts w:ascii="Arial" w:eastAsia="Arial" w:hAnsi="Arial" w:cs="Arial"/>
          <w:color w:val="000000"/>
          <w:sz w:val="24"/>
          <w:szCs w:val="24"/>
        </w:rPr>
        <w:t>zastoupená</w:t>
      </w:r>
      <w:r w:rsidR="0017434C" w:rsidRPr="00D11AFF">
        <w:rPr>
          <w:rFonts w:ascii="Arial" w:eastAsia="Arial" w:hAnsi="Arial" w:cs="Arial"/>
          <w:color w:val="000000"/>
          <w:sz w:val="24"/>
          <w:szCs w:val="24"/>
        </w:rPr>
        <w:t>:</w:t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         </w:t>
      </w:r>
      <w:r w:rsidR="0017434C" w:rsidRPr="00D11AFF">
        <w:rPr>
          <w:rFonts w:ascii="Arial" w:eastAsia="Arial" w:hAnsi="Arial" w:cs="Arial"/>
          <w:color w:val="000000"/>
          <w:sz w:val="24"/>
          <w:szCs w:val="24"/>
        </w:rPr>
        <w:t>, jednatel</w:t>
      </w:r>
      <w:proofErr w:type="gramEnd"/>
      <w:r w:rsidR="0017434C" w:rsidRPr="00D11AFF">
        <w:rPr>
          <w:rFonts w:ascii="Arial" w:eastAsia="Arial" w:hAnsi="Arial" w:cs="Arial"/>
          <w:color w:val="000000"/>
          <w:sz w:val="24"/>
          <w:szCs w:val="24"/>
        </w:rPr>
        <w:t xml:space="preserve"> společnosti</w:t>
      </w:r>
    </w:p>
    <w:p w14:paraId="1A6EA0D2" w14:textId="21323160" w:rsidR="008F65FA" w:rsidRPr="00D11AFF" w:rsidRDefault="008F65FA" w:rsidP="00A848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kontakt: </w:t>
      </w:r>
      <w:r w:rsidR="004D4473" w:rsidRPr="00D11AFF">
        <w:rPr>
          <w:rFonts w:ascii="Arial" w:hAnsi="Arial" w:cs="Arial"/>
          <w:sz w:val="24"/>
          <w:szCs w:val="24"/>
        </w:rPr>
        <w:sym w:font="Wingdings" w:char="F02A"/>
      </w:r>
      <w:r w:rsidR="00B10559">
        <w:rPr>
          <w:rFonts w:ascii="Arial" w:hAnsi="Arial" w:cs="Arial"/>
          <w:sz w:val="24"/>
          <w:szCs w:val="24"/>
        </w:rPr>
        <w:t xml:space="preserve">                         </w:t>
      </w:r>
      <w:r w:rsidR="004D4473" w:rsidRPr="00D11AFF">
        <w:rPr>
          <w:rFonts w:ascii="Arial" w:hAnsi="Arial" w:cs="Arial"/>
          <w:sz w:val="24"/>
          <w:szCs w:val="24"/>
        </w:rPr>
        <w:t xml:space="preserve">, </w:t>
      </w:r>
      <w:r w:rsidR="004D4473" w:rsidRPr="00D11AFF">
        <w:rPr>
          <w:rFonts w:ascii="Wingdings 3" w:hAnsi="Wingdings 3" w:cs="Arial"/>
          <w:kern w:val="21"/>
          <w:sz w:val="24"/>
          <w:szCs w:val="24"/>
        </w:rPr>
        <w:sym w:font="Wingdings 2" w:char="F027"/>
      </w:r>
      <w:r w:rsidR="004D4473" w:rsidRPr="00D11AFF">
        <w:rPr>
          <w:rFonts w:ascii="Arial" w:hAnsi="Arial" w:cs="Arial"/>
          <w:sz w:val="24"/>
          <w:szCs w:val="24"/>
        </w:rPr>
        <w:t xml:space="preserve"> </w:t>
      </w:r>
    </w:p>
    <w:p w14:paraId="1EEB9E50" w14:textId="1A6290A4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(dále jen </w:t>
      </w: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„podnájemce“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)</w:t>
      </w:r>
    </w:p>
    <w:p w14:paraId="50252021" w14:textId="77777777" w:rsidR="00AF21A1" w:rsidRPr="00D11AFF" w:rsidRDefault="00AF21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3B4E6D40" w14:textId="0743BDC3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uzavírají níže uvedeného dne, měsíce a roku dle platných zákonů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 xml:space="preserve"> ČR tuto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ná</w:t>
      </w:r>
      <w:r w:rsidR="00233DBD" w:rsidRPr="00D11AFF">
        <w:rPr>
          <w:rFonts w:ascii="Arial" w:eastAsia="Arial" w:hAnsi="Arial" w:cs="Arial"/>
          <w:color w:val="000000"/>
          <w:sz w:val="24"/>
          <w:szCs w:val="24"/>
        </w:rPr>
        <w:t>jemní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smlouvu </w:t>
      </w:r>
    </w:p>
    <w:p w14:paraId="4AC2133B" w14:textId="77777777" w:rsidR="00AF21A1" w:rsidRPr="00D11AFF" w:rsidRDefault="00961F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2689641" w14:textId="77777777" w:rsidR="00AF21A1" w:rsidRPr="00D11AFF" w:rsidRDefault="00961FB8" w:rsidP="00A90C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61" w:hangingChars="193" w:hanging="46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Předmět a účel smlouvy</w:t>
      </w:r>
    </w:p>
    <w:p w14:paraId="5158EA98" w14:textId="77777777" w:rsidR="00AF21A1" w:rsidRPr="00D11AFF" w:rsidRDefault="00AF21A1" w:rsidP="00A90C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61" w:hangingChars="193" w:hanging="463"/>
        <w:rPr>
          <w:rFonts w:ascii="Arial" w:eastAsia="Arial" w:hAnsi="Arial" w:cs="Arial"/>
          <w:color w:val="000000"/>
          <w:sz w:val="24"/>
          <w:szCs w:val="24"/>
        </w:rPr>
      </w:pPr>
    </w:p>
    <w:p w14:paraId="01B4A160" w14:textId="0259B8A4" w:rsidR="003238D3" w:rsidRPr="00D11AFF" w:rsidRDefault="00961FB8" w:rsidP="003238D3">
      <w:pPr>
        <w:pStyle w:val="Normlnweb"/>
        <w:numPr>
          <w:ilvl w:val="0"/>
          <w:numId w:val="10"/>
        </w:numPr>
        <w:suppressAutoHyphens w:val="0"/>
        <w:spacing w:before="0" w:beforeAutospacing="0" w:after="0" w:afterAutospacing="0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11AFF">
        <w:rPr>
          <w:rFonts w:ascii="Arial" w:eastAsia="Arial" w:hAnsi="Arial" w:cs="Arial"/>
          <w:color w:val="000000"/>
        </w:rPr>
        <w:t>Nájemce spravuje budovu Pražské brány, ulice 5. května, Mělník</w:t>
      </w:r>
      <w:r w:rsidR="00BE4542">
        <w:rPr>
          <w:rFonts w:ascii="Arial" w:eastAsia="Arial" w:hAnsi="Arial" w:cs="Arial"/>
          <w:color w:val="000000"/>
        </w:rPr>
        <w:t>, ve které provozuje galerii Ve Věži (dále jen galerie)</w:t>
      </w:r>
      <w:r w:rsidRPr="00D11AFF">
        <w:rPr>
          <w:rFonts w:ascii="Arial" w:eastAsia="Arial" w:hAnsi="Arial" w:cs="Arial"/>
          <w:color w:val="000000"/>
        </w:rPr>
        <w:t>. Vlastníkem nemovitosti je město Mělník, které nájemci budovu pronajímá. Nájemce je oprávněn pronajaté prostory užívat a poskytnout je dále do podnájmu</w:t>
      </w:r>
      <w:r w:rsidR="003238D3" w:rsidRPr="00D11AFF">
        <w:rPr>
          <w:rFonts w:ascii="Arial" w:eastAsia="Arial" w:hAnsi="Arial" w:cs="Arial"/>
          <w:color w:val="000000"/>
        </w:rPr>
        <w:t xml:space="preserve">. </w:t>
      </w:r>
      <w:r w:rsidR="003238D3" w:rsidRPr="00D11AFF">
        <w:rPr>
          <w:rFonts w:ascii="Arial" w:hAnsi="Arial" w:cs="Arial"/>
        </w:rPr>
        <w:t xml:space="preserve">K tomu je nájemce oprávněn na základě nájemní smlouvy mezi městem Mělníkem a nájemcem. </w:t>
      </w:r>
    </w:p>
    <w:p w14:paraId="06857E19" w14:textId="1507FAB2" w:rsidR="003238D3" w:rsidRPr="00D11AFF" w:rsidRDefault="00961FB8" w:rsidP="003238D3">
      <w:pPr>
        <w:pStyle w:val="Normlnweb"/>
        <w:numPr>
          <w:ilvl w:val="0"/>
          <w:numId w:val="10"/>
        </w:numPr>
        <w:suppressAutoHyphens w:val="0"/>
        <w:spacing w:before="0" w:beforeAutospacing="0" w:after="0" w:afterAutospacing="0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11AFF">
        <w:rPr>
          <w:rFonts w:ascii="Arial" w:eastAsia="Arial" w:hAnsi="Arial" w:cs="Arial"/>
          <w:color w:val="000000"/>
        </w:rPr>
        <w:t>Předmětem smlouvy je podnájem prostor p</w:t>
      </w:r>
      <w:r w:rsidR="00BE4542">
        <w:rPr>
          <w:rFonts w:ascii="Arial" w:eastAsia="Arial" w:hAnsi="Arial" w:cs="Arial"/>
          <w:color w:val="000000"/>
        </w:rPr>
        <w:t>rvního, druhého a třetího patra galerie</w:t>
      </w:r>
      <w:r w:rsidRPr="00D11AFF">
        <w:rPr>
          <w:rFonts w:ascii="Arial" w:eastAsia="Arial" w:hAnsi="Arial" w:cs="Arial"/>
          <w:color w:val="000000"/>
        </w:rPr>
        <w:t>, včetně toalety pro personál v prvním patře</w:t>
      </w:r>
      <w:r w:rsidR="006A673C" w:rsidRPr="00D11AFF">
        <w:rPr>
          <w:rFonts w:ascii="Arial" w:eastAsia="Arial" w:hAnsi="Arial" w:cs="Arial"/>
          <w:color w:val="000000"/>
        </w:rPr>
        <w:t>, toalety pro veřejnost v pátém</w:t>
      </w:r>
      <w:r w:rsidR="0017434C" w:rsidRPr="00D11AFF">
        <w:rPr>
          <w:rFonts w:ascii="Arial" w:eastAsia="Arial" w:hAnsi="Arial" w:cs="Arial"/>
          <w:color w:val="000000"/>
        </w:rPr>
        <w:t xml:space="preserve"> patře</w:t>
      </w:r>
      <w:r w:rsidRPr="00D11AFF">
        <w:rPr>
          <w:rFonts w:ascii="Arial" w:eastAsia="Arial" w:hAnsi="Arial" w:cs="Arial"/>
          <w:color w:val="000000"/>
        </w:rPr>
        <w:t xml:space="preserve"> a uzamykatelné místnosti (skladu) ve čtvrtém patře</w:t>
      </w:r>
      <w:r w:rsidR="008F65FA" w:rsidRPr="00D11AFF">
        <w:rPr>
          <w:rFonts w:ascii="Arial" w:eastAsia="Arial" w:hAnsi="Arial" w:cs="Arial"/>
          <w:color w:val="000000"/>
        </w:rPr>
        <w:t xml:space="preserve"> (dále jen </w:t>
      </w:r>
      <w:r w:rsidR="008F65FA" w:rsidRPr="00D11AFF">
        <w:rPr>
          <w:rFonts w:ascii="Arial" w:eastAsia="Arial" w:hAnsi="Arial" w:cs="Arial"/>
          <w:b/>
          <w:bCs/>
          <w:color w:val="000000"/>
        </w:rPr>
        <w:t>„prostory“</w:t>
      </w:r>
      <w:r w:rsidR="00BE4542">
        <w:rPr>
          <w:rFonts w:ascii="Arial" w:eastAsia="Arial" w:hAnsi="Arial" w:cs="Arial"/>
          <w:color w:val="000000"/>
        </w:rPr>
        <w:t>)</w:t>
      </w:r>
      <w:r w:rsidRPr="00D11AFF">
        <w:rPr>
          <w:rFonts w:ascii="Arial" w:eastAsia="Arial" w:hAnsi="Arial" w:cs="Arial"/>
          <w:color w:val="000000"/>
        </w:rPr>
        <w:t xml:space="preserve">, za účelem provozování kavárny pod názvem </w:t>
      </w:r>
      <w:r w:rsidR="0017434C" w:rsidRPr="00D11AFF">
        <w:rPr>
          <w:rFonts w:ascii="Arial" w:eastAsia="Arial" w:hAnsi="Arial" w:cs="Arial"/>
          <w:b/>
          <w:color w:val="000000"/>
        </w:rPr>
        <w:t>Kafé věž</w:t>
      </w:r>
      <w:r w:rsidR="00EC1A42" w:rsidRPr="00D11AFF">
        <w:rPr>
          <w:rFonts w:ascii="Arial" w:eastAsia="Arial" w:hAnsi="Arial" w:cs="Arial"/>
          <w:b/>
          <w:color w:val="000000"/>
        </w:rPr>
        <w:t xml:space="preserve"> </w:t>
      </w:r>
      <w:r w:rsidR="00EC1A42" w:rsidRPr="00D11AFF">
        <w:rPr>
          <w:rFonts w:ascii="Arial" w:eastAsia="Arial" w:hAnsi="Arial" w:cs="Arial"/>
          <w:bCs/>
          <w:color w:val="000000"/>
        </w:rPr>
        <w:t xml:space="preserve">(dále jen </w:t>
      </w:r>
      <w:r w:rsidR="00EC1A42" w:rsidRPr="00D11AFF">
        <w:rPr>
          <w:rFonts w:ascii="Arial" w:eastAsia="Arial" w:hAnsi="Arial" w:cs="Arial"/>
          <w:b/>
          <w:color w:val="000000"/>
        </w:rPr>
        <w:t>„předmět podnájmu“</w:t>
      </w:r>
      <w:r w:rsidR="00EC1A42" w:rsidRPr="00D11AFF">
        <w:rPr>
          <w:rFonts w:ascii="Arial" w:eastAsia="Arial" w:hAnsi="Arial" w:cs="Arial"/>
          <w:bCs/>
          <w:color w:val="000000"/>
        </w:rPr>
        <w:t>)</w:t>
      </w:r>
      <w:r w:rsidRPr="00D11AFF">
        <w:rPr>
          <w:rFonts w:ascii="Arial" w:eastAsia="Arial" w:hAnsi="Arial" w:cs="Arial"/>
          <w:color w:val="000000"/>
        </w:rPr>
        <w:t>.  Poskytnuté služby zahrnují kromě podnájmu také dodávky vody a elektrické energie, kte</w:t>
      </w:r>
      <w:r w:rsidR="0017434C" w:rsidRPr="00D11AFF">
        <w:rPr>
          <w:rFonts w:ascii="Arial" w:eastAsia="Arial" w:hAnsi="Arial" w:cs="Arial"/>
          <w:color w:val="000000"/>
        </w:rPr>
        <w:t>rá slouží i k vytápění</w:t>
      </w:r>
      <w:r w:rsidRPr="00D11AFF">
        <w:rPr>
          <w:rFonts w:ascii="Arial" w:eastAsia="Arial" w:hAnsi="Arial" w:cs="Arial"/>
          <w:color w:val="000000"/>
        </w:rPr>
        <w:t xml:space="preserve">. Zároveň nájemce umožní podnájemci užívat pro potřeby kavárny </w:t>
      </w:r>
      <w:r w:rsidR="0017434C" w:rsidRPr="00D11AFF">
        <w:rPr>
          <w:rFonts w:ascii="Arial" w:eastAsia="Arial" w:hAnsi="Arial" w:cs="Arial"/>
          <w:color w:val="000000"/>
        </w:rPr>
        <w:t xml:space="preserve">majetek a </w:t>
      </w:r>
      <w:r w:rsidRPr="00D11AFF">
        <w:rPr>
          <w:rFonts w:ascii="Arial" w:eastAsia="Arial" w:hAnsi="Arial" w:cs="Arial"/>
          <w:color w:val="000000"/>
        </w:rPr>
        <w:t>mobiliář v majetku nájemce a města Mělník. Jedná se pře</w:t>
      </w:r>
      <w:r w:rsidR="0017434C" w:rsidRPr="00D11AFF">
        <w:rPr>
          <w:rFonts w:ascii="Arial" w:eastAsia="Arial" w:hAnsi="Arial" w:cs="Arial"/>
          <w:color w:val="000000"/>
        </w:rPr>
        <w:t xml:space="preserve">devším o stůl ve třetím patře, </w:t>
      </w:r>
      <w:r w:rsidRPr="00D11AFF">
        <w:rPr>
          <w:rFonts w:ascii="Arial" w:eastAsia="Arial" w:hAnsi="Arial" w:cs="Arial"/>
          <w:color w:val="000000"/>
        </w:rPr>
        <w:t>ruční výtah sloužící k obsluze hostů</w:t>
      </w:r>
      <w:r w:rsidR="0017434C" w:rsidRPr="00D11AFF">
        <w:rPr>
          <w:rFonts w:ascii="Arial" w:eastAsia="Arial" w:hAnsi="Arial" w:cs="Arial"/>
          <w:color w:val="000000"/>
        </w:rPr>
        <w:t>, monitor sloužící k ostraze objektu</w:t>
      </w:r>
      <w:r w:rsidR="006A673C" w:rsidRPr="00D11AFF">
        <w:rPr>
          <w:rFonts w:ascii="Arial" w:eastAsia="Arial" w:hAnsi="Arial" w:cs="Arial"/>
          <w:color w:val="000000"/>
        </w:rPr>
        <w:t>, popelnice</w:t>
      </w:r>
      <w:r w:rsidRPr="00D11AFF">
        <w:rPr>
          <w:rFonts w:ascii="Arial" w:eastAsia="Arial" w:hAnsi="Arial" w:cs="Arial"/>
          <w:color w:val="000000"/>
        </w:rPr>
        <w:t xml:space="preserve">. </w:t>
      </w:r>
    </w:p>
    <w:p w14:paraId="45C612E2" w14:textId="2E14E642" w:rsidR="00AF21A1" w:rsidRPr="00D11AFF" w:rsidRDefault="00961FB8" w:rsidP="003238D3">
      <w:pPr>
        <w:pStyle w:val="Normlnweb"/>
        <w:numPr>
          <w:ilvl w:val="0"/>
          <w:numId w:val="10"/>
        </w:numPr>
        <w:suppressAutoHyphens w:val="0"/>
        <w:spacing w:before="0" w:beforeAutospacing="0" w:after="0" w:afterAutospacing="0" w:line="276" w:lineRule="auto"/>
        <w:ind w:leftChars="0" w:left="426" w:firstLineChars="0" w:hanging="426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D11AFF">
        <w:rPr>
          <w:rFonts w:ascii="Arial" w:eastAsia="Arial" w:hAnsi="Arial" w:cs="Arial"/>
          <w:color w:val="000000"/>
        </w:rPr>
        <w:t xml:space="preserve">Předmětem smlouvy je </w:t>
      </w:r>
      <w:r w:rsidR="00BE4542">
        <w:rPr>
          <w:rFonts w:ascii="Arial" w:eastAsia="Arial" w:hAnsi="Arial" w:cs="Arial"/>
          <w:color w:val="000000"/>
        </w:rPr>
        <w:t>rovněž</w:t>
      </w:r>
      <w:r w:rsidR="00324DB0" w:rsidRPr="00D11AFF">
        <w:rPr>
          <w:rFonts w:ascii="Arial" w:eastAsia="Arial" w:hAnsi="Arial" w:cs="Arial"/>
          <w:color w:val="000000"/>
        </w:rPr>
        <w:t xml:space="preserve"> bezplatné</w:t>
      </w:r>
      <w:r w:rsidRPr="00D11AFF">
        <w:rPr>
          <w:rFonts w:ascii="Arial" w:eastAsia="Arial" w:hAnsi="Arial" w:cs="Arial"/>
          <w:color w:val="000000"/>
        </w:rPr>
        <w:t xml:space="preserve"> zajištění ostrahy vystavených exponátů</w:t>
      </w:r>
      <w:r w:rsidR="00324DB0" w:rsidRPr="00D11AFF">
        <w:rPr>
          <w:rFonts w:ascii="Arial" w:eastAsia="Arial" w:hAnsi="Arial" w:cs="Arial"/>
          <w:color w:val="000000"/>
        </w:rPr>
        <w:t>, umístěných</w:t>
      </w:r>
      <w:r w:rsidRPr="00D11AFF">
        <w:rPr>
          <w:rFonts w:ascii="Arial" w:eastAsia="Arial" w:hAnsi="Arial" w:cs="Arial"/>
          <w:color w:val="000000"/>
        </w:rPr>
        <w:t xml:space="preserve"> ve všech prostorách</w:t>
      </w:r>
      <w:r w:rsidR="00982499" w:rsidRPr="00D11AFF">
        <w:rPr>
          <w:rFonts w:ascii="Arial" w:eastAsia="Arial" w:hAnsi="Arial" w:cs="Arial"/>
          <w:color w:val="000000"/>
        </w:rPr>
        <w:t xml:space="preserve"> budovy</w:t>
      </w:r>
      <w:r w:rsidRPr="00D11AFF">
        <w:rPr>
          <w:rFonts w:ascii="Arial" w:eastAsia="Arial" w:hAnsi="Arial" w:cs="Arial"/>
          <w:color w:val="000000"/>
        </w:rPr>
        <w:t xml:space="preserve"> </w:t>
      </w:r>
      <w:r w:rsidR="00637CD7" w:rsidRPr="00D11AFF">
        <w:rPr>
          <w:rFonts w:ascii="Arial" w:eastAsia="Arial" w:hAnsi="Arial" w:cs="Arial"/>
          <w:color w:val="000000"/>
        </w:rPr>
        <w:t>Pražsk</w:t>
      </w:r>
      <w:r w:rsidR="00053D1F" w:rsidRPr="00D11AFF">
        <w:rPr>
          <w:rFonts w:ascii="Arial" w:eastAsia="Arial" w:hAnsi="Arial" w:cs="Arial"/>
          <w:color w:val="000000"/>
        </w:rPr>
        <w:t>á</w:t>
      </w:r>
      <w:r w:rsidR="00637CD7" w:rsidRPr="00D11AFF">
        <w:rPr>
          <w:rFonts w:ascii="Arial" w:eastAsia="Arial" w:hAnsi="Arial" w:cs="Arial"/>
          <w:color w:val="000000"/>
        </w:rPr>
        <w:t xml:space="preserve"> brán</w:t>
      </w:r>
      <w:r w:rsidR="00053D1F" w:rsidRPr="00D11AFF">
        <w:rPr>
          <w:rFonts w:ascii="Arial" w:eastAsia="Arial" w:hAnsi="Arial" w:cs="Arial"/>
          <w:color w:val="000000"/>
        </w:rPr>
        <w:t>a</w:t>
      </w:r>
      <w:r w:rsidR="00BE4542">
        <w:rPr>
          <w:rFonts w:ascii="Arial" w:eastAsia="Arial" w:hAnsi="Arial" w:cs="Arial"/>
          <w:color w:val="000000"/>
        </w:rPr>
        <w:t xml:space="preserve"> ze strany podnájemce</w:t>
      </w:r>
      <w:r w:rsidR="00982499" w:rsidRPr="00D11AFF">
        <w:rPr>
          <w:rFonts w:ascii="Arial" w:eastAsia="Arial" w:hAnsi="Arial" w:cs="Arial"/>
          <w:color w:val="000000"/>
        </w:rPr>
        <w:t>. Závazek podnájemce k bezplatnému zajištění ostra</w:t>
      </w:r>
      <w:r w:rsidR="00BE4542">
        <w:rPr>
          <w:rFonts w:ascii="Arial" w:eastAsia="Arial" w:hAnsi="Arial" w:cs="Arial"/>
          <w:color w:val="000000"/>
        </w:rPr>
        <w:t xml:space="preserve">hy vystavených exponátů </w:t>
      </w:r>
      <w:r w:rsidR="00982499" w:rsidRPr="00D11AFF">
        <w:rPr>
          <w:rFonts w:ascii="Arial" w:eastAsia="Arial" w:hAnsi="Arial" w:cs="Arial"/>
          <w:color w:val="000000"/>
        </w:rPr>
        <w:t xml:space="preserve">zahrnuje </w:t>
      </w:r>
      <w:r w:rsidR="00BE4542">
        <w:rPr>
          <w:rFonts w:ascii="Arial" w:eastAsia="Arial" w:hAnsi="Arial" w:cs="Arial"/>
          <w:color w:val="000000"/>
        </w:rPr>
        <w:t xml:space="preserve">zejména </w:t>
      </w:r>
      <w:r w:rsidR="00982499" w:rsidRPr="00D11AFF">
        <w:rPr>
          <w:rFonts w:ascii="Arial" w:eastAsia="Arial" w:hAnsi="Arial" w:cs="Arial"/>
          <w:color w:val="000000"/>
        </w:rPr>
        <w:t>povinnost každé ráno před otevřením a každý večer po uzavření kavárny fyzicky zkontrolovat všechny vystavené exponáty a dále během otevírací doby průběžně monitorovat vystavené exponáty prostřednictvím kamerového systému. Za tím účelem nájemce předá podnájemci seznam vystavených exponátů, včetně fotodokumentace</w:t>
      </w:r>
      <w:r w:rsidR="00053D1F" w:rsidRPr="00D11AFF">
        <w:rPr>
          <w:rFonts w:ascii="Arial" w:eastAsia="Arial" w:hAnsi="Arial" w:cs="Arial"/>
          <w:color w:val="000000"/>
        </w:rPr>
        <w:t>, a to před započetím podnájmu a před zahájením každé nové výstavy.</w:t>
      </w:r>
    </w:p>
    <w:p w14:paraId="5ACF4756" w14:textId="77777777" w:rsidR="00AF21A1" w:rsidRPr="00D11AFF" w:rsidRDefault="00AF21A1" w:rsidP="003238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CF082E9" w14:textId="1807D656" w:rsidR="00AF21A1" w:rsidRPr="00D11AFF" w:rsidRDefault="00961FB8" w:rsidP="003238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Platební podmínky</w:t>
      </w:r>
    </w:p>
    <w:p w14:paraId="11DB083A" w14:textId="77777777" w:rsidR="00AF21A1" w:rsidRPr="00D11AFF" w:rsidRDefault="00AF21A1" w:rsidP="003238D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rPr>
          <w:rFonts w:ascii="Arial" w:eastAsia="Arial" w:hAnsi="Arial" w:cs="Arial"/>
          <w:color w:val="000000"/>
          <w:sz w:val="24"/>
          <w:szCs w:val="24"/>
        </w:rPr>
      </w:pPr>
    </w:p>
    <w:p w14:paraId="52EDAE05" w14:textId="60CA45F3" w:rsidR="00A90C2F" w:rsidRPr="00BE4542" w:rsidRDefault="00EC1A42" w:rsidP="003238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E4542">
        <w:rPr>
          <w:rFonts w:ascii="Arial" w:eastAsia="Arial" w:hAnsi="Arial" w:cs="Arial"/>
          <w:color w:val="000000"/>
          <w:sz w:val="24"/>
          <w:szCs w:val="24"/>
        </w:rPr>
        <w:t xml:space="preserve">Podnájemce se zavazuje zaplatit měsíční nájemné za užívání předmětu podnájmu a za poskytnuté služby spojené s užíváním předmětu podnájmu ve výši </w:t>
      </w:r>
      <w:r w:rsidR="00BE4542">
        <w:rPr>
          <w:rFonts w:ascii="Arial" w:eastAsia="Arial" w:hAnsi="Arial" w:cs="Arial"/>
          <w:b/>
          <w:bCs/>
          <w:color w:val="000000"/>
          <w:sz w:val="24"/>
          <w:szCs w:val="24"/>
        </w:rPr>
        <w:t>7</w:t>
      </w:r>
      <w:r w:rsidRPr="00BE4542">
        <w:rPr>
          <w:rFonts w:ascii="Arial" w:eastAsia="Arial" w:hAnsi="Arial" w:cs="Arial"/>
          <w:b/>
          <w:bCs/>
          <w:color w:val="000000"/>
          <w:sz w:val="24"/>
          <w:szCs w:val="24"/>
        </w:rPr>
        <w:t>000 Kč</w:t>
      </w:r>
      <w:r w:rsidR="00BE454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BE4542" w:rsidRPr="00BE4542">
        <w:rPr>
          <w:rFonts w:ascii="Arial" w:eastAsia="Arial" w:hAnsi="Arial" w:cs="Arial"/>
          <w:bCs/>
          <w:color w:val="000000"/>
          <w:sz w:val="24"/>
          <w:szCs w:val="24"/>
        </w:rPr>
        <w:t>za jede</w:t>
      </w:r>
      <w:r w:rsidR="00BE4542">
        <w:rPr>
          <w:rFonts w:ascii="Arial" w:eastAsia="Arial" w:hAnsi="Arial" w:cs="Arial"/>
          <w:bCs/>
          <w:color w:val="000000"/>
          <w:sz w:val="24"/>
          <w:szCs w:val="24"/>
        </w:rPr>
        <w:t>n</w:t>
      </w:r>
      <w:r w:rsidR="00BE4542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BE4542" w:rsidRPr="00BE4542">
        <w:rPr>
          <w:rFonts w:ascii="Arial" w:eastAsia="Arial" w:hAnsi="Arial" w:cs="Arial"/>
          <w:bCs/>
          <w:color w:val="000000"/>
          <w:sz w:val="24"/>
          <w:szCs w:val="24"/>
        </w:rPr>
        <w:t>měsíc</w:t>
      </w:r>
      <w:r w:rsidRPr="00BE4542"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 w:rsidR="00BA3A98" w:rsidRPr="00BE4542">
        <w:rPr>
          <w:rFonts w:ascii="Arial" w:eastAsia="Arial" w:hAnsi="Arial" w:cs="Arial"/>
          <w:color w:val="000000"/>
          <w:sz w:val="24"/>
          <w:szCs w:val="24"/>
        </w:rPr>
        <w:t xml:space="preserve">tj. leden – prosinec). Nájemné je osvobozeno od DPH podle </w:t>
      </w:r>
      <w:r w:rsidR="00BA3A98" w:rsidRPr="00BE4542">
        <w:rPr>
          <w:rFonts w:ascii="Arial" w:hAnsi="Arial" w:cs="Arial"/>
          <w:color w:val="000000"/>
          <w:sz w:val="24"/>
          <w:szCs w:val="24"/>
        </w:rPr>
        <w:t>§ 56 a zákona č. 235/2004 Sb. o dani z přidané hodnoty.</w:t>
      </w:r>
    </w:p>
    <w:p w14:paraId="31FABBF0" w14:textId="74C6D269" w:rsidR="00BA3A98" w:rsidRPr="00BE4542" w:rsidRDefault="00BA3A98" w:rsidP="008F6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E4542">
        <w:rPr>
          <w:rFonts w:ascii="Arial" w:hAnsi="Arial" w:cs="Arial"/>
          <w:color w:val="000000"/>
          <w:sz w:val="24"/>
          <w:szCs w:val="24"/>
        </w:rPr>
        <w:t xml:space="preserve">Nájemné za podnájem a za poskytnuté služby je splatné bezhotovostním převodem na základě nájemcem </w:t>
      </w:r>
      <w:r w:rsidRPr="00BE4542">
        <w:rPr>
          <w:rFonts w:ascii="Arial" w:hAnsi="Arial" w:cs="Arial"/>
          <w:color w:val="000000"/>
          <w:sz w:val="24"/>
          <w:szCs w:val="24"/>
          <w:u w:val="single"/>
        </w:rPr>
        <w:t>vystavené faktury a to čtvrtletně tj. do 30. března, 30. června, 30. září a 10. prosince 2023.</w:t>
      </w:r>
      <w:r w:rsidRPr="00BE454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A50F8B0" w14:textId="3BC16EB0" w:rsidR="008F65FA" w:rsidRPr="00BE4542" w:rsidRDefault="008F65FA" w:rsidP="008F65FA">
      <w:pPr>
        <w:numPr>
          <w:ilvl w:val="0"/>
          <w:numId w:val="1"/>
        </w:numPr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E4542">
        <w:rPr>
          <w:rFonts w:ascii="Arial" w:eastAsia="Arial" w:hAnsi="Arial" w:cs="Arial"/>
          <w:sz w:val="24"/>
          <w:szCs w:val="24"/>
        </w:rPr>
        <w:t>V případě, že podnájemce nemůže využívat předmět nájmu, z důvodu vyšší moci nebo z důvodu překážek na straně nájemc</w:t>
      </w:r>
      <w:r w:rsidR="00BE4542">
        <w:rPr>
          <w:rFonts w:ascii="Arial" w:eastAsia="Arial" w:hAnsi="Arial" w:cs="Arial"/>
          <w:sz w:val="24"/>
          <w:szCs w:val="24"/>
        </w:rPr>
        <w:t>e (stavební práce apod.), které trvají déle</w:t>
      </w:r>
      <w:r w:rsidRPr="00BE4542">
        <w:rPr>
          <w:rFonts w:ascii="Arial" w:eastAsia="Arial" w:hAnsi="Arial" w:cs="Arial"/>
          <w:sz w:val="24"/>
          <w:szCs w:val="24"/>
        </w:rPr>
        <w:t xml:space="preserve"> než 3 dny, dochází ke kompenzaci nájemného ve výši 80 % z průměrného denního nájmu.</w:t>
      </w:r>
    </w:p>
    <w:p w14:paraId="0339CE63" w14:textId="31891A14" w:rsidR="00A90C2F" w:rsidRPr="00BE4542" w:rsidRDefault="007E2F34" w:rsidP="008F65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sz w:val="24"/>
          <w:szCs w:val="24"/>
        </w:rPr>
        <w:t xml:space="preserve">Smluvní strany se </w:t>
      </w:r>
      <w:r w:rsidR="00053D1F" w:rsidRPr="00D11AFF">
        <w:rPr>
          <w:rFonts w:ascii="Arial" w:eastAsia="Arial" w:hAnsi="Arial" w:cs="Arial"/>
          <w:sz w:val="24"/>
          <w:szCs w:val="24"/>
        </w:rPr>
        <w:t xml:space="preserve">dále </w:t>
      </w:r>
      <w:r w:rsidRPr="00D11AFF">
        <w:rPr>
          <w:rFonts w:ascii="Arial" w:eastAsia="Arial" w:hAnsi="Arial" w:cs="Arial"/>
          <w:sz w:val="24"/>
          <w:szCs w:val="24"/>
        </w:rPr>
        <w:t>dohodly, že v</w:t>
      </w:r>
      <w:r w:rsidR="00A90C2F" w:rsidRPr="00D11AFF">
        <w:rPr>
          <w:rFonts w:ascii="Arial" w:eastAsia="Arial" w:hAnsi="Arial" w:cs="Arial"/>
          <w:sz w:val="24"/>
          <w:szCs w:val="24"/>
        </w:rPr>
        <w:t> případě</w:t>
      </w:r>
      <w:r w:rsidRPr="00D11AFF">
        <w:rPr>
          <w:rFonts w:ascii="Arial" w:eastAsia="Arial" w:hAnsi="Arial" w:cs="Arial"/>
          <w:sz w:val="24"/>
          <w:szCs w:val="24"/>
        </w:rPr>
        <w:t xml:space="preserve"> nemožnosti užívání předmětu nájmu</w:t>
      </w:r>
      <w:r w:rsidR="00A90C2F" w:rsidRPr="00D11AFF">
        <w:rPr>
          <w:rFonts w:ascii="Arial" w:eastAsia="Arial" w:hAnsi="Arial" w:cs="Arial"/>
          <w:sz w:val="24"/>
          <w:szCs w:val="24"/>
        </w:rPr>
        <w:t xml:space="preserve"> podnájemce</w:t>
      </w:r>
      <w:r w:rsidRPr="00D11AFF">
        <w:rPr>
          <w:rFonts w:ascii="Arial" w:eastAsia="Arial" w:hAnsi="Arial" w:cs="Arial"/>
          <w:sz w:val="24"/>
          <w:szCs w:val="24"/>
        </w:rPr>
        <w:t>m</w:t>
      </w:r>
      <w:r w:rsidR="00A90C2F" w:rsidRPr="00D11AFF">
        <w:rPr>
          <w:rFonts w:ascii="Arial" w:eastAsia="Arial" w:hAnsi="Arial" w:cs="Arial"/>
          <w:sz w:val="24"/>
          <w:szCs w:val="24"/>
        </w:rPr>
        <w:t xml:space="preserve"> z důvodu vyšší moci nebo z důvodu překážek na straně nájemce (stavební práce ap</w:t>
      </w:r>
      <w:r w:rsidR="00EA2E58" w:rsidRPr="00D11AFF">
        <w:rPr>
          <w:rFonts w:ascii="Arial" w:eastAsia="Arial" w:hAnsi="Arial" w:cs="Arial"/>
          <w:sz w:val="24"/>
          <w:szCs w:val="24"/>
        </w:rPr>
        <w:t>od.)</w:t>
      </w:r>
      <w:r w:rsidRPr="00D11AFF">
        <w:rPr>
          <w:rFonts w:ascii="Arial" w:eastAsia="Arial" w:hAnsi="Arial" w:cs="Arial"/>
          <w:sz w:val="24"/>
          <w:szCs w:val="24"/>
        </w:rPr>
        <w:t>, podnájemce</w:t>
      </w:r>
      <w:r w:rsidR="00EA2E58" w:rsidRPr="00D11AFF">
        <w:rPr>
          <w:rFonts w:ascii="Arial" w:eastAsia="Arial" w:hAnsi="Arial" w:cs="Arial"/>
          <w:sz w:val="24"/>
          <w:szCs w:val="24"/>
        </w:rPr>
        <w:t xml:space="preserve"> ne</w:t>
      </w:r>
      <w:r w:rsidRPr="00D11AFF">
        <w:rPr>
          <w:rFonts w:ascii="Arial" w:eastAsia="Arial" w:hAnsi="Arial" w:cs="Arial"/>
          <w:sz w:val="24"/>
          <w:szCs w:val="24"/>
        </w:rPr>
        <w:t>bude uplatňovat vůči nájemci žádné nároky z titulu náhrady jakékoli majetkové či nemajetkové újmy či ušlého zisku</w:t>
      </w:r>
      <w:r w:rsidR="00EA2E58" w:rsidRPr="00D11AFF">
        <w:rPr>
          <w:rFonts w:ascii="Arial" w:eastAsia="Arial" w:hAnsi="Arial" w:cs="Arial"/>
          <w:sz w:val="24"/>
          <w:szCs w:val="24"/>
        </w:rPr>
        <w:t xml:space="preserve">.  </w:t>
      </w:r>
    </w:p>
    <w:p w14:paraId="5FF04D70" w14:textId="471009F0" w:rsidR="00A90C2F" w:rsidRDefault="00BE4542" w:rsidP="000443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E4542">
        <w:rPr>
          <w:rFonts w:ascii="Arial" w:hAnsi="Arial" w:cs="Arial"/>
          <w:color w:val="000000"/>
          <w:sz w:val="24"/>
          <w:szCs w:val="24"/>
        </w:rPr>
        <w:t>Nájemce si vyhrazuje právo po dohodě s podnáje</w:t>
      </w:r>
      <w:r>
        <w:rPr>
          <w:rFonts w:ascii="Arial" w:hAnsi="Arial" w:cs="Arial"/>
          <w:color w:val="000000"/>
          <w:sz w:val="24"/>
          <w:szCs w:val="24"/>
        </w:rPr>
        <w:t>mcem výši platby paušálu zvýšit</w:t>
      </w:r>
      <w:r w:rsidRPr="00BE4542">
        <w:rPr>
          <w:rFonts w:ascii="Arial" w:hAnsi="Arial" w:cs="Arial"/>
          <w:color w:val="000000"/>
          <w:sz w:val="24"/>
          <w:szCs w:val="24"/>
        </w:rPr>
        <w:t xml:space="preserve"> dle měsíčních, čtvrtletních a ročních vyúčtování energií a vody.</w:t>
      </w:r>
      <w:r>
        <w:rPr>
          <w:rFonts w:ascii="Arial" w:hAnsi="Arial" w:cs="Arial"/>
          <w:color w:val="000000"/>
          <w:sz w:val="24"/>
          <w:szCs w:val="24"/>
        </w:rPr>
        <w:t xml:space="preserve"> Nájemné uvedené v odstavci 1 vychází z cen energií a vody v druhém pololetí roku 2022 a počítá s mírou inflace v témže období. </w:t>
      </w:r>
    </w:p>
    <w:p w14:paraId="4D5A1354" w14:textId="77777777" w:rsidR="0004435A" w:rsidRPr="0004435A" w:rsidRDefault="0004435A" w:rsidP="000443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63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A3CDE4E" w14:textId="77777777" w:rsidR="00AF21A1" w:rsidRPr="00D11AFF" w:rsidRDefault="00961FB8" w:rsidP="00EF3A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Doba nájmu</w:t>
      </w:r>
    </w:p>
    <w:p w14:paraId="5C290F0E" w14:textId="77777777" w:rsidR="00AF21A1" w:rsidRPr="00D11AFF" w:rsidRDefault="00AF21A1" w:rsidP="00EF3A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rPr>
          <w:rFonts w:ascii="Arial" w:eastAsia="Arial" w:hAnsi="Arial" w:cs="Arial"/>
          <w:sz w:val="24"/>
          <w:szCs w:val="24"/>
        </w:rPr>
      </w:pPr>
    </w:p>
    <w:p w14:paraId="2E33792F" w14:textId="364590BC" w:rsidR="00AF21A1" w:rsidRPr="00D11AFF" w:rsidRDefault="00BE4542" w:rsidP="00EF3A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Nájem se uzavírá na dobu</w:t>
      </w:r>
      <w:r w:rsidR="003C2D6F"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 xml:space="preserve">jednoho roku, </w:t>
      </w:r>
      <w:r w:rsidR="00D046C4" w:rsidRPr="00D11AFF">
        <w:rPr>
          <w:rFonts w:ascii="Arial" w:eastAsia="Arial" w:hAnsi="Arial" w:cs="Arial"/>
          <w:color w:val="000000"/>
          <w:sz w:val="24"/>
          <w:szCs w:val="24"/>
        </w:rPr>
        <w:t>s účinností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F4DAC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od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1</w:t>
      </w:r>
      <w:r w:rsidR="00BF4DAC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. ledna do </w:t>
      </w:r>
      <w:r w:rsidR="008F65FA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>31</w:t>
      </w:r>
      <w:r w:rsidR="00BF4DAC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. </w:t>
      </w:r>
      <w:r w:rsidR="008F65FA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>prosince</w:t>
      </w:r>
      <w:r w:rsidR="00961FB8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202</w:t>
      </w:r>
      <w:r w:rsidR="00BF4DAC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>3</w:t>
      </w:r>
      <w:r w:rsidR="00961FB8" w:rsidRPr="00D11AFF">
        <w:rPr>
          <w:rFonts w:ascii="Arial" w:eastAsia="Arial" w:hAnsi="Arial" w:cs="Arial"/>
          <w:color w:val="000000"/>
          <w:sz w:val="24"/>
          <w:szCs w:val="24"/>
          <w:u w:val="single"/>
        </w:rPr>
        <w:t>.</w:t>
      </w:r>
    </w:p>
    <w:p w14:paraId="07BCC589" w14:textId="77777777" w:rsidR="00AF21A1" w:rsidRPr="00D11AFF" w:rsidRDefault="00AF21A1" w:rsidP="00EF3A1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CB741A" w14:textId="0E0FC429" w:rsidR="00EF3A1A" w:rsidRDefault="00961FB8" w:rsidP="000443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Práva a povinnosti nájemce</w:t>
      </w:r>
    </w:p>
    <w:p w14:paraId="0DE51BCF" w14:textId="77777777" w:rsidR="0004435A" w:rsidRPr="0004435A" w:rsidRDefault="0004435A" w:rsidP="0004435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818A22" w14:textId="267A8D8E" w:rsidR="00EF3A1A" w:rsidRDefault="004D4473" w:rsidP="00EF3A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>Za nájemce v souvislosti s předmětem podnájmu jedná</w:t>
      </w:r>
      <w:r w:rsidR="00BE4542" w:rsidRP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="00BE4542" w:rsidRPr="00EF3A1A">
        <w:rPr>
          <w:rFonts w:ascii="Arial" w:eastAsia="Arial" w:hAnsi="Arial" w:cs="Arial"/>
          <w:color w:val="000000"/>
          <w:sz w:val="24"/>
          <w:szCs w:val="24"/>
        </w:rPr>
        <w:t>především</w:t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   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sym w:font="Wingdings 2" w:char="F027"/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sym w:font="Wingdings" w:char="F02A"/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       </w:t>
      </w:r>
      <w:r w:rsidR="00BE4542" w:rsidRPr="00EF3A1A">
        <w:rPr>
          <w:rFonts w:ascii="Arial" w:eastAsia="Arial" w:hAnsi="Arial" w:cs="Arial"/>
          <w:color w:val="000000"/>
          <w:sz w:val="24"/>
          <w:szCs w:val="24"/>
        </w:rPr>
        <w:t>a správce</w:t>
      </w:r>
      <w:proofErr w:type="gramEnd"/>
      <w:r w:rsidR="00BE4542" w:rsidRPr="00EF3A1A">
        <w:rPr>
          <w:rFonts w:ascii="Arial" w:eastAsia="Arial" w:hAnsi="Arial" w:cs="Arial"/>
          <w:color w:val="000000"/>
          <w:sz w:val="24"/>
          <w:szCs w:val="24"/>
        </w:rPr>
        <w:t xml:space="preserve"> budov pan</w:t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</w:t>
      </w:r>
      <w:r w:rsidR="00BE4542" w:rsidRPr="00EF3A1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BE4542" w:rsidRPr="00EF3A1A">
        <w:rPr>
          <w:rFonts w:ascii="Arial" w:eastAsia="Arial" w:hAnsi="Arial" w:cs="Arial"/>
          <w:color w:val="000000"/>
          <w:sz w:val="24"/>
          <w:szCs w:val="24"/>
        </w:rPr>
        <w:sym w:font="Wingdings 2" w:char="F027"/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    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sym w:font="Wingdings" w:char="F02A"/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9E51618" w14:textId="072AFEE7" w:rsidR="00AF21A1" w:rsidRPr="00EF3A1A" w:rsidRDefault="00961FB8" w:rsidP="00EF3A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>Nájemce se zavazuj</w:t>
      </w:r>
      <w:r w:rsidR="00BF4DAC" w:rsidRPr="00EF3A1A">
        <w:rPr>
          <w:rFonts w:ascii="Arial" w:eastAsia="Arial" w:hAnsi="Arial" w:cs="Arial"/>
          <w:color w:val="000000"/>
          <w:sz w:val="24"/>
          <w:szCs w:val="24"/>
        </w:rPr>
        <w:t xml:space="preserve">e přenechat podnájemci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prostory ve stavu způsobilém </w:t>
      </w:r>
      <w:r w:rsidR="008F65FA" w:rsidRPr="00EF3A1A">
        <w:rPr>
          <w:rFonts w:ascii="Arial" w:eastAsia="Arial" w:hAnsi="Arial" w:cs="Arial"/>
          <w:color w:val="000000"/>
          <w:sz w:val="24"/>
          <w:szCs w:val="24"/>
        </w:rPr>
        <w:t>pro jejich užití v souladu s účelem stanoveným touto smlouvou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48D683F" w14:textId="7F038744" w:rsidR="00AF21A1" w:rsidRPr="00D11AFF" w:rsidRDefault="00961FB8" w:rsidP="003B51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Nájemce je povinen informovat v dostatečném předstihu podnájemce o charakteru a termínech chystaných akcí pro veřejnost, během kterých požaduje nájemce zajištění občerstvení.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 Nájemce je povinen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F3A1A">
        <w:rPr>
          <w:rFonts w:ascii="Arial" w:eastAsia="Arial" w:hAnsi="Arial" w:cs="Arial"/>
          <w:color w:val="000000"/>
          <w:sz w:val="24"/>
          <w:szCs w:val="24"/>
        </w:rPr>
        <w:t>předat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 xml:space="preserve"> podnájem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ci seznam vystavených exponátů včetně fotodokumentace 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>před zahájením každé nové výstavy.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Způsob poskytování informací je předmětem dohody smluvních stran.</w:t>
      </w:r>
    </w:p>
    <w:p w14:paraId="34034D75" w14:textId="5C4C2734" w:rsidR="00BF4DAC" w:rsidRPr="00D11AFF" w:rsidRDefault="00BF4DAC" w:rsidP="003B51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Nájemce je oprávněn požadovat uzavření kavárny pro veřejnost po dobu instalace výstavy a v den před slavnostním zahájením výstavy. Pro instalaci budou vyhrazeny maximálně dva dny (včetně dne vernisáže).   </w:t>
      </w:r>
    </w:p>
    <w:p w14:paraId="3FE4DDFA" w14:textId="33865CF6" w:rsidR="00AF21A1" w:rsidRPr="00EF3A1A" w:rsidRDefault="00961FB8" w:rsidP="003B51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>Nájemce zajišťuje údržbu prostor zahrnující výmalbu, opravy související s provozem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galerie, osvětlení (nákup žárovek). Nájemce nezajišťuje opravy související s provozem kavárny a </w:t>
      </w:r>
      <w:r w:rsidR="00EF3A1A">
        <w:rPr>
          <w:rFonts w:ascii="Arial" w:eastAsia="Arial" w:hAnsi="Arial" w:cs="Arial"/>
          <w:color w:val="000000"/>
          <w:sz w:val="24"/>
          <w:szCs w:val="24"/>
        </w:rPr>
        <w:t>úklid prostor, které jsou předmětem nájmu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4A24964A" w14:textId="3E19E5B4" w:rsidR="00AF21A1" w:rsidRPr="00EF3A1A" w:rsidRDefault="00961FB8" w:rsidP="003B51E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>Nájemce provozuje v p</w:t>
      </w:r>
      <w:r w:rsidR="00BF4DAC" w:rsidRPr="00EF3A1A">
        <w:rPr>
          <w:rFonts w:ascii="Arial" w:eastAsia="Arial" w:hAnsi="Arial" w:cs="Arial"/>
          <w:color w:val="000000"/>
          <w:sz w:val="24"/>
          <w:szCs w:val="24"/>
        </w:rPr>
        <w:t>rostorách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 xml:space="preserve">galerie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>vlastní kamerový systém, který umož</w:t>
      </w:r>
      <w:r w:rsidR="00BF4DAC" w:rsidRPr="00EF3A1A">
        <w:rPr>
          <w:rFonts w:ascii="Arial" w:eastAsia="Arial" w:hAnsi="Arial" w:cs="Arial"/>
          <w:color w:val="000000"/>
          <w:sz w:val="24"/>
          <w:szCs w:val="24"/>
        </w:rPr>
        <w:t>ňuje ostrahu exponátů ve všech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 patrech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 xml:space="preserve"> galerie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. Provoz kamerového systémů galerie upravuje platný interní dokument. Nájemce je povinen s tímto dokumentem seznámit podnájemce, který je povinen se řídit pravidly v něm uvedenými.  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8A65FE2" w14:textId="5AE79B58" w:rsidR="00AF21A1" w:rsidRPr="00D11AFF" w:rsidRDefault="00961FB8" w:rsidP="004D44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Nájemce provozuje </w:t>
      </w:r>
      <w:r w:rsidR="00BF4DAC" w:rsidRPr="00D11AFF">
        <w:rPr>
          <w:rFonts w:ascii="Arial" w:eastAsia="Arial" w:hAnsi="Arial" w:cs="Arial"/>
          <w:color w:val="000000"/>
          <w:sz w:val="24"/>
          <w:szCs w:val="24"/>
        </w:rPr>
        <w:t xml:space="preserve">prostřednictvím smluvní agentury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zabezpe</w:t>
      </w:r>
      <w:r w:rsidR="00BF4DAC" w:rsidRPr="00D11AFF">
        <w:rPr>
          <w:rFonts w:ascii="Arial" w:eastAsia="Arial" w:hAnsi="Arial" w:cs="Arial"/>
          <w:color w:val="000000"/>
          <w:sz w:val="24"/>
          <w:szCs w:val="24"/>
        </w:rPr>
        <w:t>čovací zařízení celého objektu. Podnájemci jsou přiděleny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bezpečnostní kódy </w:t>
      </w:r>
      <w:r w:rsidR="00BF4DAC" w:rsidRPr="00D11AFF">
        <w:rPr>
          <w:rFonts w:ascii="Arial" w:eastAsia="Arial" w:hAnsi="Arial" w:cs="Arial"/>
          <w:color w:val="000000"/>
          <w:sz w:val="24"/>
          <w:szCs w:val="24"/>
        </w:rPr>
        <w:t>pro zaměstnance (v počtu dle dohody smluvních stran) a</w:t>
      </w:r>
      <w:r w:rsidR="003A5B6F" w:rsidRPr="00D11AFF">
        <w:rPr>
          <w:rFonts w:ascii="Arial" w:eastAsia="Arial" w:hAnsi="Arial" w:cs="Arial"/>
          <w:color w:val="000000"/>
          <w:sz w:val="24"/>
          <w:szCs w:val="24"/>
        </w:rPr>
        <w:t xml:space="preserve"> klíče do prostor, které jsou předmětem nájmu na základě písemných záznamů o předání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21B95A7D" w14:textId="44AB7E31" w:rsidR="00AF21A1" w:rsidRPr="00D11AFF" w:rsidRDefault="006A673C" w:rsidP="004D44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Nájemce prohlašuje</w:t>
      </w:r>
      <w:r w:rsidR="000A0FAA" w:rsidRPr="00D11AFF">
        <w:rPr>
          <w:rFonts w:ascii="Arial" w:eastAsia="Arial" w:hAnsi="Arial" w:cs="Arial"/>
          <w:color w:val="000000"/>
          <w:sz w:val="24"/>
          <w:szCs w:val="24"/>
        </w:rPr>
        <w:t xml:space="preserve">, že 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 xml:space="preserve">vybavení kavárny, které je v majetku podnájemce, není pojištěné v rámci pojistky celé nemovitosti, kterou sjednává majitel nemovitosti. </w:t>
      </w:r>
    </w:p>
    <w:p w14:paraId="021503C8" w14:textId="3EC4F7A8" w:rsidR="004D4473" w:rsidRPr="00EF3A1A" w:rsidRDefault="004D4473" w:rsidP="004D44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>Nájemce neodpovídá za bezpečnost a za ztráty návštěvníků předmětu podnájmu.</w:t>
      </w:r>
    </w:p>
    <w:p w14:paraId="5ED12AC6" w14:textId="77777777" w:rsidR="00AF21A1" w:rsidRPr="00D11AFF" w:rsidRDefault="00AF21A1" w:rsidP="008F65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962E511" w14:textId="7C18F64C" w:rsidR="00AF21A1" w:rsidRPr="00D11AFF" w:rsidRDefault="008B5C09" w:rsidP="008B5C0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firstLineChars="0"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V.  </w:t>
      </w:r>
      <w:r w:rsidR="00961FB8" w:rsidRPr="00D11AFF">
        <w:rPr>
          <w:rFonts w:ascii="Arial" w:eastAsia="Arial" w:hAnsi="Arial" w:cs="Arial"/>
          <w:b/>
          <w:color w:val="000000"/>
          <w:sz w:val="24"/>
          <w:szCs w:val="24"/>
        </w:rPr>
        <w:t>Práva a povinnosti podnájemce</w:t>
      </w:r>
    </w:p>
    <w:p w14:paraId="01FA8FAD" w14:textId="77777777" w:rsidR="00AF21A1" w:rsidRPr="00D11AFF" w:rsidRDefault="00AF21A1" w:rsidP="008F65F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rPr>
          <w:rFonts w:ascii="Arial" w:eastAsia="Arial" w:hAnsi="Arial" w:cs="Arial"/>
          <w:color w:val="000000"/>
          <w:sz w:val="24"/>
          <w:szCs w:val="24"/>
        </w:rPr>
      </w:pPr>
    </w:p>
    <w:p w14:paraId="0F6C435E" w14:textId="3CA9CDD8" w:rsidR="00FC3F98" w:rsidRPr="00D11AFF" w:rsidRDefault="00961FB8" w:rsidP="008F65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Za po</w:t>
      </w:r>
      <w:r w:rsidR="003A5B6F" w:rsidRPr="00D11AFF">
        <w:rPr>
          <w:rFonts w:ascii="Arial" w:eastAsia="Arial" w:hAnsi="Arial" w:cs="Arial"/>
          <w:color w:val="000000"/>
          <w:sz w:val="24"/>
          <w:szCs w:val="24"/>
        </w:rPr>
        <w:t xml:space="preserve">dnájemce jedná </w:t>
      </w:r>
      <w:proofErr w:type="gramStart"/>
      <w:r w:rsidR="003A5B6F" w:rsidRPr="00D11AFF">
        <w:rPr>
          <w:rFonts w:ascii="Arial" w:eastAsia="Arial" w:hAnsi="Arial" w:cs="Arial"/>
          <w:color w:val="000000"/>
          <w:sz w:val="24"/>
          <w:szCs w:val="24"/>
        </w:rPr>
        <w:t>pan</w:t>
      </w:r>
      <w:r w:rsidR="00B10559">
        <w:rPr>
          <w:rFonts w:ascii="Arial" w:eastAsia="Arial" w:hAnsi="Arial" w:cs="Arial"/>
          <w:color w:val="000000"/>
          <w:sz w:val="24"/>
          <w:szCs w:val="24"/>
        </w:rPr>
        <w:t xml:space="preserve">                   </w:t>
      </w:r>
      <w:r w:rsidR="003A5B6F" w:rsidRPr="00D11AF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4D4473" w:rsidRPr="00D11AFF">
        <w:rPr>
          <w:rFonts w:ascii="Wingdings 3" w:hAnsi="Wingdings 3" w:cs="Arial"/>
          <w:kern w:val="21"/>
          <w:sz w:val="24"/>
          <w:szCs w:val="24"/>
        </w:rPr>
        <w:sym w:font="Wingdings 2" w:char="F027"/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r w:rsidR="00B10559">
        <w:rPr>
          <w:rFonts w:ascii="Wingdings 3" w:hAnsi="Wingdings 3" w:cs="Arial"/>
          <w:kern w:val="21"/>
          <w:sz w:val="24"/>
          <w:szCs w:val="24"/>
        </w:rPr>
        <w:t></w:t>
      </w:r>
      <w:proofErr w:type="gramEnd"/>
      <w:r w:rsidR="00FC3F98" w:rsidRPr="00D11AF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4D4473" w:rsidRPr="00D11AFF">
        <w:rPr>
          <w:rFonts w:ascii="Arial" w:hAnsi="Arial" w:cs="Arial"/>
          <w:sz w:val="24"/>
          <w:szCs w:val="24"/>
        </w:rPr>
        <w:sym w:font="Wingdings" w:char="F02A"/>
      </w:r>
      <w:r w:rsidR="004D4473" w:rsidRPr="00D11AFF">
        <w:rPr>
          <w:rFonts w:ascii="Arial" w:hAnsi="Arial" w:cs="Arial"/>
          <w:sz w:val="24"/>
          <w:szCs w:val="24"/>
        </w:rPr>
        <w:t xml:space="preserve"> </w:t>
      </w:r>
    </w:p>
    <w:p w14:paraId="2677B4A1" w14:textId="072A0263" w:rsidR="00FC3F98" w:rsidRPr="00D11AFF" w:rsidRDefault="00FC3F98" w:rsidP="008F65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prohlašuje, že je mu znám stav prostor, které jsou předmětem podnájmu.</w:t>
      </w:r>
      <w:r w:rsidR="004D4473" w:rsidRPr="00D11AFF">
        <w:rPr>
          <w:rFonts w:ascii="Arial" w:eastAsia="Arial" w:hAnsi="Arial" w:cs="Arial"/>
          <w:color w:val="000000"/>
          <w:sz w:val="24"/>
          <w:szCs w:val="24"/>
        </w:rPr>
        <w:t xml:space="preserve"> Zároveň se seznámil s bezpečnostním</w:t>
      </w:r>
      <w:r w:rsidR="00EF3A1A">
        <w:rPr>
          <w:rFonts w:ascii="Arial" w:eastAsia="Arial" w:hAnsi="Arial" w:cs="Arial"/>
          <w:color w:val="000000"/>
          <w:sz w:val="24"/>
          <w:szCs w:val="24"/>
        </w:rPr>
        <w:t>i předpisy, provozním řádem galerie a interními dokumenty souvisejícími s provozem kamerového systému</w:t>
      </w:r>
      <w:r w:rsidR="004D4473" w:rsidRPr="00D11AFF">
        <w:rPr>
          <w:rFonts w:ascii="Arial" w:eastAsia="Arial" w:hAnsi="Arial" w:cs="Arial"/>
          <w:color w:val="000000"/>
          <w:sz w:val="24"/>
          <w:szCs w:val="24"/>
        </w:rPr>
        <w:t xml:space="preserve"> a zavazuje se je dodržovat.</w:t>
      </w:r>
    </w:p>
    <w:p w14:paraId="291EEE57" w14:textId="1A364B1E" w:rsidR="004D4473" w:rsidRPr="00D11AFF" w:rsidRDefault="004D4473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je povinen užívat prostory způsobem a v rozsahu stanoveném v této smlouvě a umožnit nájemci přístup do </w:t>
      </w:r>
      <w:proofErr w:type="spellStart"/>
      <w:r w:rsidRPr="00D11AFF">
        <w:rPr>
          <w:rFonts w:ascii="Arial" w:eastAsia="Arial" w:hAnsi="Arial" w:cs="Arial"/>
          <w:color w:val="000000"/>
          <w:sz w:val="24"/>
          <w:szCs w:val="24"/>
        </w:rPr>
        <w:t>podnajatých</w:t>
      </w:r>
      <w:proofErr w:type="spellEnd"/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prostor za účelem kontroly jejich řádného užívání a dodržování 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interních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předpisů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 nájemce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46692CE" w14:textId="6479A48C" w:rsidR="00AF21A1" w:rsidRPr="00D11AFF" w:rsidRDefault="00EF3A1A" w:rsidP="008F65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Podnájemce zajistil</w:t>
      </w:r>
      <w:r w:rsidR="00FC3F98" w:rsidRPr="00D11AFF">
        <w:rPr>
          <w:rFonts w:ascii="Arial" w:eastAsia="Arial" w:hAnsi="Arial" w:cs="Arial"/>
          <w:color w:val="000000"/>
          <w:sz w:val="24"/>
          <w:szCs w:val="24"/>
        </w:rPr>
        <w:t xml:space="preserve"> na své náklady vyb</w:t>
      </w:r>
      <w:r>
        <w:rPr>
          <w:rFonts w:ascii="Arial" w:eastAsia="Arial" w:hAnsi="Arial" w:cs="Arial"/>
          <w:color w:val="000000"/>
          <w:sz w:val="24"/>
          <w:szCs w:val="24"/>
        </w:rPr>
        <w:t>avení kavárny</w:t>
      </w:r>
      <w:r w:rsidR="00FC3F98" w:rsidRPr="00D11AFF">
        <w:rPr>
          <w:rFonts w:ascii="Arial" w:eastAsia="Arial" w:hAnsi="Arial" w:cs="Arial"/>
          <w:color w:val="000000"/>
          <w:sz w:val="24"/>
          <w:szCs w:val="24"/>
        </w:rPr>
        <w:t xml:space="preserve">, které zůstává po dobu provozování kavárny v jeho majetku.  </w:t>
      </w:r>
    </w:p>
    <w:p w14:paraId="6E1A89BB" w14:textId="6EE1E458" w:rsidR="00AF21A1" w:rsidRPr="00EF3A1A" w:rsidRDefault="00961FB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Podnájemce zajistí na vlastní náklady běžný úklid prostor všech pater </w:t>
      </w:r>
      <w:r w:rsidR="00FC3F98" w:rsidRPr="00EF3A1A">
        <w:rPr>
          <w:rFonts w:ascii="Arial" w:eastAsia="Arial" w:hAnsi="Arial" w:cs="Arial"/>
          <w:color w:val="000000"/>
          <w:sz w:val="24"/>
          <w:szCs w:val="24"/>
        </w:rPr>
        <w:t>kavárny a galerie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B22B1CE" w14:textId="05FAE484" w:rsidR="00AF21A1" w:rsidRPr="00D11AFF" w:rsidRDefault="00FC3F9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bude provozovat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 xml:space="preserve"> kavárnu s galerií celoročně.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Minimálně každý všední den od 9 hodin do 20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 xml:space="preserve"> hodin,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v sobotu </w:t>
      </w:r>
      <w:r w:rsidR="00AE538C" w:rsidRPr="00D11AFF">
        <w:rPr>
          <w:rFonts w:ascii="Arial" w:eastAsia="Arial" w:hAnsi="Arial" w:cs="Arial"/>
          <w:color w:val="000000"/>
          <w:sz w:val="24"/>
          <w:szCs w:val="24"/>
        </w:rPr>
        <w:t>a v neděli od 10 hodin do 20 hodin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>. Případné úpravy otevírací doby je podnájemce povinen předem projednat s nájemcem. Otevírací do</w:t>
      </w:r>
      <w:r w:rsidR="004D4473" w:rsidRPr="00D11AFF">
        <w:rPr>
          <w:rFonts w:ascii="Arial" w:eastAsia="Arial" w:hAnsi="Arial" w:cs="Arial"/>
          <w:color w:val="000000"/>
          <w:sz w:val="24"/>
          <w:szCs w:val="24"/>
        </w:rPr>
        <w:t>b</w:t>
      </w:r>
      <w:r w:rsidR="00961FB8" w:rsidRPr="00D11AFF">
        <w:rPr>
          <w:rFonts w:ascii="Arial" w:eastAsia="Arial" w:hAnsi="Arial" w:cs="Arial"/>
          <w:color w:val="000000"/>
          <w:sz w:val="24"/>
          <w:szCs w:val="24"/>
        </w:rPr>
        <w:t xml:space="preserve">a může být upravena pouze po vzájemné dohodě. </w:t>
      </w:r>
    </w:p>
    <w:p w14:paraId="4D0BDF29" w14:textId="2B36A9AC" w:rsidR="00AF21A1" w:rsidRPr="00D11AFF" w:rsidRDefault="00961FB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Současně s provozem kavárny je po dobu otevření galerie veřejnosti podnájemce povinen zajistit přístup do dalších pater galerie a dále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 xml:space="preserve">prostřednictvím on-line kamerových záznamů 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zajistit </w:t>
      </w:r>
      <w:r w:rsidR="00EF3A1A" w:rsidRPr="00EF3A1A">
        <w:rPr>
          <w:rFonts w:ascii="Arial" w:eastAsia="Arial" w:hAnsi="Arial" w:cs="Arial"/>
          <w:color w:val="000000"/>
          <w:sz w:val="24"/>
          <w:szCs w:val="24"/>
        </w:rPr>
        <w:t>ostrahu všech vystavených exponátů v prostorách galerie.</w:t>
      </w:r>
    </w:p>
    <w:p w14:paraId="5B7D11FE" w14:textId="77777777" w:rsidR="00AF21A1" w:rsidRPr="00D11AFF" w:rsidRDefault="00961FB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je povinen vyprovodit návštěvníky z prostor galerie, pokud se chovají nevhodně a svým chováním ohrožují bezpečnost vystavených exponátů. </w:t>
      </w:r>
    </w:p>
    <w:p w14:paraId="68281EE7" w14:textId="7D5CBAE0" w:rsidR="00AF21A1" w:rsidRPr="00D11AFF" w:rsidRDefault="00961FB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je povinen přizpůsobit provoz kavárny mimořádným akcím nájemce, jimiž jsou zejména vernisáže a doprovodné programy k výstavám. Podnájemce bere na vědomí, že uvedené akce mohou probíhat i mimo běžnou provozní dobu kavárny. </w:t>
      </w:r>
    </w:p>
    <w:p w14:paraId="0837EB1A" w14:textId="798234B5" w:rsidR="00FC3F98" w:rsidRPr="00D11AFF" w:rsidRDefault="00FC3F9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akceptuje uzavření kavárny pro veřejnost po dobu instalace výstavy a v den před slavnostním zahájením výstavy. Pro instalaci budou vyhrazeny maximálně dva dny (včetně dne vernisáže).   </w:t>
      </w:r>
    </w:p>
    <w:p w14:paraId="37B3D533" w14:textId="49897812" w:rsidR="00AF21A1" w:rsidRPr="00D11AFF" w:rsidRDefault="00961FB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je povinen provádět v prostorách na své náklady běžné opravy s výjimk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 xml:space="preserve">ou údržby dle článku IV. odst. </w:t>
      </w:r>
      <w:r w:rsidR="004D4473" w:rsidRPr="00D11AFF">
        <w:rPr>
          <w:rFonts w:ascii="Arial" w:eastAsia="Arial" w:hAnsi="Arial" w:cs="Arial"/>
          <w:color w:val="000000"/>
          <w:sz w:val="24"/>
          <w:szCs w:val="24"/>
        </w:rPr>
        <w:t>5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do výše </w:t>
      </w:r>
      <w:r w:rsidRPr="00D11AFF">
        <w:rPr>
          <w:rFonts w:ascii="Arial" w:eastAsia="Arial" w:hAnsi="Arial" w:cs="Arial"/>
          <w:b/>
          <w:bCs/>
          <w:color w:val="000000"/>
          <w:sz w:val="24"/>
          <w:szCs w:val="24"/>
        </w:rPr>
        <w:t>15.000 Kč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. Podnájemce je povinen provádět i takové opravy, jejichž potřeba vznikne zaviněním podnájemce.</w:t>
      </w:r>
    </w:p>
    <w:p w14:paraId="0BB6FA57" w14:textId="3C0E817B" w:rsidR="004D4473" w:rsidRPr="00D11AFF" w:rsidRDefault="004D4473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je povinen bez zbytečného odkladu hlásit veškeré závady a potřebu větších oprav nad rámec běžné údržby a finančního limitu dle odst. 11 tohoto článku. Podnájemce je povinen umožnit a spolupracovat na provedení těchto oprav v prostorách dle článku I. odst. 2, této smlouvy, jinak odpovídá za škodu, která by nesplněním této povinnosti nájemci vznikla.</w:t>
      </w:r>
    </w:p>
    <w:p w14:paraId="6480AFAD" w14:textId="15FC50DD" w:rsidR="00AF21A1" w:rsidRPr="00D11AFF" w:rsidRDefault="00961FB8" w:rsidP="004D44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Bez souhlasu nájemce není podnájemce oprávněn provádět v prostorách změny, zejména takového charakteru, které by ve svém důsledku mohly znamenat újmu na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lastRenderedPageBreak/>
        <w:t>provozním stavu prostor. Podnájemce nesmí žádným způsobem omezovat či zastavovat únikové cesty a východy z prostor a musí dbát na to, aby prostředky požární ochrany v těchto prostorách byly trvale volně dostupné.</w:t>
      </w:r>
    </w:p>
    <w:p w14:paraId="37E070D7" w14:textId="0BE46436" w:rsidR="00AF21A1" w:rsidRPr="00D11AFF" w:rsidRDefault="00961FB8" w:rsidP="00A90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je povinen zajistit veškerá bezpečnostní a hygienická opatření v souladu s legislativou a s ohledem na bezpečnost návštěvníků café a galerie. Za bezpečnost návštěvníků prostor odpovídá podnájemce.</w:t>
      </w:r>
    </w:p>
    <w:p w14:paraId="53E519EC" w14:textId="4E3671A8" w:rsidR="00F94166" w:rsidRPr="00D11AFF" w:rsidRDefault="00F94166" w:rsidP="00A90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bere na vědomí, že ve všech prostorách kavárny i galerie platí zákaz kouření</w:t>
      </w:r>
      <w:r w:rsidR="00D3595E" w:rsidRPr="00D11AFF">
        <w:rPr>
          <w:rFonts w:ascii="Arial" w:eastAsia="Arial" w:hAnsi="Arial" w:cs="Arial"/>
          <w:color w:val="000000"/>
          <w:sz w:val="24"/>
          <w:szCs w:val="24"/>
        </w:rPr>
        <w:t xml:space="preserve"> a odpovídá za jeho dodržení ze strany pracovníků podnájemce a návštěvníků předmětu podnájmu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855BEA6" w14:textId="2454A724" w:rsidR="00AF21A1" w:rsidRPr="00D11AFF" w:rsidRDefault="00961FB8" w:rsidP="00A90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Dojde-li zaviněním podnájemce, j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>eho pracovníků nebo spolupracovníků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ke změnám nebo škodám na interiéru, mobiliáři prostor</w:t>
      </w:r>
      <w:r w:rsidR="000A0FAA" w:rsidRPr="00D11AFF">
        <w:rPr>
          <w:rFonts w:ascii="Arial" w:eastAsia="Arial" w:hAnsi="Arial" w:cs="Arial"/>
          <w:color w:val="000000"/>
          <w:sz w:val="24"/>
          <w:szCs w:val="24"/>
        </w:rPr>
        <w:t>, vystavených exponátech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nebo na jakémkoliv majetku nájemce, je podnájemce povinen uvést prostory i majetek na svůj náklad a bez zbytečného odkladu do původního stavu. Pokud uvedení do původního stavu není možné, zavazuje se podnájemce nahradit nájemci škodu, která mu shora uvedeným způsobem vznikla.</w:t>
      </w:r>
    </w:p>
    <w:p w14:paraId="4C7FB847" w14:textId="46D60759" w:rsidR="00AF21A1" w:rsidRPr="00D11AFF" w:rsidRDefault="00961FB8" w:rsidP="00A90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Pokud vznikne ško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 xml:space="preserve">da porušením </w:t>
      </w:r>
      <w:r w:rsidR="000A0FAA" w:rsidRPr="00D11AFF">
        <w:rPr>
          <w:rFonts w:ascii="Arial" w:eastAsia="Arial" w:hAnsi="Arial" w:cs="Arial"/>
          <w:color w:val="000000"/>
          <w:sz w:val="24"/>
          <w:szCs w:val="24"/>
        </w:rPr>
        <w:t>povinností podnájemce uvedených v</w:t>
      </w:r>
      <w:r w:rsidR="00D3595E" w:rsidRPr="00D11AFF">
        <w:rPr>
          <w:rFonts w:ascii="Arial" w:eastAsia="Arial" w:hAnsi="Arial" w:cs="Arial"/>
          <w:color w:val="000000"/>
          <w:sz w:val="24"/>
          <w:szCs w:val="24"/>
        </w:rPr>
        <w:t xml:space="preserve"> odst. 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>1</w:t>
      </w:r>
      <w:r w:rsidR="00D3595E" w:rsidRPr="00D11AFF">
        <w:rPr>
          <w:rFonts w:ascii="Arial" w:eastAsia="Arial" w:hAnsi="Arial" w:cs="Arial"/>
          <w:color w:val="000000"/>
          <w:sz w:val="24"/>
          <w:szCs w:val="24"/>
        </w:rPr>
        <w:t>3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, 1</w:t>
      </w:r>
      <w:r w:rsidR="00D3595E" w:rsidRPr="00D11AFF">
        <w:rPr>
          <w:rFonts w:ascii="Arial" w:eastAsia="Arial" w:hAnsi="Arial" w:cs="Arial"/>
          <w:color w:val="000000"/>
          <w:sz w:val="24"/>
          <w:szCs w:val="24"/>
        </w:rPr>
        <w:t>4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a 1</w:t>
      </w:r>
      <w:r w:rsidR="00D3595E" w:rsidRPr="00D11AFF">
        <w:rPr>
          <w:rFonts w:ascii="Arial" w:eastAsia="Arial" w:hAnsi="Arial" w:cs="Arial"/>
          <w:color w:val="000000"/>
          <w:sz w:val="24"/>
          <w:szCs w:val="24"/>
        </w:rPr>
        <w:t>5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tohoto článku, je nájemce oprávněn pož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>adovat pokutu za porušení</w:t>
      </w:r>
      <w:r w:rsidR="000A0FAA" w:rsidRPr="00D11AFF">
        <w:rPr>
          <w:rFonts w:ascii="Arial" w:eastAsia="Arial" w:hAnsi="Arial" w:cs="Arial"/>
          <w:color w:val="000000"/>
          <w:sz w:val="24"/>
          <w:szCs w:val="24"/>
        </w:rPr>
        <w:t xml:space="preserve"> těchto povinnost</w:t>
      </w:r>
      <w:r w:rsidR="004E233D" w:rsidRPr="00D11AFF">
        <w:rPr>
          <w:rFonts w:ascii="Arial" w:eastAsia="Arial" w:hAnsi="Arial" w:cs="Arial"/>
          <w:color w:val="000000"/>
          <w:sz w:val="24"/>
          <w:szCs w:val="24"/>
        </w:rPr>
        <w:t>í podnájemce</w:t>
      </w:r>
      <w:r w:rsidR="000A0FAA" w:rsidRPr="00D11AFF">
        <w:rPr>
          <w:rFonts w:ascii="Arial" w:eastAsia="Arial" w:hAnsi="Arial" w:cs="Arial"/>
          <w:color w:val="000000"/>
          <w:sz w:val="24"/>
          <w:szCs w:val="24"/>
        </w:rPr>
        <w:t>,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a to až do výše </w:t>
      </w:r>
      <w:r w:rsidR="00D3595E" w:rsidRPr="00D11AFF">
        <w:rPr>
          <w:rFonts w:ascii="Arial" w:eastAsia="Arial" w:hAnsi="Arial" w:cs="Arial"/>
          <w:b/>
          <w:color w:val="000000"/>
          <w:sz w:val="24"/>
          <w:szCs w:val="24"/>
        </w:rPr>
        <w:t>10</w:t>
      </w:r>
      <w:r w:rsidRPr="00D11AFF">
        <w:rPr>
          <w:rFonts w:ascii="Arial" w:eastAsia="Arial" w:hAnsi="Arial" w:cs="Arial"/>
          <w:b/>
          <w:color w:val="000000"/>
          <w:sz w:val="24"/>
          <w:szCs w:val="24"/>
        </w:rPr>
        <w:t>.000 Kč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a dále náhradu škody v plné výši. </w:t>
      </w:r>
    </w:p>
    <w:p w14:paraId="5ACD4AB1" w14:textId="77777777" w:rsidR="00AF21A1" w:rsidRPr="00D11AFF" w:rsidRDefault="00961FB8" w:rsidP="00A90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se zavazuje uzavřít pojištění odpovědnosti za škody, které by mohly vzniknout nájemci a třetím osobám v souvislosti s jeho činností v prostorách, které jsou předmětem podnájmu. </w:t>
      </w:r>
    </w:p>
    <w:p w14:paraId="10B74C68" w14:textId="478E386D" w:rsidR="00AF21A1" w:rsidRPr="00D11AFF" w:rsidRDefault="00961FB8" w:rsidP="00A90C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je povinen v prostorách dodržovat obecně závazné předpisy, především předpisy</w:t>
      </w:r>
      <w:r w:rsidR="00D3595E" w:rsidRPr="00D11AFF">
        <w:rPr>
          <w:rFonts w:ascii="Arial" w:eastAsia="Arial" w:hAnsi="Arial" w:cs="Arial"/>
          <w:color w:val="000000"/>
          <w:sz w:val="24"/>
          <w:szCs w:val="24"/>
        </w:rPr>
        <w:t xml:space="preserve"> BOZP a PO</w:t>
      </w:r>
      <w:r w:rsidR="00EF3A1A">
        <w:rPr>
          <w:rFonts w:ascii="Arial" w:eastAsia="Arial" w:hAnsi="Arial" w:cs="Arial"/>
          <w:color w:val="000000"/>
          <w:sz w:val="24"/>
          <w:szCs w:val="24"/>
        </w:rPr>
        <w:t xml:space="preserve"> a dále interní předpisy nájemce vztahující se k provozu předmětu nájmu.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Podnájemce se zavazuje, že on i jím pověření pracovníci v kavárně budou proškoleni školením o požárních předpisech a bezpečnosti práci. Na vyžádání je podnájemce povinen předložit potvrzení o tomto proškolení.</w:t>
      </w:r>
    </w:p>
    <w:p w14:paraId="62FAFF08" w14:textId="0CF7CB29" w:rsidR="00AF21A1" w:rsidRPr="00D11AFF" w:rsidRDefault="00961FB8" w:rsidP="00D359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se zavazuje, že 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>vystavená díla budou kontrolována 2 x denně vždy před otevřením a po uzavření kavárny. K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aždý pracovník kavárny bude proškolen v souvislosti se zajištěním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 xml:space="preserve"> ostrahy exponátů, zejména pak se stavem vystavených děl a s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 možností sledování </w:t>
      </w:r>
      <w:r w:rsidR="00F94166" w:rsidRPr="00D11AFF">
        <w:rPr>
          <w:rFonts w:ascii="Arial" w:eastAsia="Arial" w:hAnsi="Arial" w:cs="Arial"/>
          <w:color w:val="000000"/>
          <w:sz w:val="24"/>
          <w:szCs w:val="24"/>
        </w:rPr>
        <w:t xml:space="preserve">návštěvníků a děl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pomocí kamerového systému.</w:t>
      </w:r>
    </w:p>
    <w:p w14:paraId="2670832D" w14:textId="77777777" w:rsidR="00D3595E" w:rsidRPr="00D11AFF" w:rsidRDefault="00D3595E" w:rsidP="00D359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63" w:hangingChars="193" w:hanging="463"/>
        <w:jc w:val="both"/>
        <w:textDirection w:val="lrTb"/>
        <w:textAlignment w:val="baseline"/>
        <w:outlineLvl w:val="9"/>
        <w:rPr>
          <w:rFonts w:ascii="Arial" w:eastAsia="Times New Roman" w:hAnsi="Arial" w:cs="Arial"/>
          <w:color w:val="000000"/>
          <w:position w:val="0"/>
          <w:sz w:val="24"/>
          <w:szCs w:val="24"/>
          <w:lang w:eastAsia="cs-CZ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podpisem smlouvy potvrzuje, že cizí elektrická zařízení (která nejsou v majetku nájemce), které užívá v předmětu podnájmu a jsou v jeho majetku, prošla příslušnými revizními kontrolami. Kopii potvrzení o revizi je podnájemce povinen předat nájemci na vyžádání.  Případné škody, způsobené nájemci cizím elektrickým zařízením je podnájemce povinen uhradit.</w:t>
      </w:r>
    </w:p>
    <w:p w14:paraId="4CF09215" w14:textId="51B7508C" w:rsidR="00AF21A1" w:rsidRPr="00D11AFF" w:rsidRDefault="00961FB8" w:rsidP="00D359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left="463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převezme od nájemce klíče a bezpečnostní kód</w:t>
      </w:r>
      <w:r w:rsidR="00B47227" w:rsidRPr="00D11AFF">
        <w:rPr>
          <w:rFonts w:ascii="Arial" w:eastAsia="Arial" w:hAnsi="Arial" w:cs="Arial"/>
          <w:color w:val="000000"/>
          <w:sz w:val="24"/>
          <w:szCs w:val="24"/>
        </w:rPr>
        <w:t>y v počtu dle dohody stran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. Podmínky převzetí a užívání k</w:t>
      </w:r>
      <w:r w:rsidR="00B47227" w:rsidRPr="00D11AFF">
        <w:rPr>
          <w:rFonts w:ascii="Arial" w:eastAsia="Arial" w:hAnsi="Arial" w:cs="Arial"/>
          <w:color w:val="000000"/>
          <w:sz w:val="24"/>
          <w:szCs w:val="24"/>
        </w:rPr>
        <w:t>líčů i bezpečnostních kódů jsou uvedeny v protokolu o převzetí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, kterou uzavřou nájemce a podnájemce po předání klíčů. Podnájemce ručí za bezpečné uzavření prostor po zavírací době kavárny a galerie. </w:t>
      </w:r>
    </w:p>
    <w:p w14:paraId="44210BA4" w14:textId="7443B81B" w:rsidR="00AF21A1" w:rsidRPr="00D11AFF" w:rsidRDefault="00961FB8" w:rsidP="00D11A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Podnájemce není oprávněn prostory, jež jsou předmětem podnájmu</w:t>
      </w:r>
      <w:r w:rsidR="00EF3A1A">
        <w:rPr>
          <w:rFonts w:ascii="Arial" w:eastAsia="Arial" w:hAnsi="Arial" w:cs="Arial"/>
          <w:color w:val="000000"/>
          <w:sz w:val="24"/>
          <w:szCs w:val="24"/>
        </w:rPr>
        <w:t>,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dát dále do podnájmu. </w:t>
      </w:r>
    </w:p>
    <w:p w14:paraId="42C86E84" w14:textId="3ED7B1CE" w:rsidR="00AF21A1" w:rsidRDefault="00961FB8" w:rsidP="00D11A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Podnájemce je povinen likvidovat odpad na vlastní náklady a předložit nájemci potvrzení o likvidaci. </w:t>
      </w:r>
      <w:r w:rsidR="006A673C" w:rsidRPr="00D11AFF">
        <w:rPr>
          <w:rFonts w:ascii="Arial" w:eastAsia="Arial" w:hAnsi="Arial" w:cs="Arial"/>
          <w:color w:val="000000"/>
          <w:sz w:val="24"/>
          <w:szCs w:val="24"/>
        </w:rPr>
        <w:t>Podnájemce je oprávněn používat popelnici poskytnutou nájemcem.</w:t>
      </w:r>
    </w:p>
    <w:p w14:paraId="73CD0BF7" w14:textId="1322FE25" w:rsidR="00D11AFF" w:rsidRPr="00EF3A1A" w:rsidRDefault="00D11AFF" w:rsidP="00D11A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Podnájemce odpovídá za dodržování vládních nařízení s ohledem na protiepidemická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opatření Covid-19. </w:t>
      </w:r>
    </w:p>
    <w:p w14:paraId="330950B2" w14:textId="7989F166" w:rsidR="00EF3A1A" w:rsidRDefault="00EF3A1A" w:rsidP="008B5C0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EF3A1A">
        <w:rPr>
          <w:rFonts w:ascii="Arial" w:eastAsia="Arial" w:hAnsi="Arial" w:cs="Arial"/>
          <w:b/>
          <w:color w:val="000000"/>
          <w:sz w:val="24"/>
          <w:szCs w:val="24"/>
        </w:rPr>
        <w:t xml:space="preserve">VI. Ostatní ujednání </w:t>
      </w:r>
    </w:p>
    <w:p w14:paraId="6A1825BD" w14:textId="77777777" w:rsidR="00EF3A1A" w:rsidRDefault="00EF3A1A" w:rsidP="00EF3A1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BB83DD" w14:textId="2B579BF1" w:rsidR="00EF3A1A" w:rsidRPr="00EF3A1A" w:rsidRDefault="00EF3A1A" w:rsidP="00EF3A1A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461" w:firstLineChars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Podnájemce podpisem smlouvy </w:t>
      </w:r>
      <w:r w:rsidR="008B5C09">
        <w:rPr>
          <w:rFonts w:ascii="Arial" w:eastAsia="Arial" w:hAnsi="Arial" w:cs="Arial"/>
          <w:color w:val="000000"/>
          <w:sz w:val="24"/>
          <w:szCs w:val="24"/>
        </w:rPr>
        <w:t xml:space="preserve">vyjadřuje souhlas se skutečností, že v prostorách, které jsou předmětem nájmu, jsou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 xml:space="preserve">instalovány kamery, které umožňují ostrahu exponátů pomocí sledování </w:t>
      </w:r>
      <w:r w:rsidR="008B5C09">
        <w:rPr>
          <w:rFonts w:ascii="Arial" w:eastAsia="Arial" w:hAnsi="Arial" w:cs="Arial"/>
          <w:color w:val="000000"/>
          <w:sz w:val="24"/>
          <w:szCs w:val="24"/>
        </w:rPr>
        <w:t xml:space="preserve">on-line 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>kamerového záznamu v době, kdy jsou prostory kavárny a galerie otevřené pro veřejnost. Podnájemce je povinen se záznamem postupovat v souladu s dalšími požadavky Nařízení a zákona o zpracování Osobních údajů, zejména dodržovat obecné zásady zpracování Osobních údajů, plnit své informační povinnosti, nepředávat Osobní údaje třetím osobám bez potřebného oprávnění, respektovat práva Subje</w:t>
      </w:r>
      <w:r w:rsidR="0004435A">
        <w:rPr>
          <w:rFonts w:ascii="Arial" w:eastAsia="Arial" w:hAnsi="Arial" w:cs="Arial"/>
          <w:color w:val="000000"/>
          <w:sz w:val="24"/>
          <w:szCs w:val="24"/>
        </w:rPr>
        <w:t>k</w:t>
      </w:r>
      <w:r w:rsidRPr="00EF3A1A">
        <w:rPr>
          <w:rFonts w:ascii="Arial" w:eastAsia="Arial" w:hAnsi="Arial" w:cs="Arial"/>
          <w:color w:val="000000"/>
          <w:sz w:val="24"/>
          <w:szCs w:val="24"/>
        </w:rPr>
        <w:t>tů údajů a poskytovat v této souvislosti nezbytnou součinnost.</w:t>
      </w:r>
      <w:r w:rsidR="008B5C09">
        <w:rPr>
          <w:rFonts w:ascii="Arial" w:eastAsia="Arial" w:hAnsi="Arial" w:cs="Arial"/>
          <w:color w:val="000000"/>
          <w:sz w:val="24"/>
          <w:szCs w:val="24"/>
        </w:rPr>
        <w:t xml:space="preserve"> Nájemce je povinen předat podnájemci veškeré informace, aby mohl podnájemce postupovat a poskytovat součinnost dle tohoto článku. </w:t>
      </w:r>
    </w:p>
    <w:p w14:paraId="7A71101C" w14:textId="1E59ABD1" w:rsidR="00EF3A1A" w:rsidRDefault="00EF3A1A" w:rsidP="008B5C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0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7C540D3" w14:textId="0C7A1FA0" w:rsidR="00AF21A1" w:rsidRPr="00D11AFF" w:rsidRDefault="008B5C09" w:rsidP="008B5C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360" w:firstLineChars="0"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VII.  </w:t>
      </w:r>
      <w:r w:rsidR="00961FB8" w:rsidRPr="00D11AFF">
        <w:rPr>
          <w:rFonts w:ascii="Arial" w:eastAsia="Arial" w:hAnsi="Arial" w:cs="Arial"/>
          <w:b/>
          <w:color w:val="000000"/>
          <w:sz w:val="24"/>
          <w:szCs w:val="24"/>
        </w:rPr>
        <w:t>Zánik podnájmu</w:t>
      </w:r>
    </w:p>
    <w:p w14:paraId="7554B75D" w14:textId="77777777" w:rsidR="00AF21A1" w:rsidRPr="00D11AFF" w:rsidRDefault="00961FB8" w:rsidP="00A90C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E0B6D62" w14:textId="3AA262F5" w:rsidR="00AF21A1" w:rsidRPr="00D11AFF" w:rsidRDefault="00961FB8" w:rsidP="00A9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Podnájem zaniká </w:t>
      </w:r>
      <w:r w:rsidR="004E233D" w:rsidRPr="00D11AFF">
        <w:rPr>
          <w:rFonts w:ascii="Arial" w:eastAsia="Arial" w:hAnsi="Arial" w:cs="Arial"/>
          <w:color w:val="000000"/>
          <w:sz w:val="24"/>
          <w:szCs w:val="24"/>
        </w:rPr>
        <w:t xml:space="preserve">uplynutím doby, na kterou byl sjednán, případně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písemnou dohodou nájemce a podnájemce</w:t>
      </w:r>
      <w:r w:rsidR="004E233D" w:rsidRPr="00D11AFF">
        <w:rPr>
          <w:rFonts w:ascii="Arial" w:eastAsia="Arial" w:hAnsi="Arial" w:cs="Arial"/>
          <w:color w:val="000000"/>
          <w:sz w:val="24"/>
          <w:szCs w:val="24"/>
        </w:rPr>
        <w:t xml:space="preserve"> uzavřenou před uplynutím doby smlouvy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7703985" w14:textId="09EC9148" w:rsidR="00AF21A1" w:rsidRPr="00D11AFF" w:rsidRDefault="00961FB8" w:rsidP="00A9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Podnájem lze</w:t>
      </w:r>
      <w:r w:rsidR="004E233D" w:rsidRPr="00D11AFF">
        <w:rPr>
          <w:rFonts w:ascii="Arial" w:eastAsia="Arial" w:hAnsi="Arial" w:cs="Arial"/>
          <w:color w:val="000000"/>
          <w:sz w:val="24"/>
          <w:szCs w:val="24"/>
        </w:rPr>
        <w:t xml:space="preserve"> rovněž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 jednostranně ukončit písemnou výpovědí s výpovědní lhůtou v délce tří měsíců, která počíná běžet od prvního dne měsíce následujícího po doručení písemné výpovědi druhé straně. </w:t>
      </w:r>
    </w:p>
    <w:p w14:paraId="175B72E5" w14:textId="5CDC4F3A" w:rsidR="00AF21A1" w:rsidRPr="00D11AFF" w:rsidRDefault="00961FB8" w:rsidP="00A9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Ke dni ukončení nájmu je podnájemce povinen prostory vyklidit a předat nájemci ve stavu </w:t>
      </w:r>
      <w:r w:rsidR="006D700A" w:rsidRPr="00D11AFF">
        <w:rPr>
          <w:rFonts w:ascii="Arial" w:eastAsia="Arial" w:hAnsi="Arial" w:cs="Arial"/>
          <w:color w:val="000000"/>
          <w:sz w:val="24"/>
          <w:szCs w:val="24"/>
        </w:rPr>
        <w:t xml:space="preserve">v jakém je převzal s přihlédnutím k běžnému opotřebení, jakož i ve stavu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>způsobilém k dalšímu užívání.</w:t>
      </w:r>
    </w:p>
    <w:p w14:paraId="5D39AE42" w14:textId="77777777" w:rsidR="00AF21A1" w:rsidRPr="00D11AFF" w:rsidRDefault="00AF21A1" w:rsidP="00A90C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rPr>
          <w:rFonts w:ascii="Arial" w:eastAsia="Arial" w:hAnsi="Arial" w:cs="Arial"/>
          <w:color w:val="000000"/>
          <w:sz w:val="24"/>
          <w:szCs w:val="24"/>
        </w:rPr>
      </w:pPr>
    </w:p>
    <w:p w14:paraId="08DF019B" w14:textId="37D69EE6" w:rsidR="00AF21A1" w:rsidRPr="00D11AFF" w:rsidRDefault="008B5C09" w:rsidP="008B5C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Chars="0" w:left="0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VIII.  </w:t>
      </w:r>
      <w:r w:rsidR="00961FB8" w:rsidRPr="00D11AFF">
        <w:rPr>
          <w:rFonts w:ascii="Arial" w:eastAsia="Arial" w:hAnsi="Arial" w:cs="Arial"/>
          <w:b/>
          <w:color w:val="000000"/>
          <w:sz w:val="24"/>
          <w:szCs w:val="24"/>
        </w:rPr>
        <w:t>Závěrečná ustanovení</w:t>
      </w:r>
    </w:p>
    <w:p w14:paraId="6E4D52CD" w14:textId="77777777" w:rsidR="00AF21A1" w:rsidRPr="00D11AFF" w:rsidRDefault="00AF21A1" w:rsidP="00A90C2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rPr>
          <w:rFonts w:ascii="Arial" w:eastAsia="Arial" w:hAnsi="Arial" w:cs="Arial"/>
          <w:color w:val="000000"/>
          <w:sz w:val="24"/>
          <w:szCs w:val="24"/>
        </w:rPr>
      </w:pPr>
    </w:p>
    <w:p w14:paraId="276E64DB" w14:textId="1949E50E" w:rsidR="00AF21A1" w:rsidRPr="00D11AFF" w:rsidRDefault="00961FB8" w:rsidP="00A9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Tato smlouva je platná </w:t>
      </w:r>
      <w:r w:rsidR="006D700A" w:rsidRPr="00D11AFF">
        <w:rPr>
          <w:rFonts w:ascii="Arial" w:eastAsia="Arial" w:hAnsi="Arial" w:cs="Arial"/>
          <w:color w:val="000000"/>
          <w:sz w:val="24"/>
          <w:szCs w:val="24"/>
        </w:rPr>
        <w:t xml:space="preserve">a účinná </w:t>
      </w: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ode dne jejího podpisu oběma smluvními stranami. </w:t>
      </w:r>
    </w:p>
    <w:p w14:paraId="511FEC11" w14:textId="77777777" w:rsidR="00AF21A1" w:rsidRPr="00D11AFF" w:rsidRDefault="00961FB8" w:rsidP="00A9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Jakékoli změny a doplňky této smlouvy lze učinit formou písemného dodatku odsouhlaseného oběma smluvními stranami.  </w:t>
      </w:r>
    </w:p>
    <w:p w14:paraId="50B01F18" w14:textId="77777777" w:rsidR="00AF21A1" w:rsidRPr="00D11AFF" w:rsidRDefault="00961FB8" w:rsidP="00A9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  <w:highlight w:val="white"/>
        </w:rPr>
        <w:t>Není-li ve smlouvě uvedeno jinak, řídí se vztah mezi smluvními stranami podle této smlouvy příslušnými ustanoveními občanského zákoníku</w:t>
      </w:r>
    </w:p>
    <w:p w14:paraId="0FA5AA2C" w14:textId="77777777" w:rsidR="00AF21A1" w:rsidRPr="00D11AFF" w:rsidRDefault="00961FB8" w:rsidP="00A9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 xml:space="preserve">Tato smlouva je sepsána ve dvou vyhotoveních s platností originálu, z nichž po jednom obdrží každá smluvní strana. </w:t>
      </w:r>
    </w:p>
    <w:p w14:paraId="617E1447" w14:textId="77777777" w:rsidR="00AF21A1" w:rsidRPr="00D11AFF" w:rsidRDefault="00961FB8" w:rsidP="00A9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461" w:hangingChars="193" w:hanging="46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11AFF">
        <w:rPr>
          <w:rFonts w:ascii="Arial" w:eastAsia="Arial" w:hAnsi="Arial" w:cs="Arial"/>
          <w:color w:val="000000"/>
          <w:sz w:val="24"/>
          <w:szCs w:val="24"/>
        </w:rPr>
        <w:t>Smluvní strany prohlašují, že si tuto smlouvu přečetly, že byla sepsána dle jejich pravé a svobodné vůle, nikoli v tísni či za jinak nápadně nevýhodných podmínek, což obě strany stvrzují svými podpisy.</w:t>
      </w:r>
    </w:p>
    <w:p w14:paraId="7DCEE092" w14:textId="77777777" w:rsidR="00AF21A1" w:rsidRPr="00D11AFF" w:rsidRDefault="00AF21A1" w:rsidP="0004435A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"/>
        <w:tblW w:w="93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4075"/>
      </w:tblGrid>
      <w:tr w:rsidR="00AF21A1" w:rsidRPr="00D11AFF" w14:paraId="5106F0B7" w14:textId="77777777">
        <w:tc>
          <w:tcPr>
            <w:tcW w:w="4111" w:type="dxa"/>
          </w:tcPr>
          <w:p w14:paraId="048A315C" w14:textId="5F3F544B" w:rsidR="00AF21A1" w:rsidRPr="00D11AFF" w:rsidRDefault="00B47227" w:rsidP="00B1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 Mělníku, dne </w:t>
            </w:r>
            <w:r w:rsidR="008B5C09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961FB8"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>. 1</w:t>
            </w:r>
            <w:r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>. 202</w:t>
            </w:r>
            <w:r w:rsidR="008B5C09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9454B0" w14:textId="77777777" w:rsidR="00AF21A1" w:rsidRPr="00D11AFF" w:rsidRDefault="00AF21A1" w:rsidP="003B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</w:tcPr>
          <w:p w14:paraId="0981BB9B" w14:textId="79713B78" w:rsidR="00AF21A1" w:rsidRPr="00D11AFF" w:rsidRDefault="003B51ED" w:rsidP="00B105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>V</w:t>
            </w:r>
            <w:r w:rsidR="005139E2"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Mělníku, </w:t>
            </w:r>
            <w:r w:rsidR="00961FB8"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>dne:</w:t>
            </w:r>
            <w:r w:rsidR="005139E2" w:rsidRPr="00D11AF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986B33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F2673A">
              <w:rPr>
                <w:rFonts w:ascii="Arial" w:eastAsia="Arial" w:hAnsi="Arial" w:cs="Arial"/>
                <w:color w:val="000000"/>
                <w:sz w:val="24"/>
                <w:szCs w:val="24"/>
              </w:rPr>
              <w:t>. 1. 2023</w:t>
            </w:r>
          </w:p>
        </w:tc>
      </w:tr>
      <w:tr w:rsidR="00AF21A1" w:rsidRPr="00D11AFF" w14:paraId="316BFE71" w14:textId="77777777">
        <w:trPr>
          <w:trHeight w:val="1000"/>
        </w:trPr>
        <w:tc>
          <w:tcPr>
            <w:tcW w:w="4111" w:type="dxa"/>
            <w:tcBorders>
              <w:bottom w:val="dashed" w:sz="4" w:space="0" w:color="000000"/>
            </w:tcBorders>
          </w:tcPr>
          <w:p w14:paraId="4159529B" w14:textId="77777777" w:rsidR="00AF21A1" w:rsidRPr="00D11AFF" w:rsidRDefault="00AF21A1" w:rsidP="00044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2E28DDB8" w14:textId="77777777" w:rsidR="003B51ED" w:rsidRPr="00D11AFF" w:rsidRDefault="003B51ED" w:rsidP="00044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0CEB89A" w14:textId="77777777" w:rsidR="003B51ED" w:rsidRPr="00D11AFF" w:rsidRDefault="003B51ED" w:rsidP="00044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28335F3" w14:textId="77777777" w:rsidR="00AF21A1" w:rsidRPr="00D11AFF" w:rsidRDefault="00AF21A1" w:rsidP="003B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B97C33" w14:textId="77777777" w:rsidR="00AF21A1" w:rsidRPr="00D11AFF" w:rsidRDefault="00AF21A1" w:rsidP="003B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75" w:type="dxa"/>
            <w:tcBorders>
              <w:bottom w:val="dashed" w:sz="4" w:space="0" w:color="000000"/>
            </w:tcBorders>
          </w:tcPr>
          <w:p w14:paraId="6CDE90F5" w14:textId="77777777" w:rsidR="00AF21A1" w:rsidRPr="00D11AFF" w:rsidRDefault="00AF21A1" w:rsidP="003B51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48179CF" w14:textId="38A15120" w:rsidR="00AF21A1" w:rsidRPr="00D11AFF" w:rsidRDefault="0004435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nájemc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e                                                                 podnájemce</w:t>
      </w:r>
    </w:p>
    <w:sectPr w:rsidR="00AF21A1" w:rsidRPr="00D11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6198C" w14:textId="77777777" w:rsidR="0000678B" w:rsidRDefault="0000678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B347B79" w14:textId="77777777" w:rsidR="0000678B" w:rsidRDefault="0000678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73319" w14:textId="77777777" w:rsidR="003B51ED" w:rsidRDefault="003B51ED" w:rsidP="003B51ED">
    <w:pPr>
      <w:pStyle w:val="Zp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F5A11" w14:textId="26EE0877" w:rsidR="00AF21A1" w:rsidRDefault="00961FB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10559">
      <w:rPr>
        <w:noProof/>
        <w:color w:val="000000"/>
      </w:rPr>
      <w:t>5</w:t>
    </w:r>
    <w:r>
      <w:rPr>
        <w:color w:val="000000"/>
      </w:rPr>
      <w:fldChar w:fldCharType="end"/>
    </w:r>
  </w:p>
  <w:p w14:paraId="35AF1757" w14:textId="77777777" w:rsidR="00AF21A1" w:rsidRDefault="00AF21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0CD21" w14:textId="77777777" w:rsidR="003B51ED" w:rsidRDefault="003B51ED" w:rsidP="003B51ED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6E5D1" w14:textId="77777777" w:rsidR="0000678B" w:rsidRDefault="0000678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6F7CB1" w14:textId="77777777" w:rsidR="0000678B" w:rsidRDefault="0000678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74A8" w14:textId="77777777" w:rsidR="003B51ED" w:rsidRDefault="003B51ED" w:rsidP="003B51ED">
    <w:pPr>
      <w:pStyle w:val="Zhlav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E967C" w14:textId="3A861F58" w:rsidR="00A848D9" w:rsidRPr="00A848D9" w:rsidRDefault="00A848D9" w:rsidP="00A848D9">
    <w:pPr>
      <w:pBdr>
        <w:top w:val="nil"/>
        <w:left w:val="nil"/>
        <w:bottom w:val="nil"/>
        <w:right w:val="nil"/>
        <w:between w:val="nil"/>
      </w:pBdr>
      <w:tabs>
        <w:tab w:val="left" w:pos="720"/>
        <w:tab w:val="center" w:pos="4536"/>
        <w:tab w:val="right" w:pos="9072"/>
        <w:tab w:val="right" w:pos="9638"/>
      </w:tabs>
      <w:ind w:left="1" w:hanging="3"/>
      <w:rPr>
        <w:b/>
        <w:i/>
        <w:color w:val="000000"/>
        <w:sz w:val="30"/>
        <w:szCs w:val="30"/>
      </w:rPr>
    </w:pPr>
    <w:r>
      <w:rPr>
        <w:b/>
        <w:i/>
        <w:color w:val="000000"/>
        <w:sz w:val="30"/>
        <w:szCs w:val="30"/>
      </w:rPr>
      <w:tab/>
    </w:r>
    <w:r>
      <w:rPr>
        <w:b/>
        <w:i/>
        <w:color w:val="000000"/>
        <w:sz w:val="30"/>
        <w:szCs w:val="30"/>
      </w:rPr>
      <w:tab/>
    </w:r>
    <w:r>
      <w:rPr>
        <w:b/>
        <w:i/>
        <w:color w:val="000000"/>
        <w:sz w:val="30"/>
        <w:szCs w:val="30"/>
      </w:rPr>
      <w:tab/>
    </w:r>
    <w:r>
      <w:rPr>
        <w:b/>
        <w:i/>
        <w:color w:val="000000"/>
        <w:sz w:val="30"/>
        <w:szCs w:val="30"/>
      </w:rPr>
      <w:tab/>
      <w:t>S/</w:t>
    </w:r>
    <w:r w:rsidR="00233DBD">
      <w:rPr>
        <w:b/>
        <w:i/>
        <w:color w:val="000000"/>
        <w:sz w:val="30"/>
        <w:szCs w:val="30"/>
      </w:rPr>
      <w:t>GVV/</w:t>
    </w:r>
    <w:r>
      <w:rPr>
        <w:b/>
        <w:i/>
        <w:color w:val="000000"/>
        <w:sz w:val="30"/>
        <w:szCs w:val="30"/>
      </w:rPr>
      <w:t>2022</w:t>
    </w:r>
    <w:r w:rsidR="003B51ED" w:rsidRPr="004B0ED3">
      <w:rPr>
        <w:b/>
        <w:i/>
        <w:color w:val="000000"/>
        <w:sz w:val="30"/>
        <w:szCs w:val="30"/>
      </w:rPr>
      <w:t>/</w:t>
    </w:r>
    <w:r w:rsidR="00233DBD">
      <w:rPr>
        <w:b/>
        <w:i/>
        <w:color w:val="000000"/>
        <w:sz w:val="30"/>
        <w:szCs w:val="30"/>
      </w:rPr>
      <w:t>0255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EBE29" w14:textId="77777777" w:rsidR="003B51ED" w:rsidRDefault="003B51ED" w:rsidP="003B51ED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8E1"/>
    <w:multiLevelType w:val="multilevel"/>
    <w:tmpl w:val="ABAC7B4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9E050D"/>
    <w:multiLevelType w:val="multilevel"/>
    <w:tmpl w:val="0428C6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1BDD158A"/>
    <w:multiLevelType w:val="multilevel"/>
    <w:tmpl w:val="295ABB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DE926A4"/>
    <w:multiLevelType w:val="multilevel"/>
    <w:tmpl w:val="58B483E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2A164E38"/>
    <w:multiLevelType w:val="hybridMultilevel"/>
    <w:tmpl w:val="1B96CE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E47ECD"/>
    <w:multiLevelType w:val="multilevel"/>
    <w:tmpl w:val="A23C5C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38914525"/>
    <w:multiLevelType w:val="multilevel"/>
    <w:tmpl w:val="C9DE0432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442E6944"/>
    <w:multiLevelType w:val="multilevel"/>
    <w:tmpl w:val="6990269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4C5C24C8"/>
    <w:multiLevelType w:val="multilevel"/>
    <w:tmpl w:val="8A5EAA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4CF358E3"/>
    <w:multiLevelType w:val="hybridMultilevel"/>
    <w:tmpl w:val="95FC81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7840"/>
    <w:multiLevelType w:val="multilevel"/>
    <w:tmpl w:val="128262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6118248F"/>
    <w:multiLevelType w:val="multilevel"/>
    <w:tmpl w:val="59082144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A1"/>
    <w:rsid w:val="0000678B"/>
    <w:rsid w:val="000425B9"/>
    <w:rsid w:val="0004435A"/>
    <w:rsid w:val="00053D1F"/>
    <w:rsid w:val="000A0FAA"/>
    <w:rsid w:val="0017434C"/>
    <w:rsid w:val="00233DBD"/>
    <w:rsid w:val="003238D3"/>
    <w:rsid w:val="00324DB0"/>
    <w:rsid w:val="003534DE"/>
    <w:rsid w:val="003A5B6F"/>
    <w:rsid w:val="003B51ED"/>
    <w:rsid w:val="003C2D6F"/>
    <w:rsid w:val="00464BCE"/>
    <w:rsid w:val="00494432"/>
    <w:rsid w:val="004B0ED3"/>
    <w:rsid w:val="004D4473"/>
    <w:rsid w:val="004D5634"/>
    <w:rsid w:val="004E233D"/>
    <w:rsid w:val="005139E2"/>
    <w:rsid w:val="005610F9"/>
    <w:rsid w:val="00626153"/>
    <w:rsid w:val="00631EBF"/>
    <w:rsid w:val="00637CD7"/>
    <w:rsid w:val="006A673C"/>
    <w:rsid w:val="006C0A04"/>
    <w:rsid w:val="006D700A"/>
    <w:rsid w:val="007325EA"/>
    <w:rsid w:val="007B2524"/>
    <w:rsid w:val="007E2F34"/>
    <w:rsid w:val="008B5C09"/>
    <w:rsid w:val="008F65FA"/>
    <w:rsid w:val="00961FB8"/>
    <w:rsid w:val="00982410"/>
    <w:rsid w:val="00982499"/>
    <w:rsid w:val="00986B33"/>
    <w:rsid w:val="00A13A9F"/>
    <w:rsid w:val="00A25D7B"/>
    <w:rsid w:val="00A848D9"/>
    <w:rsid w:val="00A90C2F"/>
    <w:rsid w:val="00AA0C3B"/>
    <w:rsid w:val="00AC02A0"/>
    <w:rsid w:val="00AE538C"/>
    <w:rsid w:val="00AF21A1"/>
    <w:rsid w:val="00B10559"/>
    <w:rsid w:val="00B47227"/>
    <w:rsid w:val="00B709D3"/>
    <w:rsid w:val="00BA3A98"/>
    <w:rsid w:val="00BE4542"/>
    <w:rsid w:val="00BF4DAC"/>
    <w:rsid w:val="00C548EB"/>
    <w:rsid w:val="00C743A9"/>
    <w:rsid w:val="00D046C4"/>
    <w:rsid w:val="00D10611"/>
    <w:rsid w:val="00D11AFF"/>
    <w:rsid w:val="00D11C6F"/>
    <w:rsid w:val="00D3595E"/>
    <w:rsid w:val="00E315B3"/>
    <w:rsid w:val="00E7277C"/>
    <w:rsid w:val="00E8768C"/>
    <w:rsid w:val="00EA2E58"/>
    <w:rsid w:val="00EC1A42"/>
    <w:rsid w:val="00EF3A1A"/>
    <w:rsid w:val="00EF7908"/>
    <w:rsid w:val="00F2673A"/>
    <w:rsid w:val="00F33132"/>
    <w:rsid w:val="00F5541C"/>
    <w:rsid w:val="00F70317"/>
    <w:rsid w:val="00F85A80"/>
    <w:rsid w:val="00F94166"/>
    <w:rsid w:val="00FC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F3A5"/>
  <w15:docId w15:val="{BE7FCFF1-01F9-4921-AB7F-8988F5BD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after="0" w:line="240" w:lineRule="auto"/>
      <w:jc w:val="center"/>
    </w:pPr>
    <w:rPr>
      <w:rFonts w:ascii="Arial Black" w:eastAsia="Times New Roman" w:hAnsi="Arial Black"/>
      <w:b/>
      <w:caps/>
      <w:sz w:val="24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eader1">
    <w:name w:val="header1"/>
    <w:rPr>
      <w:b/>
      <w:bCs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customStyle="1" w:styleId="textsmallem1">
    <w:name w:val="textsmallem1"/>
    <w:rPr>
      <w:b/>
      <w:bCs/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textsmall1">
    <w:name w:val="textsmall1"/>
    <w:rPr>
      <w:w w:val="100"/>
      <w:position w:val="-1"/>
      <w:sz w:val="15"/>
      <w:szCs w:val="15"/>
      <w:effect w:val="none"/>
      <w:vertAlign w:val="baseline"/>
      <w:cs w:val="0"/>
      <w:em w:val="none"/>
    </w:rPr>
  </w:style>
  <w:style w:type="character" w:customStyle="1" w:styleId="subheader1">
    <w:name w:val="subheader1"/>
    <w:rPr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Siln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NzevChar">
    <w:name w:val="Název Char"/>
    <w:rPr>
      <w:rFonts w:ascii="Arial Black" w:eastAsia="Times New Roman" w:hAnsi="Arial Black"/>
      <w:b/>
      <w:caps/>
      <w:w w:val="100"/>
      <w:position w:val="-1"/>
      <w:sz w:val="24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apple-tab-span">
    <w:name w:val="apple-tab-span"/>
    <w:rPr>
      <w:w w:val="100"/>
      <w:position w:val="-1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y6gJLdwxWH+y6PBSbOXw+vP5A==">AMUW2mX81dJwLj6aI3hrMHl7bybk5U8nydEbth5qX3g6B+DuJOPaNSXTHhW8L0hGBrQjOTyZqudXzLOeSvWVv7EK/sXQ+FAWLmG36A4bC3GI7fdMS4oAA/I=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2011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</dc:creator>
  <cp:lastModifiedBy>Nejdrova</cp:lastModifiedBy>
  <cp:revision>3</cp:revision>
  <cp:lastPrinted>2020-06-09T07:43:00Z</cp:lastPrinted>
  <dcterms:created xsi:type="dcterms:W3CDTF">2023-02-22T12:13:00Z</dcterms:created>
  <dcterms:modified xsi:type="dcterms:W3CDTF">2023-02-22T12:17:00Z</dcterms:modified>
</cp:coreProperties>
</file>