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1ACF" w14:textId="77777777" w:rsidR="00813A50" w:rsidRDefault="00AE6452">
      <w:pPr>
        <w:pStyle w:val="Heading20"/>
        <w:framePr w:w="9250" w:h="1301" w:hRule="exact" w:wrap="none" w:vAnchor="page" w:hAnchor="page" w:x="1156" w:y="1396"/>
        <w:shd w:val="clear" w:color="auto" w:fill="auto"/>
      </w:pPr>
      <w:bookmarkStart w:id="0" w:name="bookmark0"/>
      <w:r>
        <w:t xml:space="preserve">Dodatek </w:t>
      </w:r>
      <w:r>
        <w:rPr>
          <w:rStyle w:val="Heading211pt"/>
          <w:b/>
          <w:bCs/>
        </w:rPr>
        <w:t xml:space="preserve">č. </w:t>
      </w:r>
      <w:r>
        <w:t>1 ke</w:t>
      </w:r>
      <w:bookmarkEnd w:id="0"/>
    </w:p>
    <w:p w14:paraId="354E1AD0" w14:textId="77777777" w:rsidR="00813A50" w:rsidRDefault="00AE6452">
      <w:pPr>
        <w:pStyle w:val="Heading20"/>
        <w:framePr w:w="9250" w:h="1301" w:hRule="exact" w:wrap="none" w:vAnchor="page" w:hAnchor="page" w:x="1156" w:y="1396"/>
        <w:shd w:val="clear" w:color="auto" w:fill="auto"/>
        <w:spacing w:after="322"/>
      </w:pPr>
      <w:bookmarkStart w:id="1" w:name="bookmark1"/>
      <w:r>
        <w:t>SMLOUVĚ PŘÍKAZNÍ ZE DNE 01. 11. 2021</w:t>
      </w:r>
      <w:bookmarkEnd w:id="1"/>
    </w:p>
    <w:p w14:paraId="354E1AD1" w14:textId="77777777" w:rsidR="00813A50" w:rsidRDefault="00AE6452">
      <w:pPr>
        <w:pStyle w:val="Bodytext20"/>
        <w:framePr w:w="9250" w:h="1301" w:hRule="exact" w:wrap="none" w:vAnchor="page" w:hAnchor="page" w:x="1156" w:y="1396"/>
        <w:shd w:val="clear" w:color="auto" w:fill="auto"/>
        <w:spacing w:before="0" w:after="0"/>
        <w:ind w:firstLine="0"/>
      </w:pPr>
      <w:r>
        <w:t>Níže uvedené smluvní strany:</w:t>
      </w:r>
    </w:p>
    <w:p w14:paraId="354E1AD2" w14:textId="3FCAD058" w:rsidR="00813A50" w:rsidRDefault="00AE6452">
      <w:pPr>
        <w:pStyle w:val="Heading320"/>
        <w:framePr w:w="9250" w:h="3914" w:hRule="exact" w:wrap="none" w:vAnchor="page" w:hAnchor="page" w:x="1156" w:y="3451"/>
        <w:shd w:val="clear" w:color="auto" w:fill="auto"/>
        <w:spacing w:before="0"/>
        <w:ind w:left="720"/>
      </w:pPr>
      <w:bookmarkStart w:id="2" w:name="bookmark2"/>
      <w:r>
        <w:t>Hudební divadlo v Karl</w:t>
      </w:r>
      <w:r w:rsidR="00747F0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2"/>
    </w:p>
    <w:p w14:paraId="354E1AD3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ind w:left="720"/>
      </w:pPr>
      <w:r>
        <w:t>Se sídlem: Křižíkova 10, 186 00 Praha 8</w:t>
      </w:r>
    </w:p>
    <w:p w14:paraId="354E1AD4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ind w:left="720"/>
      </w:pPr>
      <w:r>
        <w:t>IČ: 00064335, DIČ: CZ00064335</w:t>
      </w:r>
    </w:p>
    <w:p w14:paraId="354E1AD5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ind w:left="720"/>
      </w:pPr>
      <w:r>
        <w:t xml:space="preserve">Jejímž jménem jedná: Bc. Egon </w:t>
      </w:r>
      <w:proofErr w:type="gramStart"/>
      <w:r>
        <w:t>Kulhánek - ředitel</w:t>
      </w:r>
      <w:proofErr w:type="gramEnd"/>
    </w:p>
    <w:p w14:paraId="54511A06" w14:textId="77777777" w:rsidR="00747F0C" w:rsidRDefault="00AE6452">
      <w:pPr>
        <w:pStyle w:val="Bodytext40"/>
        <w:framePr w:w="9250" w:h="3914" w:hRule="exact" w:wrap="none" w:vAnchor="page" w:hAnchor="page" w:x="1156" w:y="3451"/>
        <w:shd w:val="clear" w:color="auto" w:fill="auto"/>
        <w:spacing w:before="0"/>
        <w:ind w:left="340"/>
      </w:pPr>
      <w:r>
        <w:rPr>
          <w:rStyle w:val="Bodytext4NotBold"/>
        </w:rPr>
        <w:t xml:space="preserve">(dále jen: </w:t>
      </w:r>
      <w:r>
        <w:t xml:space="preserve">Příkazce) </w:t>
      </w:r>
    </w:p>
    <w:p w14:paraId="354E1AD6" w14:textId="62A7A425" w:rsidR="00813A50" w:rsidRDefault="00AE6452">
      <w:pPr>
        <w:pStyle w:val="Bodytext40"/>
        <w:framePr w:w="9250" w:h="3914" w:hRule="exact" w:wrap="none" w:vAnchor="page" w:hAnchor="page" w:x="1156" w:y="3451"/>
        <w:shd w:val="clear" w:color="auto" w:fill="auto"/>
        <w:spacing w:before="0"/>
        <w:ind w:left="340"/>
      </w:pPr>
      <w:r>
        <w:t>a</w:t>
      </w:r>
    </w:p>
    <w:p w14:paraId="684B6ECE" w14:textId="77777777" w:rsidR="00747F0C" w:rsidRDefault="00747F0C">
      <w:pPr>
        <w:pStyle w:val="Heading320"/>
        <w:framePr w:w="9250" w:h="3914" w:hRule="exact" w:wrap="none" w:vAnchor="page" w:hAnchor="page" w:x="1156" w:y="3451"/>
        <w:shd w:val="clear" w:color="auto" w:fill="auto"/>
        <w:spacing w:before="0" w:line="245" w:lineRule="exact"/>
        <w:ind w:left="720"/>
        <w:rPr>
          <w:lang w:val="en-US" w:eastAsia="en-US" w:bidi="en-US"/>
        </w:rPr>
      </w:pPr>
      <w:bookmarkStart w:id="3" w:name="bookmark3"/>
    </w:p>
    <w:p w14:paraId="354E1AD7" w14:textId="361F429E" w:rsidR="00813A50" w:rsidRDefault="00AE6452">
      <w:pPr>
        <w:pStyle w:val="Heading320"/>
        <w:framePr w:w="9250" w:h="3914" w:hRule="exact" w:wrap="none" w:vAnchor="page" w:hAnchor="page" w:x="1156" w:y="3451"/>
        <w:shd w:val="clear" w:color="auto" w:fill="auto"/>
        <w:spacing w:before="0" w:line="245" w:lineRule="exact"/>
        <w:ind w:left="720"/>
      </w:pPr>
      <w:r>
        <w:rPr>
          <w:lang w:val="en-US" w:eastAsia="en-US" w:bidi="en-US"/>
        </w:rPr>
        <w:t xml:space="preserve">DM services, </w:t>
      </w:r>
      <w:r>
        <w:t>s.r.o.</w:t>
      </w:r>
      <w:bookmarkEnd w:id="3"/>
    </w:p>
    <w:p w14:paraId="354E1AD8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spacing w:line="245" w:lineRule="exact"/>
        <w:ind w:left="720"/>
      </w:pPr>
      <w:r>
        <w:t>Se sídlem: Smetanovo nábřeží 316, 517 54 Vamberk</w:t>
      </w:r>
    </w:p>
    <w:p w14:paraId="354E1AD9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spacing w:line="245" w:lineRule="exact"/>
        <w:ind w:left="720"/>
      </w:pPr>
      <w:r>
        <w:t>IČ: 28799747, DIČ: CZ28799747</w:t>
      </w:r>
    </w:p>
    <w:p w14:paraId="354E1ADA" w14:textId="77777777" w:rsidR="00813A50" w:rsidRDefault="00AE6452">
      <w:pPr>
        <w:pStyle w:val="Bodytext30"/>
        <w:framePr w:w="9250" w:h="3914" w:hRule="exact" w:wrap="none" w:vAnchor="page" w:hAnchor="page" w:x="1156" w:y="3451"/>
        <w:shd w:val="clear" w:color="auto" w:fill="auto"/>
        <w:spacing w:after="259" w:line="245" w:lineRule="exact"/>
        <w:ind w:left="720"/>
      </w:pPr>
      <w:r>
        <w:t xml:space="preserve">Jejímž jménem jedná: Ladislav </w:t>
      </w:r>
      <w:proofErr w:type="gramStart"/>
      <w:r>
        <w:t>Bouška - jednatel</w:t>
      </w:r>
      <w:proofErr w:type="gramEnd"/>
    </w:p>
    <w:p w14:paraId="354E1ADB" w14:textId="77777777" w:rsidR="00813A50" w:rsidRDefault="00AE6452">
      <w:pPr>
        <w:pStyle w:val="Bodytext20"/>
        <w:framePr w:w="9250" w:h="3914" w:hRule="exact" w:wrap="none" w:vAnchor="page" w:hAnchor="page" w:x="1156" w:y="3451"/>
        <w:shd w:val="clear" w:color="auto" w:fill="auto"/>
        <w:spacing w:before="0" w:after="0" w:line="246" w:lineRule="exact"/>
        <w:ind w:left="720" w:hanging="380"/>
        <w:jc w:val="left"/>
      </w:pPr>
      <w:r>
        <w:t xml:space="preserve">(dále jen: </w:t>
      </w:r>
      <w:r>
        <w:rPr>
          <w:rStyle w:val="Bodytext2Bold"/>
        </w:rPr>
        <w:t>Příkazník)</w:t>
      </w:r>
    </w:p>
    <w:p w14:paraId="354E1ADC" w14:textId="77777777" w:rsidR="00813A50" w:rsidRDefault="00AE6452">
      <w:pPr>
        <w:pStyle w:val="Bodytext20"/>
        <w:framePr w:w="9250" w:h="850" w:hRule="exact" w:wrap="none" w:vAnchor="page" w:hAnchor="page" w:x="1156" w:y="7872"/>
        <w:shd w:val="clear" w:color="auto" w:fill="auto"/>
        <w:spacing w:before="0" w:after="0" w:line="264" w:lineRule="exact"/>
        <w:ind w:right="260" w:firstLine="0"/>
      </w:pPr>
      <w:r>
        <w:t>uzavřely níže uvedeného dne a roku tento</w:t>
      </w:r>
    </w:p>
    <w:p w14:paraId="354E1ADD" w14:textId="77777777" w:rsidR="00813A50" w:rsidRDefault="00AE6452">
      <w:pPr>
        <w:pStyle w:val="Bodytext40"/>
        <w:framePr w:w="9250" w:h="850" w:hRule="exact" w:wrap="none" w:vAnchor="page" w:hAnchor="page" w:x="1156" w:y="7872"/>
        <w:shd w:val="clear" w:color="auto" w:fill="auto"/>
        <w:spacing w:before="0" w:line="264" w:lineRule="exact"/>
        <w:ind w:right="260"/>
        <w:jc w:val="center"/>
      </w:pPr>
      <w:r>
        <w:t xml:space="preserve">dodatek č. 1 smlouvy příkazní ze dne </w:t>
      </w:r>
      <w:r w:rsidRPr="00747F0C">
        <w:rPr>
          <w:rStyle w:val="Bodytext4NotBold"/>
          <w:b/>
        </w:rPr>
        <w:t>01</w:t>
      </w:r>
      <w:r>
        <w:t>. 11. 2021</w:t>
      </w:r>
    </w:p>
    <w:p w14:paraId="354E1ADE" w14:textId="77777777" w:rsidR="00813A50" w:rsidRDefault="00AE6452">
      <w:pPr>
        <w:pStyle w:val="Bodytext20"/>
        <w:framePr w:w="9250" w:h="850" w:hRule="exact" w:wrap="none" w:vAnchor="page" w:hAnchor="page" w:x="1156" w:y="7872"/>
        <w:shd w:val="clear" w:color="auto" w:fill="auto"/>
        <w:spacing w:before="0" w:after="0" w:line="264" w:lineRule="exact"/>
        <w:ind w:right="260" w:firstLine="0"/>
      </w:pPr>
      <w:r>
        <w:t>(dále jen „dodatek smlouvy")</w:t>
      </w:r>
    </w:p>
    <w:p w14:paraId="354E1ADF" w14:textId="77777777" w:rsidR="00813A50" w:rsidRDefault="00AE6452">
      <w:pPr>
        <w:pStyle w:val="Heading10"/>
        <w:framePr w:w="9250" w:h="3510" w:hRule="exact" w:wrap="none" w:vAnchor="page" w:hAnchor="page" w:x="1156" w:y="9205"/>
        <w:shd w:val="clear" w:color="auto" w:fill="auto"/>
        <w:spacing w:before="0"/>
      </w:pPr>
      <w:bookmarkStart w:id="4" w:name="bookmark4"/>
      <w:r>
        <w:t>I.</w:t>
      </w:r>
      <w:bookmarkEnd w:id="4"/>
    </w:p>
    <w:p w14:paraId="354E1AE0" w14:textId="77777777" w:rsidR="00813A50" w:rsidRDefault="00AE6452">
      <w:pPr>
        <w:pStyle w:val="Bodytext40"/>
        <w:framePr w:w="9250" w:h="3510" w:hRule="exact" w:wrap="none" w:vAnchor="page" w:hAnchor="page" w:x="1156" w:y="9205"/>
        <w:shd w:val="clear" w:color="auto" w:fill="auto"/>
        <w:spacing w:before="0" w:line="259" w:lineRule="exact"/>
        <w:jc w:val="center"/>
      </w:pPr>
      <w:r>
        <w:t>Preambule</w:t>
      </w:r>
    </w:p>
    <w:p w14:paraId="354E1AE1" w14:textId="77736F53" w:rsidR="00813A50" w:rsidRDefault="00AE6452">
      <w:pPr>
        <w:pStyle w:val="Bodytext20"/>
        <w:framePr w:w="9250" w:h="3510" w:hRule="exact" w:wrap="none" w:vAnchor="page" w:hAnchor="page" w:x="1156" w:y="9205"/>
        <w:shd w:val="clear" w:color="auto" w:fill="auto"/>
        <w:spacing w:before="0" w:after="0" w:line="259" w:lineRule="exact"/>
        <w:ind w:firstLine="0"/>
        <w:jc w:val="both"/>
      </w:pPr>
      <w:r>
        <w:t xml:space="preserve">Smlouva příkazní ze dne 01. 11. 2021 na poskytování tiskařských a distribučních služeb byla uzavřena na základě výsledku podlimitní veřejné zakázky „Tiskařské a distribuční služby pro Hudební divadlo v Karlině od r. 2021", zadávané v souladu s § 26 odst. 2 a § 52 písm. a) zákona č. 134/2016 Sb., o zadávání veřejných zakázek, ve znění pozdějších předpisů (dále jen „zákon"), ve zjednodušeném podlimitním řízení dle § 53 zákona na základě výzvy k podání nabídky </w:t>
      </w:r>
      <w:r w:rsidR="00747F0C">
        <w:t>Č</w:t>
      </w:r>
      <w:r>
        <w:t xml:space="preserve">j. 601/21 ze dne 15. července 2021. Tento dodatek smlouvy se uzavírá v souladu s § 222 odst. 2 zákona na základě vyhrazené změny závazku sjednané v čl. VI odst. 7 písm. b) smlouvy příkazní ze dne 01. 11. 2021, když důvodem pro uzavření tohoto dodatku je zvýšení poštovného u České pošty, </w:t>
      </w:r>
      <w:proofErr w:type="spellStart"/>
      <w:r>
        <w:t>s.p</w:t>
      </w:r>
      <w:proofErr w:type="spellEnd"/>
      <w:r>
        <w:t>. o více jak 20 % oproti cenám platným k</w:t>
      </w:r>
      <w:r w:rsidR="00747F0C">
        <w:t xml:space="preserve"> </w:t>
      </w:r>
      <w:r>
        <w:t>datu podání nabídky Příkazníka do zadávacího řízení na veřejnou zakázku „Tiskařské a distribuční služby pro Hudební divadlo v Karlině od r. 2021".</w:t>
      </w:r>
    </w:p>
    <w:p w14:paraId="354E1AE2" w14:textId="77777777" w:rsidR="00813A50" w:rsidRDefault="00AE6452">
      <w:pPr>
        <w:pStyle w:val="Heading330"/>
        <w:framePr w:w="9250" w:h="2464" w:hRule="exact" w:wrap="none" w:vAnchor="page" w:hAnchor="page" w:x="1156" w:y="13194"/>
        <w:shd w:val="clear" w:color="auto" w:fill="auto"/>
        <w:spacing w:before="0"/>
      </w:pPr>
      <w:bookmarkStart w:id="5" w:name="bookmark5"/>
      <w:r>
        <w:t>II.</w:t>
      </w:r>
      <w:bookmarkEnd w:id="5"/>
    </w:p>
    <w:p w14:paraId="354E1AE3" w14:textId="77777777" w:rsidR="00813A50" w:rsidRDefault="00AE6452">
      <w:pPr>
        <w:pStyle w:val="Bodytext40"/>
        <w:framePr w:w="9250" w:h="2464" w:hRule="exact" w:wrap="none" w:vAnchor="page" w:hAnchor="page" w:x="1156" w:y="13194"/>
        <w:shd w:val="clear" w:color="auto" w:fill="auto"/>
        <w:spacing w:before="0" w:line="254" w:lineRule="exact"/>
        <w:jc w:val="center"/>
      </w:pPr>
      <w:r>
        <w:t>Předmět dodatku smlouvy</w:t>
      </w:r>
    </w:p>
    <w:p w14:paraId="354E1AE4" w14:textId="77777777" w:rsidR="00813A50" w:rsidRDefault="00AE6452">
      <w:pPr>
        <w:pStyle w:val="Bodytext20"/>
        <w:framePr w:w="9250" w:h="2464" w:hRule="exact" w:wrap="none" w:vAnchor="page" w:hAnchor="page" w:x="1156" w:y="13194"/>
        <w:shd w:val="clear" w:color="auto" w:fill="auto"/>
        <w:spacing w:before="0" w:after="0" w:line="254" w:lineRule="exact"/>
        <w:ind w:firstLine="0"/>
        <w:jc w:val="both"/>
      </w:pPr>
      <w:r>
        <w:t>Smluvní strany se dohodly na uzavření tohoto dodatku smlouvy, kterým se mění pouze čl. VI odst. 5 smlouvy příkazní ze dne 01. 1. 2021 takto:</w:t>
      </w:r>
    </w:p>
    <w:p w14:paraId="354E1AE5" w14:textId="77777777" w:rsidR="00813A50" w:rsidRDefault="00AE6452">
      <w:pPr>
        <w:pStyle w:val="Bodytext20"/>
        <w:framePr w:w="9250" w:h="2464" w:hRule="exact" w:wrap="none" w:vAnchor="page" w:hAnchor="page" w:x="1156" w:y="13194"/>
        <w:shd w:val="clear" w:color="auto" w:fill="auto"/>
        <w:spacing w:before="0" w:after="0" w:line="269" w:lineRule="exact"/>
        <w:ind w:left="340" w:hanging="340"/>
        <w:jc w:val="left"/>
      </w:pPr>
      <w:r>
        <w:t xml:space="preserve">1. </w:t>
      </w:r>
      <w:r>
        <w:rPr>
          <w:rStyle w:val="Bodytext2Bold"/>
        </w:rPr>
        <w:t xml:space="preserve">Původní jednotkové ceny </w:t>
      </w:r>
      <w:r>
        <w:t>ke stanovení odměny Příkazníka byly oběma smluvními stranami ve smlouvě příkazní dohodnuty v následně uvedené výši:</w:t>
      </w:r>
    </w:p>
    <w:p w14:paraId="354E1AE6" w14:textId="5AFB3823" w:rsidR="00813A50" w:rsidRDefault="005E7312">
      <w:pPr>
        <w:pStyle w:val="Bodytext20"/>
        <w:framePr w:w="9250" w:h="2464" w:hRule="exact" w:wrap="none" w:vAnchor="page" w:hAnchor="page" w:x="1156" w:y="13194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40" w:lineRule="exact"/>
        <w:ind w:left="720" w:hanging="380"/>
        <w:jc w:val="left"/>
      </w:pPr>
      <w:proofErr w:type="spellStart"/>
      <w:r>
        <w:rPr>
          <w:rStyle w:val="Bodytext2Bold"/>
        </w:rPr>
        <w:t>xx</w:t>
      </w:r>
      <w:proofErr w:type="spellEnd"/>
      <w:r w:rsidR="00AE6452">
        <w:t xml:space="preserve"> Kč bez DPH/l ks obálky s tiskovinami od váhy 50 gramů do váhy 100 gramů včetně, ^</w:t>
      </w:r>
    </w:p>
    <w:p w14:paraId="354E1AE7" w14:textId="3DC4C284" w:rsidR="00813A50" w:rsidRDefault="005E7312">
      <w:pPr>
        <w:pStyle w:val="Bodytext20"/>
        <w:framePr w:w="9250" w:h="2464" w:hRule="exact" w:wrap="none" w:vAnchor="page" w:hAnchor="page" w:x="1156" w:y="13194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246" w:lineRule="exact"/>
        <w:ind w:left="740" w:hanging="380"/>
        <w:jc w:val="both"/>
      </w:pPr>
      <w:proofErr w:type="spellStart"/>
      <w:r>
        <w:rPr>
          <w:rStyle w:val="Bodytext2Bold"/>
        </w:rPr>
        <w:t>xx</w:t>
      </w:r>
      <w:proofErr w:type="spellEnd"/>
      <w:r w:rsidR="00AE6452">
        <w:t xml:space="preserve"> KČ bez DPH /I ks obálky s tiskovinami od váhy 101 gramů do váhy 200 gramů</w:t>
      </w:r>
    </w:p>
    <w:p w14:paraId="354E1AE8" w14:textId="77777777" w:rsidR="00813A50" w:rsidRDefault="00813A50">
      <w:pPr>
        <w:rPr>
          <w:sz w:val="2"/>
          <w:szCs w:val="2"/>
        </w:rPr>
        <w:sectPr w:rsidR="00813A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4E1AE9" w14:textId="77777777" w:rsidR="00813A50" w:rsidRDefault="00AE6452">
      <w:pPr>
        <w:pStyle w:val="Headerorfooter0"/>
        <w:framePr w:wrap="none" w:vAnchor="page" w:hAnchor="page" w:x="11169" w:y="943"/>
        <w:shd w:val="clear" w:color="auto" w:fill="auto"/>
      </w:pPr>
      <w:r>
        <w:lastRenderedPageBreak/>
        <w:t>9</w:t>
      </w:r>
    </w:p>
    <w:p w14:paraId="354E1AEA" w14:textId="77777777" w:rsidR="00813A50" w:rsidRDefault="00AE6452">
      <w:pPr>
        <w:pStyle w:val="Bodytext20"/>
        <w:framePr w:wrap="none" w:vAnchor="page" w:hAnchor="page" w:x="1190" w:y="1569"/>
        <w:shd w:val="clear" w:color="auto" w:fill="auto"/>
        <w:tabs>
          <w:tab w:val="left" w:pos="738"/>
        </w:tabs>
        <w:spacing w:before="0" w:after="0" w:line="246" w:lineRule="exact"/>
        <w:ind w:left="740" w:hanging="380"/>
        <w:jc w:val="both"/>
      </w:pPr>
      <w:r>
        <w:t xml:space="preserve">včetně </w:t>
      </w:r>
      <w:r>
        <w:rPr>
          <w:lang w:val="en-US" w:eastAsia="en-US" w:bidi="en-US"/>
        </w:rPr>
        <w:t>a</w:t>
      </w:r>
    </w:p>
    <w:p w14:paraId="354E1AEB" w14:textId="144A10E0" w:rsidR="00813A50" w:rsidRDefault="005E7312">
      <w:pPr>
        <w:pStyle w:val="Bodytext20"/>
        <w:framePr w:w="9182" w:h="2682" w:hRule="exact" w:wrap="none" w:vAnchor="page" w:hAnchor="page" w:x="1190" w:y="1824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260"/>
        <w:ind w:left="740" w:hanging="320"/>
        <w:jc w:val="left"/>
      </w:pPr>
      <w:proofErr w:type="spellStart"/>
      <w:r>
        <w:t>xx</w:t>
      </w:r>
      <w:proofErr w:type="spellEnd"/>
      <w:r w:rsidR="00AE6452">
        <w:t xml:space="preserve"> Kč bez DPH/l ks zásilky s tiskovinami v neprůhledné folii do 200 gramů včetně.</w:t>
      </w:r>
    </w:p>
    <w:p w14:paraId="354E1AEC" w14:textId="77777777" w:rsidR="00813A50" w:rsidRDefault="00AE6452">
      <w:pPr>
        <w:pStyle w:val="Bodytext20"/>
        <w:framePr w:w="9182" w:h="2682" w:hRule="exact" w:wrap="none" w:vAnchor="page" w:hAnchor="page" w:x="1190" w:y="1824"/>
        <w:shd w:val="clear" w:color="auto" w:fill="auto"/>
        <w:spacing w:before="0" w:after="0" w:line="259" w:lineRule="exact"/>
        <w:ind w:left="420"/>
        <w:jc w:val="both"/>
      </w:pPr>
      <w:r>
        <w:t xml:space="preserve">2. </w:t>
      </w:r>
      <w:r>
        <w:rPr>
          <w:rStyle w:val="Bodytext2Bold"/>
        </w:rPr>
        <w:t xml:space="preserve">Aktualizované (nové) jednotkové ceny </w:t>
      </w:r>
      <w:r>
        <w:t>ke stanovení odměny Příkazníka jsou tímto dodatkem smlouvy oběma smluvními stranami dohodnuty v souladu s čl. VI odst. 7 písm. b) smlouvy příkazní ze dne 01. 11. 2021 v následně uvedené výši:</w:t>
      </w:r>
    </w:p>
    <w:p w14:paraId="354E1AED" w14:textId="6895DE30" w:rsidR="00813A50" w:rsidRDefault="005E7312">
      <w:pPr>
        <w:pStyle w:val="Bodytext20"/>
        <w:framePr w:w="9182" w:h="2682" w:hRule="exact" w:wrap="none" w:vAnchor="page" w:hAnchor="page" w:x="1190" w:y="182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59" w:lineRule="exact"/>
        <w:ind w:left="740" w:hanging="320"/>
        <w:jc w:val="left"/>
      </w:pPr>
      <w:proofErr w:type="spellStart"/>
      <w:r>
        <w:rPr>
          <w:b/>
        </w:rPr>
        <w:t>xx</w:t>
      </w:r>
      <w:proofErr w:type="spellEnd"/>
      <w:r w:rsidR="00AE6452">
        <w:t xml:space="preserve"> Kč bez DPH/l ks obálky s tiskovinami od váhy 50 gramů do váhy 100 gramů včetně,</w:t>
      </w:r>
    </w:p>
    <w:p w14:paraId="354E1AEE" w14:textId="26C1FB3B" w:rsidR="00813A50" w:rsidRDefault="005E7312">
      <w:pPr>
        <w:pStyle w:val="Bodytext20"/>
        <w:framePr w:w="9182" w:h="2682" w:hRule="exact" w:wrap="none" w:vAnchor="page" w:hAnchor="page" w:x="1190" w:y="182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59" w:lineRule="exact"/>
        <w:ind w:left="740" w:hanging="320"/>
        <w:jc w:val="left"/>
      </w:pPr>
      <w:proofErr w:type="spellStart"/>
      <w:r>
        <w:rPr>
          <w:b/>
        </w:rPr>
        <w:t>xx</w:t>
      </w:r>
      <w:proofErr w:type="spellEnd"/>
      <w:r w:rsidR="00AE6452">
        <w:t xml:space="preserve"> KČ bez DPH /I ks obálky s tiskovinami od váhy 101 gramů do váhy 200 gramů včetně a</w:t>
      </w:r>
    </w:p>
    <w:p w14:paraId="354E1AEF" w14:textId="6DD951FB" w:rsidR="00813A50" w:rsidRDefault="005E7312">
      <w:pPr>
        <w:pStyle w:val="Bodytext20"/>
        <w:framePr w:w="9182" w:h="2682" w:hRule="exact" w:wrap="none" w:vAnchor="page" w:hAnchor="page" w:x="1190" w:y="182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59" w:lineRule="exact"/>
        <w:ind w:left="740" w:hanging="320"/>
        <w:jc w:val="left"/>
      </w:pPr>
      <w:proofErr w:type="spellStart"/>
      <w:r>
        <w:rPr>
          <w:b/>
        </w:rPr>
        <w:t>xx</w:t>
      </w:r>
      <w:proofErr w:type="spellEnd"/>
      <w:r w:rsidR="00AE6452">
        <w:t xml:space="preserve"> Kč bez DPH/l ks zásilky s tiskovinami v neprůhledné folii do 200 gramů včetně.</w:t>
      </w:r>
    </w:p>
    <w:p w14:paraId="354E1AF0" w14:textId="77777777" w:rsidR="00813A50" w:rsidRDefault="00AE6452">
      <w:pPr>
        <w:pStyle w:val="Bodytext20"/>
        <w:framePr w:w="9182" w:h="1973" w:hRule="exact" w:wrap="none" w:vAnchor="page" w:hAnchor="page" w:x="1190" w:y="5531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280" w:line="274" w:lineRule="exact"/>
        <w:ind w:left="420"/>
        <w:jc w:val="both"/>
      </w:pPr>
      <w:r>
        <w:t>Ve všech ostatních částech zůstává smlouva příkazní ze dne 01. 11. 2021 tímto dodatkem č. 1 nedotčena.</w:t>
      </w:r>
    </w:p>
    <w:p w14:paraId="354E1AF1" w14:textId="77777777" w:rsidR="00813A50" w:rsidRDefault="00AE6452">
      <w:pPr>
        <w:pStyle w:val="Bodytext20"/>
        <w:framePr w:w="9182" w:h="1973" w:hRule="exact" w:wrap="none" w:vAnchor="page" w:hAnchor="page" w:x="1190" w:y="5531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4" w:lineRule="exact"/>
        <w:ind w:left="420"/>
        <w:jc w:val="both"/>
      </w:pPr>
      <w:r>
        <w:t xml:space="preserve">Obě strany prohlašují, že došlo k dohodě o celém rozsahu tohoto dodatku ke smlouvě. Tento dodatek ke smlouvě se vystavuje </w:t>
      </w:r>
      <w:proofErr w:type="gramStart"/>
      <w:r>
        <w:t>v</w:t>
      </w:r>
      <w:proofErr w:type="gramEnd"/>
      <w:r>
        <w:t xml:space="preserve"> dvou vyhotoveních, z nichž Příkazce i Příkazník obdrží jeden vzájemně potvrzený stejnopis. Tento dodatek ke smlouvě nabývá účinnosti dnem jeho zveřejnění v registru smluv.</w:t>
      </w:r>
    </w:p>
    <w:p w14:paraId="354E1AF2" w14:textId="77777777" w:rsidR="00813A50" w:rsidRDefault="00AE6452">
      <w:pPr>
        <w:pStyle w:val="Heading30"/>
        <w:framePr w:w="9182" w:h="1920" w:hRule="exact" w:wrap="none" w:vAnchor="page" w:hAnchor="page" w:x="1190" w:y="7987"/>
        <w:shd w:val="clear" w:color="auto" w:fill="auto"/>
        <w:spacing w:before="0" w:line="264" w:lineRule="exact"/>
        <w:ind w:right="40"/>
      </w:pPr>
      <w:bookmarkStart w:id="6" w:name="bookmark6"/>
      <w:r>
        <w:t>IV.</w:t>
      </w:r>
      <w:bookmarkEnd w:id="6"/>
    </w:p>
    <w:p w14:paraId="354E1AF3" w14:textId="77777777" w:rsidR="00813A50" w:rsidRDefault="00AE6452">
      <w:pPr>
        <w:pStyle w:val="Heading30"/>
        <w:framePr w:w="9182" w:h="1920" w:hRule="exact" w:wrap="none" w:vAnchor="page" w:hAnchor="page" w:x="1190" w:y="7987"/>
        <w:shd w:val="clear" w:color="auto" w:fill="auto"/>
        <w:spacing w:before="0" w:line="264" w:lineRule="exact"/>
        <w:ind w:right="40"/>
      </w:pPr>
      <w:bookmarkStart w:id="7" w:name="bookmark7"/>
      <w:r>
        <w:t>Přílohy tohoto dodatku ke smlouvě:</w:t>
      </w:r>
      <w:bookmarkEnd w:id="7"/>
    </w:p>
    <w:p w14:paraId="354E1AF4" w14:textId="77777777" w:rsidR="00813A50" w:rsidRDefault="00AE6452">
      <w:pPr>
        <w:pStyle w:val="Bodytext20"/>
        <w:framePr w:w="9182" w:h="1920" w:hRule="exact" w:wrap="none" w:vAnchor="page" w:hAnchor="page" w:x="1190" w:y="7987"/>
        <w:shd w:val="clear" w:color="auto" w:fill="auto"/>
        <w:spacing w:before="0" w:after="0" w:line="264" w:lineRule="exact"/>
        <w:ind w:firstLine="0"/>
        <w:jc w:val="left"/>
      </w:pPr>
      <w:r>
        <w:t xml:space="preserve">Přílohou č. 1 tohoto dodatku smlouvy je sazebník poštovného u České pošty, </w:t>
      </w:r>
      <w:proofErr w:type="spellStart"/>
      <w:r>
        <w:t>s.p</w:t>
      </w:r>
      <w:proofErr w:type="spellEnd"/>
      <w:r>
        <w:t>. platný od 1.7.2021</w:t>
      </w:r>
    </w:p>
    <w:p w14:paraId="354E1AF5" w14:textId="77777777" w:rsidR="00813A50" w:rsidRDefault="00AE6452">
      <w:pPr>
        <w:pStyle w:val="Bodytext20"/>
        <w:framePr w:w="9182" w:h="1920" w:hRule="exact" w:wrap="none" w:vAnchor="page" w:hAnchor="page" w:x="1190" w:y="7987"/>
        <w:shd w:val="clear" w:color="auto" w:fill="auto"/>
        <w:spacing w:before="0" w:after="0" w:line="264" w:lineRule="exact"/>
        <w:ind w:firstLine="0"/>
        <w:jc w:val="both"/>
      </w:pPr>
      <w:r>
        <w:t>Přílohou č. 2 tohoto dodatku smlouvy je výpočet k dokladování aktualizovaných (nových) jednotkových cen ke stanovení odměny Příkazníka dle čl. II odst. 2, který byl předložen Příkazníkem a projednán a odsouhlasen Příkazcem.</w:t>
      </w:r>
    </w:p>
    <w:p w14:paraId="354E1AF6" w14:textId="77777777" w:rsidR="00813A50" w:rsidRDefault="00AE6452">
      <w:pPr>
        <w:pStyle w:val="Picturecaption20"/>
        <w:framePr w:wrap="none" w:vAnchor="page" w:hAnchor="page" w:x="1204" w:y="10527"/>
        <w:shd w:val="clear" w:color="auto" w:fill="auto"/>
      </w:pPr>
      <w:r>
        <w:t>V Praze dne 27.1.2023</w:t>
      </w:r>
    </w:p>
    <w:p w14:paraId="354E1AF7" w14:textId="77777777" w:rsidR="00813A50" w:rsidRDefault="00AE6452">
      <w:pPr>
        <w:pStyle w:val="Heading30"/>
        <w:framePr w:w="9182" w:h="573" w:hRule="exact" w:wrap="none" w:vAnchor="page" w:hAnchor="page" w:x="1190" w:y="5011"/>
        <w:shd w:val="clear" w:color="auto" w:fill="auto"/>
        <w:spacing w:before="0"/>
        <w:ind w:right="40"/>
      </w:pPr>
      <w:bookmarkStart w:id="8" w:name="bookmark8"/>
      <w:r>
        <w:t>III.</w:t>
      </w:r>
      <w:bookmarkEnd w:id="8"/>
    </w:p>
    <w:p w14:paraId="354E1AF8" w14:textId="77777777" w:rsidR="00813A50" w:rsidRDefault="00AE6452">
      <w:pPr>
        <w:pStyle w:val="Heading30"/>
        <w:framePr w:w="9182" w:h="573" w:hRule="exact" w:wrap="none" w:vAnchor="page" w:hAnchor="page" w:x="1190" w:y="5011"/>
        <w:shd w:val="clear" w:color="auto" w:fill="auto"/>
        <w:spacing w:before="0"/>
        <w:ind w:right="40"/>
      </w:pPr>
      <w:bookmarkStart w:id="9" w:name="bookmark9"/>
      <w:r>
        <w:t>Závěrečná ustanovení</w:t>
      </w:r>
      <w:bookmarkEnd w:id="9"/>
    </w:p>
    <w:p w14:paraId="29BBA33A" w14:textId="0342467C" w:rsidR="00AE6452" w:rsidRDefault="00AE6452" w:rsidP="00AE6452">
      <w:pPr>
        <w:pStyle w:val="Picturecaption20"/>
        <w:framePr w:w="8941" w:h="2236" w:hRule="exact" w:wrap="none" w:vAnchor="page" w:hAnchor="page" w:x="1214" w:y="12466"/>
        <w:shd w:val="clear" w:color="auto" w:fill="auto"/>
      </w:pPr>
      <w:r>
        <w:t>Příkazce                                                                              Příkazník</w:t>
      </w:r>
    </w:p>
    <w:p w14:paraId="354E1AFA" w14:textId="157C5DE5" w:rsidR="00813A50" w:rsidRDefault="00AE6452" w:rsidP="00AE6452">
      <w:pPr>
        <w:pStyle w:val="Picturecaption20"/>
        <w:framePr w:w="8941" w:h="2236" w:hRule="exact" w:wrap="none" w:vAnchor="page" w:hAnchor="page" w:x="1214" w:y="12466"/>
        <w:shd w:val="clear" w:color="auto" w:fill="auto"/>
      </w:pPr>
      <w:r>
        <w:t xml:space="preserve">Bc. Egon </w:t>
      </w:r>
      <w:proofErr w:type="gramStart"/>
      <w:r>
        <w:t>Kulhánek - ředitel</w:t>
      </w:r>
      <w:proofErr w:type="gramEnd"/>
      <w:r>
        <w:t xml:space="preserve"> HDK                                            Ladislav Bouška</w:t>
      </w:r>
    </w:p>
    <w:p w14:paraId="5F2AC6EC" w14:textId="77777777" w:rsidR="00AE6452" w:rsidRDefault="00AE6452" w:rsidP="00AE6452">
      <w:pPr>
        <w:pStyle w:val="Picturecaption20"/>
        <w:framePr w:w="8941" w:h="2236" w:hRule="exact" w:wrap="none" w:vAnchor="page" w:hAnchor="page" w:x="1214" w:y="12466"/>
        <w:shd w:val="clear" w:color="auto" w:fill="auto"/>
      </w:pPr>
    </w:p>
    <w:p w14:paraId="354E1B02" w14:textId="77777777" w:rsidR="00813A50" w:rsidRDefault="00AE6452">
      <w:pPr>
        <w:pStyle w:val="Headerorfooter20"/>
        <w:framePr w:wrap="none" w:vAnchor="page" w:hAnchor="page" w:x="10175" w:y="15949"/>
        <w:shd w:val="clear" w:color="auto" w:fill="auto"/>
      </w:pPr>
      <w:r>
        <w:t>2</w:t>
      </w:r>
    </w:p>
    <w:p w14:paraId="354E1B03" w14:textId="77777777" w:rsidR="00813A50" w:rsidRDefault="00813A50">
      <w:pPr>
        <w:rPr>
          <w:sz w:val="2"/>
          <w:szCs w:val="2"/>
        </w:rPr>
      </w:pPr>
    </w:p>
    <w:sectPr w:rsidR="00813A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3F28" w14:textId="77777777" w:rsidR="00F57138" w:rsidRDefault="00F57138">
      <w:r>
        <w:separator/>
      </w:r>
    </w:p>
  </w:endnote>
  <w:endnote w:type="continuationSeparator" w:id="0">
    <w:p w14:paraId="7601F5D3" w14:textId="77777777" w:rsidR="00F57138" w:rsidRDefault="00F5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ia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CD9" w14:textId="77777777" w:rsidR="00F57138" w:rsidRDefault="00F57138"/>
  </w:footnote>
  <w:footnote w:type="continuationSeparator" w:id="0">
    <w:p w14:paraId="51694253" w14:textId="77777777" w:rsidR="00F57138" w:rsidRDefault="00F57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7BE"/>
    <w:multiLevelType w:val="multilevel"/>
    <w:tmpl w:val="500ADFB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C1BA9"/>
    <w:multiLevelType w:val="multilevel"/>
    <w:tmpl w:val="B246A13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852B54"/>
    <w:multiLevelType w:val="multilevel"/>
    <w:tmpl w:val="C84219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9747050">
    <w:abstractNumId w:val="0"/>
  </w:num>
  <w:num w:numId="2" w16cid:durableId="1452165794">
    <w:abstractNumId w:val="1"/>
  </w:num>
  <w:num w:numId="3" w16cid:durableId="161640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A50"/>
    <w:rsid w:val="005E7312"/>
    <w:rsid w:val="00747F0C"/>
    <w:rsid w:val="00813A50"/>
    <w:rsid w:val="00AE6452"/>
    <w:rsid w:val="00BD00FD"/>
    <w:rsid w:val="00F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1ACF"/>
  <w15:docId w15:val="{133C0825-32F4-4CC9-B081-C0CDB6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pt">
    <w:name w:val="Heading #2 + 11 pt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3">
    <w:name w:val="Heading #3 (3)_"/>
    <w:basedOn w:val="Standardnpsmoodstavce"/>
    <w:link w:val="Heading33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FreesiaUPC" w:eastAsia="FreesiaUPC" w:hAnsi="FreesiaUPC" w:cs="FreesiaUPC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SmallCaps">
    <w:name w:val="Picture caption (3) + Small Caps"/>
    <w:basedOn w:val="Picturecaption3"/>
    <w:rPr>
      <w:rFonts w:ascii="Cambria Math" w:eastAsia="Cambria Math" w:hAnsi="Cambria Math" w:cs="Cambria Math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Tahoma75pt">
    <w:name w:val="Picture caption + Tahoma;7.5 pt"/>
    <w:basedOn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FreesiaUPC" w:eastAsia="FreesiaUPC" w:hAnsi="FreesiaUPC" w:cs="FreesiaUPC"/>
      <w:b/>
      <w:bCs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820" w:line="234" w:lineRule="exact"/>
      <w:ind w:hanging="42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820" w:line="240" w:lineRule="exact"/>
      <w:ind w:hanging="380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0" w:lineRule="exact"/>
      <w:ind w:hanging="380"/>
    </w:pPr>
    <w:rPr>
      <w:rFonts w:ascii="Tahoma" w:eastAsia="Tahoma" w:hAnsi="Tahoma" w:cs="Tahoma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634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66" w:lineRule="exac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ing330">
    <w:name w:val="Heading #3 (3)"/>
    <w:basedOn w:val="Normln"/>
    <w:link w:val="Heading33"/>
    <w:pPr>
      <w:shd w:val="clear" w:color="auto" w:fill="FFFFFF"/>
      <w:spacing w:before="560" w:line="266" w:lineRule="exact"/>
      <w:jc w:val="center"/>
      <w:outlineLvl w:val="2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FreesiaUPC" w:eastAsia="FreesiaUPC" w:hAnsi="FreesiaUPC" w:cs="FreesiaUPC"/>
      <w:i/>
      <w:iCs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line="246" w:lineRule="exact"/>
      <w:jc w:val="center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4" w:lineRule="exact"/>
    </w:pPr>
    <w:rPr>
      <w:rFonts w:ascii="Tahoma" w:eastAsia="Tahoma" w:hAnsi="Tahoma" w:cs="Tahoma"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rFonts w:ascii="Cambria Math" w:eastAsia="Cambria Math" w:hAnsi="Cambria Math" w:cs="Cambria Math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MS UI Gothic" w:eastAsia="MS UI Gothic" w:hAnsi="MS UI Gothic" w:cs="MS UI Gothic"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92" w:lineRule="exact"/>
    </w:pPr>
    <w:rPr>
      <w:rFonts w:ascii="MS UI Gothic" w:eastAsia="MS UI Gothic" w:hAnsi="MS UI Gothic" w:cs="MS UI Gothic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80" w:line="268" w:lineRule="exact"/>
    </w:pPr>
    <w:rPr>
      <w:rFonts w:ascii="FreesiaUPC" w:eastAsia="FreesiaUPC" w:hAnsi="FreesiaUPC" w:cs="FreesiaUPC"/>
      <w:b/>
      <w:bCs/>
      <w:sz w:val="42"/>
      <w:szCs w:val="42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line="120" w:lineRule="exact"/>
      <w:jc w:val="center"/>
    </w:pPr>
    <w:rPr>
      <w:rFonts w:ascii="Cambria Math" w:eastAsia="Cambria Math" w:hAnsi="Cambria Math" w:cs="Cambria Math"/>
      <w:sz w:val="11"/>
      <w:szCs w:val="1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22" w:lineRule="exact"/>
    </w:pPr>
    <w:rPr>
      <w:rFonts w:ascii="MS UI Gothic" w:eastAsia="MS UI Gothic" w:hAnsi="MS UI Gothic" w:cs="MS UI Gothic"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2" w:lineRule="exact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3039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2023-02-20T09:29:00Z</dcterms:created>
  <dcterms:modified xsi:type="dcterms:W3CDTF">2023-02-21T20:14:00Z</dcterms:modified>
</cp:coreProperties>
</file>