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EE" w:rsidRDefault="000441E1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5147945</wp:posOffset>
            </wp:positionH>
            <wp:positionV relativeFrom="paragraph">
              <wp:posOffset>35179</wp:posOffset>
            </wp:positionV>
            <wp:extent cx="1655953" cy="360045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55953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i w:val="0"/>
          <w:sz w:val="32"/>
        </w:rPr>
        <w:t>Produktová specifikace služby PROFI INTERNET</w:t>
      </w:r>
    </w:p>
    <w:p w:rsidR="00EA2AEE" w:rsidRDefault="000441E1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i w:val="0"/>
          <w:sz w:val="16"/>
        </w:rPr>
        <w:t>Identifikační údaje</w:t>
      </w:r>
    </w:p>
    <w:tbl>
      <w:tblPr>
        <w:tblStyle w:val="TableGrid"/>
        <w:tblW w:w="10772" w:type="dxa"/>
        <w:tblInd w:w="-57" w:type="dxa"/>
        <w:tblCellMar>
          <w:top w:w="29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EA2AEE">
        <w:trPr>
          <w:trHeight w:val="56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Poskytovatel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right="2279" w:firstLine="0"/>
              <w:jc w:val="left"/>
            </w:pPr>
            <w:r>
              <w:rPr>
                <w:sz w:val="16"/>
              </w:rPr>
              <w:t>Quantcom, a.s., Praha 8, Karlín, Křižíkova 237/36a, PSČ 18600 zaps. v OR Měst.soudu v Praze oddíl B., vložka 12529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Účastník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Nejvyšší soud České republiky</w:t>
            </w:r>
          </w:p>
        </w:tc>
      </w:tr>
      <w:tr w:rsidR="00EA2AEE">
        <w:trPr>
          <w:trHeight w:val="28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Číslo produktové specifikace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84947-172020-4 / Ukončuje prod. specifikaci: 84947-172020-3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Fakturační adresa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Burešova 20, 657 37, Brno, 60200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Emailová adresa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podatelna@nsoud.cz</w:t>
            </w:r>
          </w:p>
        </w:tc>
      </w:tr>
      <w:tr w:rsidR="00EA2AEE">
        <w:trPr>
          <w:trHeight w:val="28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Způsob zasílání faktury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pouze emailem</w:t>
            </w:r>
          </w:p>
        </w:tc>
      </w:tr>
    </w:tbl>
    <w:p w:rsidR="00EA2AEE" w:rsidRDefault="000441E1">
      <w:pPr>
        <w:spacing w:after="242" w:line="259" w:lineRule="auto"/>
        <w:ind w:left="-5"/>
        <w:jc w:val="left"/>
      </w:pPr>
      <w:r>
        <w:rPr>
          <w:rFonts w:ascii="Calibri" w:eastAsia="Calibri" w:hAnsi="Calibri" w:cs="Calibri"/>
          <w:i w:val="0"/>
          <w:sz w:val="16"/>
        </w:rPr>
        <w:t>Případnou změnu způsobu zasílání faktury lze nastavit na zákaznickém portále (https://portal.quantcom.cz).</w:t>
      </w:r>
    </w:p>
    <w:p w:rsidR="00EA2AEE" w:rsidRDefault="000441E1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i w:val="0"/>
          <w:sz w:val="16"/>
        </w:rPr>
        <w:t>Produktové údaje</w:t>
      </w:r>
    </w:p>
    <w:tbl>
      <w:tblPr>
        <w:tblStyle w:val="TableGrid"/>
        <w:tblW w:w="10772" w:type="dxa"/>
        <w:tblInd w:w="-57" w:type="dxa"/>
        <w:tblCellMar>
          <w:top w:w="29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EA2AEE">
        <w:trPr>
          <w:trHeight w:val="28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Název služby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PROFI INTERNET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Technický kontakt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D0E71">
            <w:pPr>
              <w:spacing w:after="0" w:line="259" w:lineRule="auto"/>
              <w:ind w:left="0" w:firstLine="0"/>
              <w:jc w:val="left"/>
            </w:pPr>
            <w:r w:rsidRPr="000D0E71">
              <w:rPr>
                <w:sz w:val="16"/>
                <w:highlight w:val="black"/>
              </w:rPr>
              <w:t>XXXXXXXXXXXXX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Rychlost připojení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200 Mbps</w:t>
            </w:r>
          </w:p>
        </w:tc>
      </w:tr>
      <w:tr w:rsidR="00EA2AEE">
        <w:trPr>
          <w:trHeight w:val="28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Kvalita rychlosti připojení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garantovaná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102" w:firstLine="0"/>
              <w:jc w:val="left"/>
            </w:pPr>
            <w:r>
              <w:rPr>
                <w:b/>
                <w:i w:val="0"/>
                <w:sz w:val="16"/>
              </w:rPr>
              <w:t>Rozsah veřejných IPv4 adres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16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SLA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SLA1</w:t>
            </w:r>
          </w:p>
        </w:tc>
      </w:tr>
      <w:tr w:rsidR="00EA2AEE">
        <w:trPr>
          <w:trHeight w:val="28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Eskalační kontakt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 w:rsidRPr="000441E1">
              <w:rPr>
                <w:sz w:val="16"/>
                <w:highlight w:val="black"/>
              </w:rPr>
              <w:t>XXXXXXXXXXXX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Firewall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Kontakt pro RIPE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 w:rsidP="000441E1">
            <w:pPr>
              <w:spacing w:after="0" w:line="259" w:lineRule="auto"/>
              <w:ind w:left="0" w:firstLine="0"/>
              <w:jc w:val="left"/>
            </w:pPr>
            <w:r w:rsidRPr="000441E1">
              <w:rPr>
                <w:sz w:val="16"/>
                <w:highlight w:val="black"/>
              </w:rPr>
              <w:t>XXXXXXXXXXXX</w:t>
            </w:r>
            <w:r>
              <w:rPr>
                <w:sz w:val="16"/>
              </w:rPr>
              <w:t xml:space="preserve"> ( </w:t>
            </w:r>
            <w:r w:rsidRPr="000441E1">
              <w:rPr>
                <w:sz w:val="16"/>
                <w:highlight w:val="black"/>
              </w:rPr>
              <w:t>XXXXXXXXXXXX</w:t>
            </w:r>
            <w:r>
              <w:rPr>
                <w:sz w:val="16"/>
              </w:rPr>
              <w:t xml:space="preserve">, </w:t>
            </w:r>
            <w:r w:rsidRPr="000441E1">
              <w:rPr>
                <w:sz w:val="16"/>
                <w:highlight w:val="black"/>
              </w:rPr>
              <w:t>XXXXXXXXXXXXXXXXXXXX</w:t>
            </w:r>
            <w:r>
              <w:rPr>
                <w:sz w:val="16"/>
              </w:rPr>
              <w:t xml:space="preserve"> )</w:t>
            </w:r>
          </w:p>
        </w:tc>
      </w:tr>
      <w:tr w:rsidR="00EA2AEE">
        <w:trPr>
          <w:trHeight w:val="28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antiDDoS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NE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Adresa předání služby 1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Brno-Veveří, Burešova 571/20, 60200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Typ předávacího rozhraní 1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Ethernet 100Base-TX (metallic)</w:t>
            </w:r>
          </w:p>
        </w:tc>
      </w:tr>
    </w:tbl>
    <w:p w:rsidR="00EA2AEE" w:rsidRDefault="000441E1">
      <w:pPr>
        <w:spacing w:after="0" w:line="259" w:lineRule="auto"/>
        <w:ind w:left="-5"/>
        <w:jc w:val="left"/>
      </w:pPr>
      <w:r>
        <w:rPr>
          <w:rFonts w:ascii="Calibri" w:eastAsia="Calibri" w:hAnsi="Calibri" w:cs="Calibri"/>
          <w:i w:val="0"/>
          <w:sz w:val="16"/>
        </w:rPr>
        <w:t>Cenové a platební údaje</w:t>
      </w:r>
    </w:p>
    <w:tbl>
      <w:tblPr>
        <w:tblStyle w:val="TableGrid"/>
        <w:tblW w:w="10545" w:type="dxa"/>
        <w:tblInd w:w="-57" w:type="dxa"/>
        <w:tblCellMar>
          <w:top w:w="1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EA2AEE">
        <w:trPr>
          <w:trHeight w:val="227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 w:val="0"/>
                <w:sz w:val="16"/>
              </w:rPr>
              <w:t>Periodická cena celkem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 w:val="0"/>
                <w:sz w:val="16"/>
              </w:rPr>
              <w:t>Perioda fakturace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 w:val="0"/>
                <w:sz w:val="16"/>
              </w:rPr>
              <w:t>Jednorázová cena celkem</w:t>
            </w:r>
          </w:p>
        </w:tc>
      </w:tr>
      <w:tr w:rsidR="00EA2AEE">
        <w:trPr>
          <w:trHeight w:val="227"/>
        </w:trPr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 w:val="0"/>
                <w:sz w:val="16"/>
              </w:rPr>
              <w:t>6500 Kč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 w:val="0"/>
                <w:sz w:val="16"/>
              </w:rPr>
              <w:t>1 měsíc</w:t>
            </w:r>
          </w:p>
        </w:tc>
        <w:tc>
          <w:tcPr>
            <w:tcW w:w="3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i w:val="0"/>
                <w:sz w:val="16"/>
              </w:rPr>
              <w:t xml:space="preserve">0 Kč </w:t>
            </w:r>
          </w:p>
        </w:tc>
      </w:tr>
    </w:tbl>
    <w:p w:rsidR="00EA2AEE" w:rsidRDefault="000441E1">
      <w:pPr>
        <w:spacing w:after="48" w:line="259" w:lineRule="auto"/>
        <w:ind w:left="-5"/>
        <w:jc w:val="left"/>
      </w:pPr>
      <w:r>
        <w:rPr>
          <w:rFonts w:ascii="Calibri" w:eastAsia="Calibri" w:hAnsi="Calibri" w:cs="Calibri"/>
          <w:i w:val="0"/>
          <w:sz w:val="16"/>
        </w:rPr>
        <w:t>Cenové údaje jsou uvedeny bez DPH, která bude účtována v souladu s platnými právními předpisy.</w:t>
      </w:r>
    </w:p>
    <w:tbl>
      <w:tblPr>
        <w:tblStyle w:val="TableGrid"/>
        <w:tblW w:w="10772" w:type="dxa"/>
        <w:tblInd w:w="-57" w:type="dxa"/>
        <w:tblCellMar>
          <w:top w:w="29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Datum zřízení/změny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D0E7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22</w:t>
            </w:r>
            <w:r w:rsidR="000441E1">
              <w:rPr>
                <w:sz w:val="16"/>
              </w:rPr>
              <w:t>.2.2023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Datum ukončení služby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>31.10.2024</w:t>
            </w:r>
          </w:p>
        </w:tc>
      </w:tr>
      <w:tr w:rsidR="00EA2AEE">
        <w:trPr>
          <w:trHeight w:val="28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i w:val="0"/>
                <w:sz w:val="16"/>
              </w:rPr>
              <w:t>Smlouvu projednal</w:t>
            </w:r>
          </w:p>
        </w:tc>
        <w:tc>
          <w:tcPr>
            <w:tcW w:w="7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 w:rsidRPr="000441E1">
              <w:rPr>
                <w:sz w:val="16"/>
                <w:highlight w:val="black"/>
              </w:rPr>
              <w:t>XXXXXXXXXXXXX</w:t>
            </w:r>
          </w:p>
        </w:tc>
      </w:tr>
    </w:tbl>
    <w:p w:rsidR="00EA2AEE" w:rsidRDefault="000441E1">
      <w:pPr>
        <w:ind w:left="-5"/>
      </w:pPr>
      <w:r>
        <w:t xml:space="preserve">      Poskytovatel poskytne účastníkovi bezplatnou konzultaci, provede počáteční instalaci a konfiguraci bezpečnostní appliance dle požadavků účastníka a předá účastníkovi účet administrátora. Předávacím rozhraním služby jsou rozhraní appliance (např. virtuálního firewallu).</w:t>
      </w:r>
    </w:p>
    <w:p w:rsidR="00EA2AEE" w:rsidRDefault="000441E1">
      <w:pPr>
        <w:spacing w:after="0"/>
        <w:ind w:left="-5"/>
      </w:pPr>
      <w:r>
        <w:t>Součástí služby je předání dokumentace výrobce zařízení použitého ke službě (v jazyce, v jakém bylo poskytnuto výrobcem), základní zaškolení účastníka, dokumentace a zálohování nastavené konfigurace služby, aktualizace software appliance.</w:t>
      </w:r>
    </w:p>
    <w:p w:rsidR="00EA2AEE" w:rsidRDefault="000441E1">
      <w:pPr>
        <w:spacing w:after="0"/>
        <w:ind w:left="-5"/>
      </w:pPr>
      <w:r>
        <w:t>Poskytovatel není odpovědný za nefunkčnost služby v důsledku zásahů účastníka nebo třetích stran do nastavení služby a v důsledku avizovaných změn konfigurací konektivity.</w:t>
      </w:r>
    </w:p>
    <w:p w:rsidR="00EA2AEE" w:rsidRDefault="000441E1">
      <w:pPr>
        <w:ind w:left="-5"/>
      </w:pPr>
      <w:r>
        <w:t>Poskytovatel poskytne účastníkovi další konzultace a případně provede nové nastavení služby jako placenou službu podle sazby uvedené v produktové specifikaci. Požadavek na provedení uvedených služeb účastník odešle na e-mail noc@quantcom.cz, nebo telefonicky na čísle +420 226 204 400 s následným e-mailovým potvrzením.</w:t>
      </w:r>
    </w:p>
    <w:p w:rsidR="00EA2AEE" w:rsidRDefault="000441E1">
      <w:pPr>
        <w:ind w:left="-5"/>
      </w:pPr>
      <w:r>
        <w:t>Službu Bezpečnost -  spravuje účastník zcela na svoji odpovědnost. Poskytovatel není odpovědný za škody způsobené účastníkovi v souvislosti s poskytováním služby Bezpečnost.</w:t>
      </w:r>
    </w:p>
    <w:p w:rsidR="00EA2AEE" w:rsidRDefault="000441E1">
      <w:pPr>
        <w:ind w:left="-5"/>
      </w:pPr>
      <w:r>
        <w:t>Účastník svým podpisem stvrzuje souhlas se Všeobecnými podmínkami pro poskytování služeb elektronických komunikací a jiných služeb poskytovaných společností Quantcom, a.s. (dále jen Všeobecné podmínky) a ostatními Smluvními dokumenty tak, jak jsou uvedeny ve Všeobecných podmínkách,  seznámil se s nimi, potvrzuje, že jsou pro něj závazné a konzumace Služeb v souladu s touto Produktovou specifikací se řídí touto Produktovou specifikací, Smlouvou, a Všeobecnými podmínkami a ostatními smluvními dokumenty. Povinnost sledování změn těchto dokumentů Účastníkem se řídí platnými právními předpisy a Všeobecnými podmínkami a ostatními smluvními dokumenty. Ukončení účinnosti této Produktové specifikace neznamená pro Účastníka a Poskytovatele zánik povinnosti vyplývající pro ně ze Smlouvy, Produktové specifikace, Všeobecných podmínek nebo jiných smluvních dokumentů.</w:t>
      </w:r>
    </w:p>
    <w:p w:rsidR="00EA2AEE" w:rsidRDefault="000441E1">
      <w:pPr>
        <w:spacing w:after="0" w:line="1191" w:lineRule="auto"/>
        <w:ind w:left="0" w:firstLine="0"/>
        <w:jc w:val="center"/>
      </w:pPr>
      <w:r>
        <w:lastRenderedPageBreak/>
        <w:t xml:space="preserve">Poskytovatel zpracovává osobní údaje  v souladu s Nařízením EP a Rady (EU) 2016/679 - GDPR. Zásady nakládání s osobními údaji a jejich ochrany </w:t>
      </w:r>
      <w:r>
        <w:rPr>
          <w:rFonts w:ascii="Arial" w:eastAsia="Arial" w:hAnsi="Arial" w:cs="Arial"/>
          <w:i w:val="0"/>
          <w:color w:val="808080"/>
          <w:sz w:val="16"/>
        </w:rPr>
        <w:t>Strana 1/2</w:t>
      </w:r>
    </w:p>
    <w:p w:rsidR="00EA2AEE" w:rsidRDefault="000441E1">
      <w:pPr>
        <w:ind w:left="-5"/>
      </w:pPr>
      <w:r>
        <w:t>jsou v úplném znění k dispozici na internetových stránkách poskytovatele: https://www.quantcom.cz/ochrana-osobnich-udaju/</w:t>
      </w:r>
    </w:p>
    <w:p w:rsidR="00EA2AEE" w:rsidRDefault="000441E1">
      <w:pPr>
        <w:ind w:left="-5"/>
      </w:pPr>
      <w:r>
        <w:t>Tato produktová specifikace byla účastníkovi zaslána jako  shrnutí smlouvy ve smyslu § 63 odst. 1 ZoEK. Obecné informace a vysvětlení jsou k dispozici na www.quantcom.cz v části dokumenty. Pro případné budoucí užití je třeba si uvedený dokument v nezměněné podobě vytisknout.</w:t>
      </w:r>
    </w:p>
    <w:p w:rsidR="00EA2AEE" w:rsidRDefault="000441E1">
      <w:pPr>
        <w:spacing w:after="85" w:line="259" w:lineRule="auto"/>
        <w:ind w:left="0" w:firstLine="0"/>
        <w:jc w:val="left"/>
      </w:pPr>
      <w:r>
        <w:t>Účastník svým podpisem potvrzuje souhlas s předáním (osobních i obecných) údajů třetí straně (zpracovateli) RIPE NCC v rozsahu uvedeném v položce Kontakt pro RIPE. Uvedená data budou spolu s přidělenými IP adresami zapsána do veřejně přístupné části databáze RIPE. Z hlediska poskytovatele se jedná o oprávněný zájem, Poskytovatel je lokálním registrátorem (LIR) RIPE s oprávněním přidělovat IP adresy Účastníkům a povinností vést o tom veřejně dostupné záznamy. Záznamy jsou používané internetovou komunitou pro snazší a rychlejší kontakt s Účastníkem v krizových případech (zneužití nebo ohrožení adres).</w:t>
      </w:r>
    </w:p>
    <w:tbl>
      <w:tblPr>
        <w:tblStyle w:val="TableGrid"/>
        <w:tblW w:w="10772" w:type="dxa"/>
        <w:tblInd w:w="-57" w:type="dxa"/>
        <w:tblCellMar>
          <w:top w:w="29" w:type="dxa"/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5386"/>
        <w:gridCol w:w="5386"/>
      </w:tblGrid>
      <w:tr w:rsidR="00EA2AEE">
        <w:trPr>
          <w:trHeight w:val="340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 w:val="0"/>
                <w:sz w:val="16"/>
              </w:rPr>
              <w:t>Datum a podpis oprávněné osoby Účastníka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 w:val="0"/>
                <w:sz w:val="16"/>
              </w:rPr>
              <w:t>Datum a podpis oprávněné osoby Poskytovatele</w:t>
            </w:r>
          </w:p>
        </w:tc>
      </w:tr>
      <w:tr w:rsidR="00EA2AEE">
        <w:trPr>
          <w:trHeight w:val="283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 w:val="0"/>
                <w:sz w:val="16"/>
              </w:rPr>
              <w:t xml:space="preserve">Datum: 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 w:val="0"/>
                <w:sz w:val="16"/>
              </w:rPr>
              <w:t xml:space="preserve">Datum: </w:t>
            </w:r>
          </w:p>
        </w:tc>
      </w:tr>
      <w:tr w:rsidR="00EA2AEE">
        <w:trPr>
          <w:trHeight w:val="510"/>
        </w:trPr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 w:val="0"/>
                <w:sz w:val="16"/>
              </w:rPr>
              <w:t xml:space="preserve">Podpis:   </w:t>
            </w:r>
          </w:p>
        </w:tc>
        <w:tc>
          <w:tcPr>
            <w:tcW w:w="53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A2AEE" w:rsidRDefault="000441E1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 w:val="0"/>
                <w:sz w:val="16"/>
              </w:rPr>
              <w:t xml:space="preserve">Podpis:   </w:t>
            </w:r>
          </w:p>
        </w:tc>
      </w:tr>
    </w:tbl>
    <w:p w:rsidR="00EA2AEE" w:rsidRDefault="000441E1">
      <w:pPr>
        <w:spacing w:after="0" w:line="259" w:lineRule="auto"/>
        <w:ind w:left="0" w:right="196" w:firstLine="0"/>
        <w:jc w:val="center"/>
      </w:pPr>
      <w:r>
        <w:rPr>
          <w:rFonts w:ascii="Arial" w:eastAsia="Arial" w:hAnsi="Arial" w:cs="Arial"/>
          <w:i w:val="0"/>
          <w:color w:val="808080"/>
          <w:sz w:val="16"/>
        </w:rPr>
        <w:t>Strana 2/2</w:t>
      </w:r>
    </w:p>
    <w:sectPr w:rsidR="00EA2A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2" w:right="623" w:bottom="486" w:left="6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CC" w:rsidRDefault="003E0DCC" w:rsidP="003E0DCC">
      <w:pPr>
        <w:spacing w:after="0" w:line="240" w:lineRule="auto"/>
      </w:pPr>
      <w:r>
        <w:separator/>
      </w:r>
    </w:p>
  </w:endnote>
  <w:endnote w:type="continuationSeparator" w:id="0">
    <w:p w:rsidR="003E0DCC" w:rsidRDefault="003E0DCC" w:rsidP="003E0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C" w:rsidRDefault="003E0D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C" w:rsidRDefault="003E0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C" w:rsidRDefault="003E0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CC" w:rsidRDefault="003E0DCC" w:rsidP="003E0DCC">
      <w:pPr>
        <w:spacing w:after="0" w:line="240" w:lineRule="auto"/>
      </w:pPr>
      <w:r>
        <w:separator/>
      </w:r>
    </w:p>
  </w:footnote>
  <w:footnote w:type="continuationSeparator" w:id="0">
    <w:p w:rsidR="003E0DCC" w:rsidRDefault="003E0DCC" w:rsidP="003E0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C" w:rsidRDefault="003E0D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C" w:rsidRDefault="003E0D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C" w:rsidRDefault="003E0D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EE"/>
    <w:rsid w:val="000441E1"/>
    <w:rsid w:val="000D0E71"/>
    <w:rsid w:val="003E0DCC"/>
    <w:rsid w:val="00EA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31" w:line="320" w:lineRule="auto"/>
      <w:ind w:left="10" w:hanging="10"/>
      <w:jc w:val="both"/>
    </w:pPr>
    <w:rPr>
      <w:rFonts w:ascii="Verdana" w:eastAsia="Verdana" w:hAnsi="Verdana" w:cs="Verdana"/>
      <w:i/>
      <w:color w:val="000000"/>
      <w:sz w:val="1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E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0DCC"/>
    <w:rPr>
      <w:rFonts w:ascii="Verdana" w:eastAsia="Verdana" w:hAnsi="Verdana" w:cs="Verdana"/>
      <w:i/>
      <w:color w:val="000000"/>
      <w:sz w:val="14"/>
    </w:rPr>
  </w:style>
  <w:style w:type="paragraph" w:styleId="Zpat">
    <w:name w:val="footer"/>
    <w:basedOn w:val="Normln"/>
    <w:link w:val="ZpatChar"/>
    <w:uiPriority w:val="99"/>
    <w:unhideWhenUsed/>
    <w:rsid w:val="003E0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0DCC"/>
    <w:rPr>
      <w:rFonts w:ascii="Verdana" w:eastAsia="Verdana" w:hAnsi="Verdana" w:cs="Verdana"/>
      <w:i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2023-02-21T13:29:00Z</dcterms:created>
  <dcterms:modified xsi:type="dcterms:W3CDTF">2023-02-21T13:29:00Z</dcterms:modified>
</cp:coreProperties>
</file>