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10B" w:rsidRDefault="00892A87">
      <w:pPr>
        <w:spacing w:after="0" w:line="259" w:lineRule="auto"/>
        <w:ind w:left="57" w:firstLine="0"/>
        <w:jc w:val="center"/>
      </w:pPr>
      <w:r>
        <w:rPr>
          <w:sz w:val="46"/>
        </w:rPr>
        <w:t>DODATEK</w:t>
      </w:r>
    </w:p>
    <w:p w:rsidR="0089710B" w:rsidRDefault="00892A87">
      <w:pPr>
        <w:pStyle w:val="Nadpis1"/>
      </w:pPr>
      <w:r>
        <w:t>číslo 1</w:t>
      </w:r>
    </w:p>
    <w:p w:rsidR="0089710B" w:rsidRDefault="00892A87">
      <w:pPr>
        <w:spacing w:after="561" w:line="259" w:lineRule="auto"/>
        <w:ind w:left="50" w:firstLine="0"/>
        <w:jc w:val="center"/>
      </w:pPr>
      <w:r>
        <w:t>ke smlouvě číslo TP30/11 (374/OOS/11)</w:t>
      </w:r>
    </w:p>
    <w:p w:rsidR="0089710B" w:rsidRDefault="00892A87">
      <w:pPr>
        <w:spacing w:after="204"/>
        <w:ind w:left="1407" w:right="1854" w:hanging="1408"/>
      </w:pPr>
      <w:r>
        <w:t xml:space="preserve">Poskytovatel: VITA software, s.r.o., Na </w:t>
      </w:r>
      <w:proofErr w:type="spellStart"/>
      <w:r>
        <w:t>Beránce</w:t>
      </w:r>
      <w:proofErr w:type="spellEnd"/>
      <w:r>
        <w:t xml:space="preserve"> 57/2, 160 OO Praha 6, </w:t>
      </w:r>
      <w:proofErr w:type="spellStart"/>
      <w:r>
        <w:t>lč</w:t>
      </w:r>
      <w:proofErr w:type="spellEnd"/>
      <w:r>
        <w:t xml:space="preserve">: 61060631 zapsaná u Městského soudu v Praze, značka C/42951 zastoupená jednatelem RNDr. Ivanou </w:t>
      </w:r>
      <w:r>
        <w:t>Havlíkovou</w:t>
      </w:r>
    </w:p>
    <w:p w:rsidR="00892A87" w:rsidRDefault="00892A87" w:rsidP="00892A87">
      <w:pPr>
        <w:spacing w:after="901"/>
        <w:ind w:left="50" w:right="2249" w:firstLine="0"/>
      </w:pPr>
      <w:r>
        <w:rPr>
          <w:noProof/>
        </w:rPr>
        <w:drawing>
          <wp:anchor distT="0" distB="0" distL="114300" distR="114300" simplePos="0" relativeHeight="251666432" behindDoc="0" locked="0" layoutInCell="1" allowOverlap="0" wp14:anchorId="5EA8B255" wp14:editId="08CE53E8">
            <wp:simplePos x="0" y="0"/>
            <wp:positionH relativeFrom="page">
              <wp:posOffset>5795142</wp:posOffset>
            </wp:positionH>
            <wp:positionV relativeFrom="page">
              <wp:posOffset>456398</wp:posOffset>
            </wp:positionV>
            <wp:extent cx="935436" cy="465526"/>
            <wp:effectExtent l="0" t="0" r="0" b="0"/>
            <wp:wrapTopAndBottom/>
            <wp:docPr id="3" name="Picture 64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33" name="Picture 643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35436" cy="4655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Uživatel: Město Aš, Kamenná 473/52, 352 01 Aš, lÖ:00253901 zastoupené starostou Mgr. Daliborem Blažkem</w:t>
      </w:r>
    </w:p>
    <w:p w:rsidR="00892A87" w:rsidRDefault="00892A87" w:rsidP="00892A87">
      <w:pPr>
        <w:spacing w:after="41"/>
        <w:ind w:left="9"/>
      </w:pPr>
      <w:r>
        <w:t>Smluvní strany se dohodly, že smlouva číslo TP30/11 (dále jen ”smlouva”) se mění takto:</w:t>
      </w:r>
    </w:p>
    <w:p w:rsidR="00892A87" w:rsidRDefault="00892A87" w:rsidP="00892A87">
      <w:pPr>
        <w:spacing w:after="697"/>
        <w:ind w:left="9"/>
      </w:pPr>
      <w:r>
        <w:t>1. Příloha smlouvy Specifikace se nahrazuje přílohou Specifikace, která je přílohou tohoto dodatku.</w:t>
      </w:r>
    </w:p>
    <w:p w:rsidR="00892A87" w:rsidRDefault="00892A87" w:rsidP="00892A87">
      <w:pPr>
        <w:numPr>
          <w:ilvl w:val="0"/>
          <w:numId w:val="1"/>
        </w:numPr>
        <w:ind w:hanging="280"/>
      </w:pPr>
      <w:r>
        <w:t>První platba pro software Propojení do SSL VERA bude pro 2. čtvrtletí 2014.</w:t>
      </w:r>
    </w:p>
    <w:p w:rsidR="00892A87" w:rsidRDefault="00892A87" w:rsidP="00892A87">
      <w:pPr>
        <w:numPr>
          <w:ilvl w:val="0"/>
          <w:numId w:val="1"/>
        </w:numPr>
        <w:spacing w:after="63"/>
        <w:ind w:hanging="280"/>
      </w:pPr>
      <w:r>
        <w:t xml:space="preserve">Tento dodatek je proveden ve </w:t>
      </w:r>
      <w:proofErr w:type="gramStart"/>
      <w:r>
        <w:t>čtyřech</w:t>
      </w:r>
      <w:proofErr w:type="gramEnd"/>
      <w:r>
        <w:t xml:space="preserve"> vyhotovení, každá smluvní strana obdrží dvě vyhotovení.</w:t>
      </w:r>
    </w:p>
    <w:p w:rsidR="00892A87" w:rsidRDefault="00892A87" w:rsidP="00892A87">
      <w:pPr>
        <w:numPr>
          <w:ilvl w:val="0"/>
          <w:numId w:val="1"/>
        </w:numPr>
        <w:ind w:hanging="280"/>
      </w:pPr>
      <w:r>
        <w:t>Smluvní strany prohlašují, že si tento dodatek před jeho podpisem přečetly, že byl uzavřen po vzájemném projednání podle jejich pravé a svobodné vůle, určitě, vážně a srozumitelně, nikoli v tísni za nápadně nevýhodných podmínek. Autentičnost tohoto dodatku potvrzují svým podpisem.</w:t>
      </w:r>
    </w:p>
    <w:p w:rsidR="00892A87" w:rsidRDefault="00892A87" w:rsidP="00892A87"/>
    <w:p w:rsidR="00892A87" w:rsidRDefault="00892A87" w:rsidP="00892A87"/>
    <w:tbl>
      <w:tblPr>
        <w:tblStyle w:val="TableGrid"/>
        <w:tblW w:w="5476" w:type="dxa"/>
        <w:tblInd w:w="252" w:type="dxa"/>
        <w:tblCellMar>
          <w:top w:w="3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765"/>
        <w:gridCol w:w="711"/>
      </w:tblGrid>
      <w:tr w:rsidR="00892A87" w:rsidTr="00341358">
        <w:trPr>
          <w:trHeight w:val="273"/>
        </w:trPr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</w:tcPr>
          <w:p w:rsidR="00892A87" w:rsidRDefault="00892A87" w:rsidP="0034135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Dne: F. /. </w:t>
            </w:r>
            <w:r>
              <w:rPr>
                <w:noProof/>
              </w:rPr>
              <w:drawing>
                <wp:inline distT="0" distB="0" distL="0" distR="0" wp14:anchorId="05EEEBA0" wp14:editId="39D21E79">
                  <wp:extent cx="209903" cy="136919"/>
                  <wp:effectExtent l="0" t="0" r="0" b="0"/>
                  <wp:docPr id="6" name="Picture 20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4" name="Picture 204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903" cy="136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892A87" w:rsidRDefault="00892A87" w:rsidP="00341358">
            <w:pPr>
              <w:spacing w:after="0" w:line="259" w:lineRule="auto"/>
              <w:ind w:left="0" w:firstLine="0"/>
              <w:jc w:val="right"/>
            </w:pPr>
            <w:r>
              <w:rPr>
                <w:sz w:val="24"/>
              </w:rPr>
              <w:t>Dne:</w:t>
            </w:r>
          </w:p>
        </w:tc>
      </w:tr>
    </w:tbl>
    <w:p w:rsidR="00892A87" w:rsidRDefault="00892A87" w:rsidP="00892A87">
      <w:pPr>
        <w:spacing w:after="28" w:line="259" w:lineRule="auto"/>
        <w:ind w:left="237" w:right="-1559" w:firstLine="0"/>
        <w:jc w:val="left"/>
      </w:pPr>
    </w:p>
    <w:p w:rsidR="00892A87" w:rsidRDefault="00892A87" w:rsidP="00892A87">
      <w:pPr>
        <w:spacing w:after="28" w:line="259" w:lineRule="auto"/>
        <w:ind w:left="237" w:right="-1559" w:firstLine="0"/>
        <w:jc w:val="left"/>
      </w:pPr>
    </w:p>
    <w:p w:rsidR="00892A87" w:rsidRDefault="00892A87" w:rsidP="00892A87">
      <w:pPr>
        <w:tabs>
          <w:tab w:val="center" w:pos="2123"/>
          <w:tab w:val="right" w:pos="7438"/>
        </w:tabs>
        <w:ind w:left="0" w:firstLine="0"/>
        <w:jc w:val="left"/>
      </w:pPr>
      <w:r>
        <w:tab/>
        <w:t>poskytovatel</w:t>
      </w:r>
      <w:r>
        <w:tab/>
        <w:t>uživatel</w:t>
      </w:r>
    </w:p>
    <w:p w:rsidR="00892A87" w:rsidRDefault="00892A87" w:rsidP="00892A87">
      <w:pPr>
        <w:pStyle w:val="Nadpis2"/>
      </w:pPr>
      <w:r>
        <w:t>SPECIFIKACE</w:t>
      </w:r>
    </w:p>
    <w:p w:rsidR="00892A87" w:rsidRDefault="00892A87" w:rsidP="00892A87">
      <w:pPr>
        <w:spacing w:after="593"/>
        <w:ind w:left="9"/>
      </w:pPr>
      <w:r>
        <w:t>PŘÍLOHA SMLOUVY O TECHNICKÉ PODPOŘE Ö. TP30/11</w:t>
      </w:r>
    </w:p>
    <w:p w:rsidR="00892A87" w:rsidRDefault="00892A87" w:rsidP="00892A87">
      <w:pPr>
        <w:spacing w:line="259" w:lineRule="auto"/>
        <w:ind w:left="10" w:right="1452"/>
        <w:jc w:val="right"/>
        <w:rPr>
          <w:sz w:val="24"/>
        </w:rPr>
      </w:pPr>
      <w:r>
        <w:rPr>
          <w:sz w:val="24"/>
        </w:rPr>
        <w:t>Specifikace a cena software</w:t>
      </w:r>
    </w:p>
    <w:p w:rsidR="00892A87" w:rsidRDefault="00892A87" w:rsidP="00892A87">
      <w:pPr>
        <w:spacing w:line="259" w:lineRule="auto"/>
        <w:ind w:left="10" w:right="1452"/>
        <w:jc w:val="right"/>
      </w:pPr>
    </w:p>
    <w:p w:rsidR="00892A87" w:rsidRDefault="00892A87" w:rsidP="00892A87">
      <w:pPr>
        <w:spacing w:after="204"/>
        <w:ind w:left="1407" w:right="1854" w:hanging="1408"/>
      </w:pPr>
      <w:proofErr w:type="gramStart"/>
      <w:r>
        <w:t>1 . Název</w:t>
      </w:r>
      <w:proofErr w:type="gramEnd"/>
      <w:r>
        <w:t xml:space="preserve"> software</w:t>
      </w:r>
    </w:p>
    <w:p w:rsidR="00892A87" w:rsidRDefault="00892A87" w:rsidP="00892A87"/>
    <w:tbl>
      <w:tblPr>
        <w:tblStyle w:val="TableGrid"/>
        <w:tblW w:w="4908" w:type="dxa"/>
        <w:tblInd w:w="280" w:type="dxa"/>
        <w:tblCellMar>
          <w:top w:w="93" w:type="dxa"/>
          <w:left w:w="144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937"/>
        <w:gridCol w:w="695"/>
        <w:gridCol w:w="1276"/>
      </w:tblGrid>
      <w:tr w:rsidR="00892A87" w:rsidTr="00341358">
        <w:trPr>
          <w:trHeight w:val="1807"/>
        </w:trPr>
        <w:tc>
          <w:tcPr>
            <w:tcW w:w="2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2A87" w:rsidRDefault="00892A87" w:rsidP="00341358">
            <w:pPr>
              <w:spacing w:after="0" w:line="328" w:lineRule="auto"/>
              <w:ind w:left="14" w:right="611" w:hanging="7"/>
              <w:jc w:val="left"/>
            </w:pPr>
            <w:r>
              <w:t>Stavební úřad Přestupky</w:t>
            </w:r>
          </w:p>
          <w:p w:rsidR="00892A87" w:rsidRDefault="00892A87" w:rsidP="00341358">
            <w:pPr>
              <w:spacing w:after="69" w:line="259" w:lineRule="auto"/>
              <w:ind w:left="7" w:firstLine="0"/>
              <w:jc w:val="left"/>
            </w:pPr>
            <w:r>
              <w:t>Silniční úřad</w:t>
            </w:r>
          </w:p>
          <w:p w:rsidR="00892A87" w:rsidRDefault="00892A87" w:rsidP="00341358">
            <w:pPr>
              <w:spacing w:after="74" w:line="259" w:lineRule="auto"/>
              <w:ind w:left="22" w:firstLine="0"/>
              <w:jc w:val="left"/>
            </w:pPr>
            <w:r>
              <w:t>Pohledávky</w:t>
            </w:r>
          </w:p>
          <w:p w:rsidR="00892A87" w:rsidRDefault="00892A87" w:rsidP="00341358">
            <w:pPr>
              <w:spacing w:after="0" w:line="259" w:lineRule="auto"/>
              <w:ind w:left="22" w:firstLine="0"/>
              <w:jc w:val="left"/>
            </w:pPr>
            <w:r>
              <w:t>Propojení do SSL VERA</w:t>
            </w:r>
          </w:p>
        </w:tc>
        <w:tc>
          <w:tcPr>
            <w:tcW w:w="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2A87" w:rsidRDefault="00892A87" w:rsidP="00341358">
            <w:pPr>
              <w:spacing w:after="124" w:line="259" w:lineRule="auto"/>
              <w:ind w:left="0" w:right="7" w:firstLine="0"/>
              <w:jc w:val="center"/>
            </w:pPr>
            <w:r>
              <w:rPr>
                <w:sz w:val="20"/>
              </w:rPr>
              <w:t>4</w:t>
            </w:r>
          </w:p>
          <w:p w:rsidR="00892A87" w:rsidRDefault="00892A87" w:rsidP="00341358">
            <w:pPr>
              <w:spacing w:after="89" w:line="259" w:lineRule="auto"/>
              <w:ind w:left="0" w:right="7" w:firstLine="0"/>
              <w:jc w:val="center"/>
            </w:pPr>
            <w:r>
              <w:rPr>
                <w:sz w:val="20"/>
              </w:rPr>
              <w:t>2</w:t>
            </w:r>
          </w:p>
          <w:p w:rsidR="00892A87" w:rsidRDefault="00892A87" w:rsidP="00341358">
            <w:pPr>
              <w:spacing w:after="103" w:line="259" w:lineRule="auto"/>
              <w:ind w:left="7" w:firstLine="0"/>
              <w:jc w:val="center"/>
            </w:pPr>
            <w:r>
              <w:rPr>
                <w:sz w:val="20"/>
              </w:rPr>
              <w:t>2</w:t>
            </w:r>
          </w:p>
          <w:p w:rsidR="00892A87" w:rsidRDefault="00892A87" w:rsidP="00341358">
            <w:pPr>
              <w:spacing w:after="96" w:line="259" w:lineRule="auto"/>
              <w:ind w:left="7" w:firstLine="0"/>
              <w:jc w:val="center"/>
            </w:pPr>
            <w:r>
              <w:rPr>
                <w:sz w:val="20"/>
              </w:rPr>
              <w:t>2</w:t>
            </w:r>
          </w:p>
          <w:p w:rsidR="00892A87" w:rsidRDefault="00892A87" w:rsidP="00341358">
            <w:pPr>
              <w:spacing w:after="0" w:line="259" w:lineRule="auto"/>
              <w:ind w:left="14" w:firstLine="0"/>
              <w:jc w:val="center"/>
            </w:pPr>
            <w:r>
              <w:t>6</w:t>
            </w: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2A87" w:rsidRDefault="00892A87" w:rsidP="00341358">
            <w:pPr>
              <w:spacing w:after="69" w:line="259" w:lineRule="auto"/>
              <w:ind w:left="115" w:firstLine="0"/>
              <w:jc w:val="left"/>
            </w:pPr>
            <w:r>
              <w:t>76.800,00</w:t>
            </w:r>
          </w:p>
          <w:p w:rsidR="00892A87" w:rsidRDefault="00892A87" w:rsidP="00341358">
            <w:pPr>
              <w:spacing w:after="62" w:line="259" w:lineRule="auto"/>
              <w:ind w:left="108" w:firstLine="0"/>
              <w:jc w:val="left"/>
            </w:pPr>
            <w:r>
              <w:t>42.400,00</w:t>
            </w:r>
          </w:p>
          <w:p w:rsidR="00892A87" w:rsidRDefault="00892A87" w:rsidP="00341358">
            <w:pPr>
              <w:spacing w:after="69" w:line="259" w:lineRule="auto"/>
              <w:ind w:left="115" w:firstLine="0"/>
              <w:jc w:val="left"/>
            </w:pPr>
            <w:r>
              <w:t>20.880,00</w:t>
            </w:r>
          </w:p>
          <w:p w:rsidR="00892A87" w:rsidRDefault="00892A87" w:rsidP="00341358">
            <w:pPr>
              <w:spacing w:after="69" w:line="259" w:lineRule="auto"/>
              <w:ind w:left="122" w:firstLine="0"/>
              <w:jc w:val="left"/>
            </w:pPr>
            <w:r>
              <w:t>55.400,00</w:t>
            </w:r>
          </w:p>
          <w:p w:rsidR="00892A87" w:rsidRDefault="00892A87" w:rsidP="00341358">
            <w:pPr>
              <w:spacing w:after="0" w:line="259" w:lineRule="auto"/>
              <w:ind w:left="122" w:firstLine="0"/>
              <w:jc w:val="left"/>
            </w:pPr>
            <w:r>
              <w:t>25.000,00</w:t>
            </w:r>
          </w:p>
        </w:tc>
      </w:tr>
      <w:tr w:rsidR="00892A87" w:rsidTr="00341358">
        <w:trPr>
          <w:trHeight w:val="385"/>
        </w:trPr>
        <w:tc>
          <w:tcPr>
            <w:tcW w:w="2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92A87" w:rsidRDefault="00892A87" w:rsidP="00341358">
            <w:pPr>
              <w:spacing w:after="0" w:line="259" w:lineRule="auto"/>
              <w:ind w:left="704" w:firstLine="0"/>
              <w:jc w:val="center"/>
            </w:pPr>
            <w:r>
              <w:t>Celkem</w:t>
            </w:r>
          </w:p>
        </w:tc>
        <w:tc>
          <w:tcPr>
            <w:tcW w:w="69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92A87" w:rsidRDefault="00892A87" w:rsidP="0034135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2A87" w:rsidRDefault="00892A87" w:rsidP="00341358">
            <w:pPr>
              <w:spacing w:after="0" w:line="259" w:lineRule="auto"/>
              <w:ind w:left="14" w:firstLine="0"/>
              <w:jc w:val="left"/>
            </w:pPr>
            <w:r>
              <w:t>220.480,00</w:t>
            </w:r>
          </w:p>
        </w:tc>
      </w:tr>
    </w:tbl>
    <w:p w:rsidR="00892A87" w:rsidRDefault="00892A87" w:rsidP="00892A87">
      <w:pPr>
        <w:sectPr w:rsidR="00892A87">
          <w:pgSz w:w="11900" w:h="16840"/>
          <w:pgMar w:top="1660" w:right="1193" w:bottom="367" w:left="1358" w:header="708" w:footer="708" w:gutter="0"/>
          <w:cols w:space="708"/>
        </w:sectPr>
      </w:pPr>
    </w:p>
    <w:p w:rsidR="00892A87" w:rsidRDefault="00892A87" w:rsidP="00892A87">
      <w:pPr>
        <w:spacing w:after="204"/>
        <w:ind w:left="1407" w:right="1854" w:hanging="1408"/>
      </w:pPr>
    </w:p>
    <w:tbl>
      <w:tblPr>
        <w:tblStyle w:val="TableGrid"/>
        <w:tblpPr w:vertAnchor="page" w:horzAnchor="page" w:tblpX="1373" w:tblpY="16258"/>
        <w:tblOverlap w:val="never"/>
        <w:tblW w:w="9421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45"/>
        <w:gridCol w:w="4376"/>
      </w:tblGrid>
      <w:tr w:rsidR="0089710B">
        <w:trPr>
          <w:trHeight w:val="216"/>
        </w:trPr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89710B" w:rsidRDefault="0089710B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4376" w:type="dxa"/>
            <w:tcBorders>
              <w:top w:val="nil"/>
              <w:left w:val="nil"/>
              <w:bottom w:val="nil"/>
              <w:right w:val="nil"/>
            </w:tcBorders>
          </w:tcPr>
          <w:p w:rsidR="0089710B" w:rsidRDefault="0089710B">
            <w:pPr>
              <w:spacing w:after="0" w:line="259" w:lineRule="auto"/>
              <w:ind w:left="0" w:firstLine="0"/>
              <w:jc w:val="right"/>
            </w:pPr>
          </w:p>
        </w:tc>
      </w:tr>
    </w:tbl>
    <w:p w:rsidR="0089710B" w:rsidRDefault="0089710B">
      <w:pPr>
        <w:tabs>
          <w:tab w:val="right" w:pos="9371"/>
        </w:tabs>
        <w:spacing w:after="0" w:line="259" w:lineRule="auto"/>
        <w:ind w:left="0" w:firstLine="0"/>
        <w:jc w:val="left"/>
      </w:pPr>
      <w:bookmarkStart w:id="0" w:name="_GoBack"/>
      <w:bookmarkEnd w:id="0"/>
    </w:p>
    <w:sectPr w:rsidR="0089710B">
      <w:type w:val="continuous"/>
      <w:pgSz w:w="11900" w:h="16840"/>
      <w:pgMar w:top="1632" w:right="1099" w:bottom="676" w:left="143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0B2055"/>
    <w:multiLevelType w:val="hybridMultilevel"/>
    <w:tmpl w:val="0FC0A5F4"/>
    <w:lvl w:ilvl="0" w:tplc="0CEE4644">
      <w:start w:val="1"/>
      <w:numFmt w:val="decimal"/>
      <w:lvlText w:val="%1."/>
      <w:lvlJc w:val="left"/>
      <w:pPr>
        <w:ind w:left="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620E50">
      <w:start w:val="1"/>
      <w:numFmt w:val="lowerLetter"/>
      <w:lvlText w:val="%2"/>
      <w:lvlJc w:val="left"/>
      <w:pPr>
        <w:ind w:left="1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2E6AC6">
      <w:start w:val="1"/>
      <w:numFmt w:val="lowerRoman"/>
      <w:lvlText w:val="%3"/>
      <w:lvlJc w:val="left"/>
      <w:pPr>
        <w:ind w:left="1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6A3FAA">
      <w:start w:val="1"/>
      <w:numFmt w:val="decimal"/>
      <w:lvlText w:val="%4"/>
      <w:lvlJc w:val="left"/>
      <w:pPr>
        <w:ind w:left="2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F0EEAC">
      <w:start w:val="1"/>
      <w:numFmt w:val="lowerLetter"/>
      <w:lvlText w:val="%5"/>
      <w:lvlJc w:val="left"/>
      <w:pPr>
        <w:ind w:left="3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6832DC">
      <w:start w:val="1"/>
      <w:numFmt w:val="lowerRoman"/>
      <w:lvlText w:val="%6"/>
      <w:lvlJc w:val="left"/>
      <w:pPr>
        <w:ind w:left="3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B6ECD8">
      <w:start w:val="1"/>
      <w:numFmt w:val="decimal"/>
      <w:lvlText w:val="%7"/>
      <w:lvlJc w:val="left"/>
      <w:pPr>
        <w:ind w:left="46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F6B5D4">
      <w:start w:val="1"/>
      <w:numFmt w:val="lowerLetter"/>
      <w:lvlText w:val="%8"/>
      <w:lvlJc w:val="left"/>
      <w:pPr>
        <w:ind w:left="5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D2723A">
      <w:start w:val="1"/>
      <w:numFmt w:val="lowerRoman"/>
      <w:lvlText w:val="%9"/>
      <w:lvlJc w:val="left"/>
      <w:pPr>
        <w:ind w:left="6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10B"/>
    <w:rsid w:val="00892A87"/>
    <w:rsid w:val="0089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2E554"/>
  <w15:docId w15:val="{64E6A7B0-891D-4CFB-8F7B-4C1212555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3" w:line="265" w:lineRule="auto"/>
      <w:ind w:left="60" w:hanging="10"/>
      <w:jc w:val="both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left="14"/>
      <w:jc w:val="center"/>
      <w:outlineLvl w:val="0"/>
    </w:pPr>
    <w:rPr>
      <w:rFonts w:ascii="Calibri" w:eastAsia="Calibri" w:hAnsi="Calibri" w:cs="Calibri"/>
      <w:color w:val="000000"/>
      <w:sz w:val="36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0"/>
      <w:outlineLvl w:val="1"/>
    </w:pPr>
    <w:rPr>
      <w:rFonts w:ascii="Calibri" w:eastAsia="Calibri" w:hAnsi="Calibri" w:cs="Calibri"/>
      <w:color w:val="000000"/>
      <w:sz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Calibri" w:eastAsia="Calibri" w:hAnsi="Calibri" w:cs="Calibri"/>
      <w:color w:val="000000"/>
      <w:sz w:val="30"/>
    </w:rPr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186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Aš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Image</dc:subject>
  <dc:creator>Blanka Vaněčková Rašková</dc:creator>
  <cp:keywords/>
  <cp:lastModifiedBy>Blanka Vaněčková Rašková</cp:lastModifiedBy>
  <cp:revision>2</cp:revision>
  <dcterms:created xsi:type="dcterms:W3CDTF">2023-02-20T10:39:00Z</dcterms:created>
  <dcterms:modified xsi:type="dcterms:W3CDTF">2023-02-20T10:39:00Z</dcterms:modified>
</cp:coreProperties>
</file>