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B548" w14:textId="77777777" w:rsidR="00A94169" w:rsidRDefault="000C3E16">
      <w:pPr>
        <w:jc w:val="center"/>
        <w:rPr>
          <w:rFonts w:ascii="Arial" w:hAnsi="Arial" w:cs="Arial"/>
          <w:b/>
          <w:sz w:val="28"/>
          <w:szCs w:val="28"/>
        </w:rPr>
      </w:pPr>
      <w:r>
        <w:rPr>
          <w:rFonts w:ascii="Arial" w:hAnsi="Arial" w:cs="Arial"/>
          <w:b/>
          <w:sz w:val="28"/>
          <w:szCs w:val="28"/>
        </w:rPr>
        <w:t>Smlouva o poskytnutí obratového bonusu</w:t>
      </w:r>
    </w:p>
    <w:p w14:paraId="28C248D3" w14:textId="77777777" w:rsidR="00A94169" w:rsidRDefault="000C3E16">
      <w:pPr>
        <w:jc w:val="center"/>
        <w:rPr>
          <w:rFonts w:ascii="Arial" w:hAnsi="Arial" w:cs="Arial"/>
          <w:b/>
        </w:rPr>
      </w:pPr>
      <w:r>
        <w:rPr>
          <w:rFonts w:ascii="Arial" w:hAnsi="Arial" w:cs="Arial"/>
          <w:b/>
        </w:rPr>
        <w:t>(dále jen „smlouva“)</w:t>
      </w:r>
    </w:p>
    <w:p w14:paraId="40708CEF" w14:textId="77777777" w:rsidR="00A94169" w:rsidRDefault="00A94169">
      <w:pPr>
        <w:jc w:val="center"/>
        <w:rPr>
          <w:rFonts w:ascii="Arial" w:hAnsi="Arial" w:cs="Arial"/>
          <w:b/>
        </w:rPr>
      </w:pPr>
    </w:p>
    <w:p w14:paraId="38DB9533" w14:textId="77777777" w:rsidR="00A94169" w:rsidRDefault="000C3E16">
      <w:pPr>
        <w:jc w:val="center"/>
        <w:rPr>
          <w:rFonts w:ascii="Arial" w:hAnsi="Arial" w:cs="Arial"/>
          <w:b/>
        </w:rPr>
      </w:pPr>
      <w:r>
        <w:rPr>
          <w:rFonts w:ascii="Arial" w:hAnsi="Arial" w:cs="Arial"/>
          <w:b/>
        </w:rPr>
        <w:t>uzavřená dnešního dne, měsíce a roku mezi smluvními stranami, kterými jsou:</w:t>
      </w:r>
    </w:p>
    <w:p w14:paraId="5AF7A057" w14:textId="77777777" w:rsidR="00A94169" w:rsidRDefault="00A94169">
      <w:pPr>
        <w:spacing w:line="360" w:lineRule="auto"/>
        <w:jc w:val="center"/>
        <w:rPr>
          <w:rFonts w:ascii="Arial" w:hAnsi="Arial" w:cs="Arial"/>
          <w:b/>
        </w:rPr>
      </w:pPr>
    </w:p>
    <w:p w14:paraId="68CF0923" w14:textId="77777777" w:rsidR="00A94169" w:rsidRDefault="00A94169">
      <w:pPr>
        <w:jc w:val="both"/>
        <w:rPr>
          <w:rFonts w:ascii="Arial" w:hAnsi="Arial" w:cs="Arial"/>
        </w:rPr>
      </w:pPr>
    </w:p>
    <w:p w14:paraId="699E7441" w14:textId="1FD8B393" w:rsidR="00A94169" w:rsidRDefault="000C3E16">
      <w:pPr>
        <w:jc w:val="both"/>
        <w:rPr>
          <w:rFonts w:ascii="Arial" w:hAnsi="Arial" w:cs="Arial"/>
          <w:i/>
        </w:rPr>
      </w:pPr>
      <w:proofErr w:type="spellStart"/>
      <w:r>
        <w:rPr>
          <w:rFonts w:ascii="Tahoma" w:hAnsi="Tahoma" w:cs="Tahoma"/>
          <w:b/>
        </w:rPr>
        <w:t>Exeltis</w:t>
      </w:r>
      <w:proofErr w:type="spellEnd"/>
      <w:r>
        <w:rPr>
          <w:rFonts w:ascii="Tahoma" w:hAnsi="Tahoma" w:cs="Tahoma"/>
          <w:b/>
        </w:rPr>
        <w:t xml:space="preserve"> Czech s.r.o.</w:t>
      </w:r>
    </w:p>
    <w:p w14:paraId="7EDEDB12" w14:textId="77777777" w:rsidR="00A94169" w:rsidRDefault="000C3E16">
      <w:pPr>
        <w:jc w:val="both"/>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t>Praha 4 - Michle, Želetavská 1449/9, PSČ 14000</w:t>
      </w:r>
    </w:p>
    <w:p w14:paraId="4AB8ECD0" w14:textId="290702A9" w:rsidR="00A94169" w:rsidRDefault="000C3E16">
      <w:pPr>
        <w:jc w:val="both"/>
        <w:rPr>
          <w:rFonts w:ascii="Arial" w:hAnsi="Arial" w:cs="Arial"/>
        </w:rPr>
      </w:pPr>
      <w:r>
        <w:rPr>
          <w:rFonts w:ascii="Arial" w:hAnsi="Arial" w:cs="Arial"/>
        </w:rPr>
        <w:t>IČ:</w:t>
      </w:r>
      <w:r>
        <w:rPr>
          <w:rFonts w:ascii="Arial" w:hAnsi="Arial" w:cs="Arial"/>
        </w:rPr>
        <w:tab/>
      </w:r>
      <w:r>
        <w:rPr>
          <w:rFonts w:ascii="Arial" w:hAnsi="Arial" w:cs="Arial"/>
        </w:rPr>
        <w:tab/>
      </w:r>
      <w:r>
        <w:rPr>
          <w:rFonts w:ascii="Arial" w:hAnsi="Arial" w:cs="Arial"/>
        </w:rPr>
        <w:tab/>
        <w:t>24812340</w:t>
      </w:r>
    </w:p>
    <w:p w14:paraId="473A0A1E" w14:textId="77777777" w:rsidR="00A94169" w:rsidRDefault="000C3E16">
      <w:pPr>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CZ24812340</w:t>
      </w:r>
    </w:p>
    <w:p w14:paraId="18A2F9EA" w14:textId="02E1E2E1" w:rsidR="00A94169" w:rsidRDefault="000C3E16" w:rsidP="0092626A">
      <w:pPr>
        <w:rPr>
          <w:rFonts w:ascii="Tahoma" w:hAnsi="Tahoma" w:cs="Tahoma"/>
        </w:rPr>
      </w:pPr>
      <w:r>
        <w:rPr>
          <w:rFonts w:ascii="Tahoma" w:hAnsi="Tahoma" w:cs="Tahoma"/>
        </w:rPr>
        <w:t>zastoupená/jednající:</w:t>
      </w:r>
      <w:r>
        <w:rPr>
          <w:rFonts w:ascii="Tahoma" w:hAnsi="Tahoma" w:cs="Tahoma"/>
        </w:rPr>
        <w:tab/>
        <w:t xml:space="preserve">MVDr. Jana </w:t>
      </w:r>
      <w:proofErr w:type="spellStart"/>
      <w:r>
        <w:rPr>
          <w:rFonts w:ascii="Tahoma" w:hAnsi="Tahoma" w:cs="Tahoma"/>
        </w:rPr>
        <w:t>Mittmann</w:t>
      </w:r>
      <w:proofErr w:type="spellEnd"/>
      <w:r>
        <w:rPr>
          <w:rFonts w:ascii="Tahoma" w:hAnsi="Tahoma" w:cs="Tahoma"/>
        </w:rPr>
        <w:t xml:space="preserve">, MBA, na základě plné moci </w:t>
      </w:r>
    </w:p>
    <w:p w14:paraId="3F5A57C1" w14:textId="2EC98417" w:rsidR="00A94169" w:rsidRDefault="000C3E16">
      <w:pPr>
        <w:jc w:val="both"/>
        <w:rPr>
          <w:rFonts w:ascii="Tahoma" w:hAnsi="Tahoma" w:cs="Tahoma"/>
        </w:rPr>
      </w:pPr>
      <w:r>
        <w:rPr>
          <w:rFonts w:ascii="Tahoma" w:hAnsi="Tahoma" w:cs="Tahoma"/>
        </w:rPr>
        <w:t>bankovní spojení:</w:t>
      </w:r>
      <w:r>
        <w:rPr>
          <w:rFonts w:ascii="Tahoma" w:hAnsi="Tahoma" w:cs="Tahoma"/>
        </w:rPr>
        <w:tab/>
        <w:t>2109825865/2700</w:t>
      </w:r>
    </w:p>
    <w:p w14:paraId="07E5677A" w14:textId="627E92EE" w:rsidR="00A94169" w:rsidRDefault="000C3E16">
      <w:pPr>
        <w:jc w:val="both"/>
        <w:rPr>
          <w:rFonts w:ascii="Tahoma" w:hAnsi="Tahoma" w:cs="Tahoma"/>
        </w:rPr>
      </w:pPr>
      <w:r>
        <w:rPr>
          <w:rFonts w:ascii="Tahoma" w:hAnsi="Tahoma" w:cs="Tahoma"/>
        </w:rPr>
        <w:t>zapsaná v OR:</w:t>
      </w:r>
      <w:r>
        <w:rPr>
          <w:rFonts w:ascii="Tahoma" w:hAnsi="Tahoma" w:cs="Tahoma"/>
        </w:rPr>
        <w:tab/>
      </w:r>
      <w:r>
        <w:rPr>
          <w:rFonts w:ascii="Tahoma" w:hAnsi="Tahoma" w:cs="Tahoma"/>
        </w:rPr>
        <w:tab/>
        <w:t xml:space="preserve">u Městského soudu v Praze, spisová značka C 176545 </w:t>
      </w:r>
    </w:p>
    <w:p w14:paraId="06BF5711" w14:textId="64A8EF93" w:rsidR="00A94169" w:rsidRDefault="000C3E16">
      <w:pPr>
        <w:jc w:val="both"/>
        <w:rPr>
          <w:rFonts w:ascii="Tahoma" w:hAnsi="Tahoma" w:cs="Tahoma"/>
        </w:rPr>
      </w:pPr>
      <w:r>
        <w:rPr>
          <w:rFonts w:ascii="Tahoma" w:hAnsi="Tahoma" w:cs="Tahoma"/>
        </w:rPr>
        <w:t xml:space="preserve">datová schránka: </w:t>
      </w:r>
      <w:r>
        <w:rPr>
          <w:rFonts w:ascii="Tahoma" w:hAnsi="Tahoma" w:cs="Tahoma"/>
        </w:rPr>
        <w:tab/>
        <w:t>w9i7x2</w:t>
      </w:r>
    </w:p>
    <w:p w14:paraId="757BCCF0" w14:textId="77777777" w:rsidR="00A94169" w:rsidRDefault="000C3E16">
      <w:pPr>
        <w:jc w:val="both"/>
        <w:rPr>
          <w:rFonts w:ascii="Tahoma" w:hAnsi="Tahoma" w:cs="Tahoma"/>
          <w:b/>
        </w:rPr>
      </w:pPr>
      <w:r>
        <w:rPr>
          <w:rFonts w:ascii="Tahoma" w:hAnsi="Tahoma" w:cs="Tahoma"/>
          <w:b/>
        </w:rPr>
        <w:t>(dále jen „Společnost“)</w:t>
      </w:r>
    </w:p>
    <w:p w14:paraId="29720202" w14:textId="77777777" w:rsidR="00A94169" w:rsidRDefault="000C3E16">
      <w:pPr>
        <w:ind w:left="2124" w:hanging="2124"/>
        <w:jc w:val="both"/>
        <w:rPr>
          <w:rFonts w:ascii="Tahoma" w:hAnsi="Tahoma" w:cs="Tahoma"/>
          <w:b/>
        </w:rPr>
      </w:pPr>
      <w:r>
        <w:rPr>
          <w:rFonts w:ascii="Tahoma" w:hAnsi="Tahoma" w:cs="Tahoma"/>
          <w:b/>
        </w:rPr>
        <w:t>a</w:t>
      </w:r>
    </w:p>
    <w:p w14:paraId="15C3D315" w14:textId="3FFBBE95" w:rsidR="00A94169" w:rsidRDefault="000C3E16">
      <w:pPr>
        <w:jc w:val="both"/>
        <w:rPr>
          <w:rFonts w:ascii="Tahoma" w:hAnsi="Tahoma" w:cs="Tahoma"/>
          <w:b/>
        </w:rPr>
      </w:pPr>
      <w:r>
        <w:rPr>
          <w:rFonts w:ascii="Tahoma" w:hAnsi="Tahoma" w:cs="Tahoma"/>
          <w:b/>
        </w:rPr>
        <w:t>Oblastní nemocnice Mladá Boleslav, a.s.</w:t>
      </w:r>
    </w:p>
    <w:p w14:paraId="148583A1" w14:textId="08BDEC78" w:rsidR="00A94169" w:rsidRDefault="000C3E16">
      <w:pPr>
        <w:jc w:val="both"/>
        <w:rPr>
          <w:rFonts w:ascii="Tahoma" w:hAnsi="Tahoma" w:cs="Tahoma"/>
        </w:rPr>
      </w:pPr>
      <w:r>
        <w:rPr>
          <w:rFonts w:ascii="Tahoma" w:hAnsi="Tahoma" w:cs="Tahoma"/>
        </w:rPr>
        <w:t xml:space="preserve">sídlo: </w:t>
      </w:r>
      <w:r>
        <w:rPr>
          <w:rFonts w:ascii="Tahoma" w:hAnsi="Tahoma" w:cs="Tahoma"/>
        </w:rPr>
        <w:tab/>
      </w:r>
      <w:r>
        <w:rPr>
          <w:rFonts w:ascii="Tahoma" w:hAnsi="Tahoma" w:cs="Tahoma"/>
        </w:rPr>
        <w:tab/>
      </w:r>
      <w:r>
        <w:rPr>
          <w:rFonts w:ascii="Tahoma" w:hAnsi="Tahoma" w:cs="Tahoma"/>
        </w:rPr>
        <w:tab/>
        <w:t>třída Václava Klementa 147, 293 01 Mladá Boleslav</w:t>
      </w:r>
    </w:p>
    <w:p w14:paraId="61177767" w14:textId="79256CCA" w:rsidR="00A94169" w:rsidRDefault="000C3E16">
      <w:pPr>
        <w:jc w:val="both"/>
        <w:rPr>
          <w:rFonts w:ascii="Tahoma" w:hAnsi="Tahoma" w:cs="Tahoma"/>
        </w:rPr>
      </w:pPr>
      <w:r>
        <w:rPr>
          <w:rFonts w:ascii="Tahoma" w:hAnsi="Tahoma" w:cs="Tahoma"/>
        </w:rPr>
        <w:t xml:space="preserve">IČ: </w:t>
      </w:r>
      <w:r>
        <w:rPr>
          <w:rFonts w:ascii="Tahoma" w:hAnsi="Tahoma" w:cs="Tahoma"/>
        </w:rPr>
        <w:tab/>
      </w:r>
      <w:r>
        <w:rPr>
          <w:rFonts w:ascii="Tahoma" w:hAnsi="Tahoma" w:cs="Tahoma"/>
        </w:rPr>
        <w:tab/>
      </w:r>
      <w:r>
        <w:rPr>
          <w:rFonts w:ascii="Tahoma" w:hAnsi="Tahoma" w:cs="Tahoma"/>
        </w:rPr>
        <w:tab/>
        <w:t>27256456</w:t>
      </w:r>
    </w:p>
    <w:p w14:paraId="5C4C81EF" w14:textId="2BCB803D" w:rsidR="00A94169" w:rsidRDefault="000C3E16">
      <w:pPr>
        <w:jc w:val="both"/>
        <w:rPr>
          <w:rFonts w:ascii="Tahoma" w:hAnsi="Tahoma" w:cs="Tahoma"/>
        </w:rPr>
      </w:pPr>
      <w:r>
        <w:rPr>
          <w:rFonts w:ascii="Tahoma" w:hAnsi="Tahoma" w:cs="Tahoma"/>
        </w:rPr>
        <w:t xml:space="preserve">DIČ: </w:t>
      </w:r>
      <w:r>
        <w:rPr>
          <w:rFonts w:ascii="Tahoma" w:hAnsi="Tahoma" w:cs="Tahoma"/>
        </w:rPr>
        <w:tab/>
      </w:r>
      <w:r>
        <w:rPr>
          <w:rFonts w:ascii="Tahoma" w:hAnsi="Tahoma" w:cs="Tahoma"/>
        </w:rPr>
        <w:tab/>
      </w:r>
      <w:r>
        <w:rPr>
          <w:rFonts w:ascii="Tahoma" w:hAnsi="Tahoma" w:cs="Tahoma"/>
        </w:rPr>
        <w:tab/>
        <w:t>CZ27256456</w:t>
      </w:r>
    </w:p>
    <w:p w14:paraId="08AC94D3" w14:textId="39036B91" w:rsidR="000C3E16" w:rsidRDefault="000C3E16" w:rsidP="00A94169">
      <w:pPr>
        <w:tabs>
          <w:tab w:val="left" w:pos="708"/>
          <w:tab w:val="left" w:pos="1416"/>
          <w:tab w:val="left" w:pos="2124"/>
          <w:tab w:val="left" w:pos="2832"/>
          <w:tab w:val="left" w:pos="3540"/>
          <w:tab w:val="left" w:pos="4248"/>
          <w:tab w:val="left" w:pos="4956"/>
          <w:tab w:val="left" w:pos="5664"/>
          <w:tab w:val="left" w:pos="6372"/>
          <w:tab w:val="left" w:pos="6972"/>
        </w:tabs>
        <w:jc w:val="both"/>
        <w:rPr>
          <w:rFonts w:ascii="Tahoma" w:hAnsi="Tahoma" w:cs="Tahoma"/>
          <w:bCs/>
        </w:rPr>
      </w:pPr>
      <w:r>
        <w:rPr>
          <w:rFonts w:ascii="Tahoma" w:hAnsi="Tahoma" w:cs="Tahoma"/>
        </w:rPr>
        <w:t>zastoupena:</w:t>
      </w:r>
      <w:r>
        <w:rPr>
          <w:rFonts w:ascii="Tahoma" w:hAnsi="Tahoma" w:cs="Tahoma"/>
          <w:bCs/>
        </w:rPr>
        <w:t xml:space="preserve"> </w:t>
      </w:r>
      <w:r>
        <w:rPr>
          <w:rFonts w:ascii="Tahoma" w:hAnsi="Tahoma" w:cs="Tahoma"/>
          <w:bCs/>
        </w:rPr>
        <w:tab/>
      </w:r>
      <w:r>
        <w:rPr>
          <w:rFonts w:ascii="Tahoma" w:hAnsi="Tahoma" w:cs="Tahoma"/>
          <w:bCs/>
        </w:rPr>
        <w:tab/>
        <w:t>JUDr. Ladislav Řípa, předseda představenstva</w:t>
      </w:r>
    </w:p>
    <w:p w14:paraId="7E218DA7" w14:textId="5C599FB8" w:rsidR="00A94169" w:rsidRDefault="000C3E16" w:rsidP="0092626A">
      <w:pPr>
        <w:tabs>
          <w:tab w:val="left" w:pos="708"/>
          <w:tab w:val="left" w:pos="1416"/>
          <w:tab w:val="left" w:pos="2124"/>
          <w:tab w:val="left" w:pos="2832"/>
          <w:tab w:val="left" w:pos="3540"/>
          <w:tab w:val="left" w:pos="4248"/>
          <w:tab w:val="left" w:pos="4956"/>
          <w:tab w:val="left" w:pos="5664"/>
          <w:tab w:val="left" w:pos="6372"/>
          <w:tab w:val="left" w:pos="6972"/>
        </w:tabs>
        <w:jc w:val="both"/>
        <w:rPr>
          <w:rFonts w:ascii="Tahoma" w:hAnsi="Tahoma" w:cs="Tahoma"/>
          <w:bCs/>
        </w:rPr>
      </w:pPr>
      <w:r>
        <w:rPr>
          <w:rFonts w:ascii="Tahoma" w:hAnsi="Tahoma" w:cs="Tahoma"/>
          <w:bCs/>
        </w:rPr>
        <w:tab/>
      </w:r>
      <w:r>
        <w:rPr>
          <w:rFonts w:ascii="Tahoma" w:hAnsi="Tahoma" w:cs="Tahoma"/>
          <w:bCs/>
        </w:rPr>
        <w:tab/>
      </w:r>
      <w:r>
        <w:rPr>
          <w:rFonts w:ascii="Tahoma" w:hAnsi="Tahoma" w:cs="Tahoma"/>
          <w:bCs/>
        </w:rPr>
        <w:tab/>
        <w:t>Mgr. Daniel Marek, místopředseda představenstva</w:t>
      </w:r>
    </w:p>
    <w:p w14:paraId="68444C15" w14:textId="755137EC" w:rsidR="00A94169" w:rsidRDefault="000C3E16">
      <w:pPr>
        <w:jc w:val="both"/>
        <w:rPr>
          <w:rFonts w:ascii="Tahoma" w:hAnsi="Tahoma" w:cs="Tahoma"/>
        </w:rPr>
      </w:pPr>
      <w:r>
        <w:rPr>
          <w:rFonts w:ascii="Tahoma" w:hAnsi="Tahoma" w:cs="Tahoma"/>
        </w:rPr>
        <w:t xml:space="preserve">bankovní spojení: </w:t>
      </w:r>
      <w:r>
        <w:rPr>
          <w:rFonts w:ascii="Tahoma" w:hAnsi="Tahoma" w:cs="Tahoma"/>
        </w:rPr>
        <w:tab/>
        <w:t>35-3525450227, kód banky: 0100</w:t>
      </w:r>
    </w:p>
    <w:p w14:paraId="1F27AAC1" w14:textId="6C0EF6C1" w:rsidR="00A94169" w:rsidRDefault="000C3E16">
      <w:pPr>
        <w:jc w:val="both"/>
        <w:rPr>
          <w:rFonts w:ascii="Tahoma" w:hAnsi="Tahoma" w:cs="Tahoma"/>
        </w:rPr>
      </w:pPr>
      <w:r>
        <w:rPr>
          <w:rFonts w:ascii="Tahoma" w:hAnsi="Tahoma" w:cs="Tahoma"/>
        </w:rPr>
        <w:t xml:space="preserve">Zapsaná </w:t>
      </w:r>
      <w:r w:rsidR="0092626A">
        <w:rPr>
          <w:rFonts w:ascii="Tahoma" w:hAnsi="Tahoma" w:cs="Tahoma"/>
        </w:rPr>
        <w:t>v OR:</w:t>
      </w:r>
      <w:r w:rsidR="0092626A">
        <w:rPr>
          <w:rFonts w:ascii="Tahoma" w:hAnsi="Tahoma" w:cs="Tahoma"/>
        </w:rPr>
        <w:tab/>
      </w:r>
      <w:r w:rsidR="0092626A">
        <w:rPr>
          <w:rFonts w:ascii="Tahoma" w:hAnsi="Tahoma" w:cs="Tahoma"/>
        </w:rPr>
        <w:tab/>
        <w:t>u Městského soudu v Praze, spisová značka B 10019</w:t>
      </w:r>
    </w:p>
    <w:p w14:paraId="4FCE81E2" w14:textId="20483029" w:rsidR="00A94169" w:rsidRDefault="000C3E16">
      <w:pPr>
        <w:jc w:val="both"/>
        <w:rPr>
          <w:rFonts w:ascii="Tahoma" w:hAnsi="Tahoma" w:cs="Tahoma"/>
        </w:rPr>
      </w:pPr>
      <w:r>
        <w:rPr>
          <w:rFonts w:ascii="Tahoma" w:hAnsi="Tahoma" w:cs="Tahoma"/>
        </w:rPr>
        <w:t xml:space="preserve">datová schránka: </w:t>
      </w:r>
      <w:r>
        <w:rPr>
          <w:rFonts w:ascii="Tahoma" w:hAnsi="Tahoma" w:cs="Tahoma"/>
        </w:rPr>
        <w:tab/>
        <w:t>4vyff87</w:t>
      </w:r>
    </w:p>
    <w:p w14:paraId="405997CA" w14:textId="77777777" w:rsidR="00A94169" w:rsidRDefault="00A94169">
      <w:pPr>
        <w:jc w:val="both"/>
        <w:rPr>
          <w:rFonts w:ascii="Tahoma" w:hAnsi="Tahoma" w:cs="Tahoma"/>
        </w:rPr>
      </w:pPr>
    </w:p>
    <w:p w14:paraId="4820EE4F" w14:textId="77777777" w:rsidR="00A94169" w:rsidRDefault="000C3E16">
      <w:pPr>
        <w:jc w:val="both"/>
        <w:rPr>
          <w:rFonts w:ascii="Tahoma" w:hAnsi="Tahoma" w:cs="Tahoma"/>
          <w:b/>
          <w:bCs/>
        </w:rPr>
      </w:pPr>
      <w:r>
        <w:rPr>
          <w:rFonts w:ascii="Tahoma" w:hAnsi="Tahoma" w:cs="Tahoma"/>
          <w:b/>
          <w:bCs/>
        </w:rPr>
        <w:t>(dále jen „Zdravotnické zařízení“).</w:t>
      </w:r>
    </w:p>
    <w:p w14:paraId="326322F1" w14:textId="77777777" w:rsidR="00A94169" w:rsidRDefault="00A94169">
      <w:pPr>
        <w:jc w:val="center"/>
        <w:rPr>
          <w:rFonts w:ascii="Tahoma" w:hAnsi="Tahoma" w:cs="Tahoma"/>
          <w:b/>
          <w:bCs/>
        </w:rPr>
      </w:pPr>
    </w:p>
    <w:p w14:paraId="20405404" w14:textId="77777777" w:rsidR="00A94169" w:rsidRDefault="00A94169">
      <w:pPr>
        <w:jc w:val="center"/>
        <w:rPr>
          <w:rFonts w:ascii="Tahoma" w:hAnsi="Tahoma" w:cs="Tahoma"/>
          <w:b/>
        </w:rPr>
      </w:pPr>
    </w:p>
    <w:p w14:paraId="5EE3D679" w14:textId="77777777" w:rsidR="00A94169" w:rsidRDefault="00A94169">
      <w:pPr>
        <w:jc w:val="center"/>
        <w:rPr>
          <w:rFonts w:ascii="Arial" w:hAnsi="Arial" w:cs="Arial"/>
          <w:b/>
        </w:rPr>
      </w:pPr>
    </w:p>
    <w:p w14:paraId="65A7C290" w14:textId="77777777" w:rsidR="00A94169" w:rsidRDefault="000C3E16">
      <w:pPr>
        <w:jc w:val="center"/>
        <w:rPr>
          <w:rFonts w:ascii="Arial" w:hAnsi="Arial" w:cs="Arial"/>
          <w:b/>
        </w:rPr>
      </w:pPr>
      <w:r>
        <w:rPr>
          <w:rFonts w:ascii="Arial" w:hAnsi="Arial" w:cs="Arial"/>
          <w:b/>
        </w:rPr>
        <w:t>I.</w:t>
      </w:r>
    </w:p>
    <w:p w14:paraId="6FDFE9A6" w14:textId="77777777" w:rsidR="00A94169" w:rsidRDefault="000C3E16">
      <w:pPr>
        <w:pStyle w:val="Nadpis1"/>
        <w:rPr>
          <w:rFonts w:ascii="Arial" w:eastAsia="Times New Roman" w:hAnsi="Arial" w:cs="Arial"/>
          <w:i w:val="0"/>
          <w:sz w:val="20"/>
        </w:rPr>
      </w:pPr>
      <w:r>
        <w:rPr>
          <w:rFonts w:ascii="Arial" w:eastAsia="Times New Roman" w:hAnsi="Arial" w:cs="Arial"/>
          <w:i w:val="0"/>
          <w:sz w:val="20"/>
        </w:rPr>
        <w:t>Úvodní ustanovení</w:t>
      </w:r>
    </w:p>
    <w:p w14:paraId="7C136F40" w14:textId="77777777" w:rsidR="00A94169" w:rsidRDefault="00A94169"/>
    <w:p w14:paraId="109FE476" w14:textId="77777777" w:rsidR="00A94169" w:rsidRDefault="000C3E16">
      <w:pPr>
        <w:pStyle w:val="Zkladntext2"/>
        <w:numPr>
          <w:ilvl w:val="0"/>
          <w:numId w:val="4"/>
        </w:numPr>
        <w:tabs>
          <w:tab w:val="left" w:pos="567"/>
        </w:tabs>
        <w:ind w:left="567" w:hanging="567"/>
        <w:rPr>
          <w:rFonts w:ascii="Arial" w:hAnsi="Arial" w:cs="Arial"/>
          <w:sz w:val="20"/>
        </w:rPr>
      </w:pPr>
      <w:r>
        <w:rPr>
          <w:rFonts w:ascii="Arial" w:hAnsi="Arial" w:cs="Arial"/>
          <w:sz w:val="20"/>
        </w:rPr>
        <w:t>Zdravotnické zařízení odebírá z distribuční sítě v České republice výrobky uvedené v Přílohách č.1. této smlouvy, dále jen „</w:t>
      </w:r>
      <w:r>
        <w:rPr>
          <w:rFonts w:ascii="Arial" w:hAnsi="Arial" w:cs="Arial"/>
          <w:b/>
          <w:sz w:val="20"/>
        </w:rPr>
        <w:t>Příloha</w:t>
      </w:r>
      <w:r>
        <w:rPr>
          <w:rFonts w:ascii="Arial" w:hAnsi="Arial" w:cs="Arial"/>
          <w:sz w:val="20"/>
        </w:rPr>
        <w:t>“, které na tento trh uvádí Společnost, dále jen „</w:t>
      </w:r>
      <w:r>
        <w:rPr>
          <w:rFonts w:ascii="Arial" w:hAnsi="Arial" w:cs="Arial"/>
          <w:b/>
          <w:sz w:val="20"/>
        </w:rPr>
        <w:t>Výrobky</w:t>
      </w:r>
      <w:r>
        <w:rPr>
          <w:rFonts w:ascii="Arial" w:hAnsi="Arial" w:cs="Arial"/>
          <w:sz w:val="20"/>
        </w:rPr>
        <w:t>“. Podmínky odběrů Výrobků Zdravotnickým zařízením nejsou touto smlouvou nijak dotčeny. Přílohy tvoří nedílnou součást této smlouvy.</w:t>
      </w:r>
    </w:p>
    <w:p w14:paraId="610C403B" w14:textId="77777777" w:rsidR="00A94169" w:rsidRDefault="000C3E16">
      <w:pPr>
        <w:pStyle w:val="Zkladntext2"/>
        <w:tabs>
          <w:tab w:val="left" w:pos="567"/>
          <w:tab w:val="left" w:pos="2880"/>
        </w:tabs>
        <w:ind w:left="567" w:hanging="567"/>
        <w:rPr>
          <w:rFonts w:ascii="Arial" w:hAnsi="Arial" w:cs="Arial"/>
          <w:sz w:val="20"/>
        </w:rPr>
      </w:pPr>
      <w:r>
        <w:rPr>
          <w:rFonts w:ascii="Arial" w:hAnsi="Arial" w:cs="Arial"/>
          <w:sz w:val="20"/>
        </w:rPr>
        <w:tab/>
        <w:t>Účastníci této smlouvy se v rámci jejího naplňování zavazují postupovat vždy v souladu s právním řádem České republiky.</w:t>
      </w:r>
    </w:p>
    <w:p w14:paraId="2E090E92" w14:textId="77777777" w:rsidR="00A94169" w:rsidRDefault="00A94169">
      <w:pPr>
        <w:pStyle w:val="Zkladntext2"/>
        <w:jc w:val="center"/>
        <w:rPr>
          <w:rFonts w:ascii="Arial" w:hAnsi="Arial" w:cs="Arial"/>
          <w:b/>
          <w:sz w:val="20"/>
        </w:rPr>
      </w:pPr>
    </w:p>
    <w:p w14:paraId="2C80C989" w14:textId="77777777" w:rsidR="00A94169" w:rsidRDefault="000C3E16">
      <w:pPr>
        <w:pStyle w:val="Zkladntext2"/>
        <w:jc w:val="center"/>
        <w:rPr>
          <w:rFonts w:ascii="Arial" w:hAnsi="Arial" w:cs="Arial"/>
          <w:b/>
          <w:sz w:val="20"/>
        </w:rPr>
      </w:pPr>
      <w:r>
        <w:rPr>
          <w:rFonts w:ascii="Arial" w:hAnsi="Arial" w:cs="Arial"/>
          <w:b/>
          <w:sz w:val="20"/>
        </w:rPr>
        <w:t>II.</w:t>
      </w:r>
    </w:p>
    <w:p w14:paraId="63C06615" w14:textId="77777777" w:rsidR="00A94169" w:rsidRDefault="000C3E16">
      <w:pPr>
        <w:pStyle w:val="Zkladntext2"/>
        <w:jc w:val="center"/>
        <w:rPr>
          <w:rFonts w:ascii="Arial" w:hAnsi="Arial" w:cs="Arial"/>
          <w:b/>
          <w:sz w:val="20"/>
        </w:rPr>
      </w:pPr>
      <w:r>
        <w:rPr>
          <w:rFonts w:ascii="Arial" w:hAnsi="Arial" w:cs="Arial"/>
          <w:b/>
          <w:sz w:val="20"/>
        </w:rPr>
        <w:t>Předmět smlouvy</w:t>
      </w:r>
    </w:p>
    <w:p w14:paraId="6719213F" w14:textId="77777777" w:rsidR="00A94169" w:rsidRDefault="00A94169">
      <w:pPr>
        <w:pStyle w:val="Zkladntext2"/>
        <w:jc w:val="center"/>
        <w:rPr>
          <w:rFonts w:ascii="Arial" w:hAnsi="Arial" w:cs="Arial"/>
          <w:b/>
          <w:sz w:val="20"/>
        </w:rPr>
      </w:pPr>
    </w:p>
    <w:p w14:paraId="4A1D6420" w14:textId="77777777" w:rsidR="00A94169" w:rsidRDefault="000C3E16">
      <w:pPr>
        <w:pStyle w:val="Zkladntext2"/>
        <w:numPr>
          <w:ilvl w:val="0"/>
          <w:numId w:val="1"/>
        </w:numPr>
        <w:tabs>
          <w:tab w:val="left" w:pos="567"/>
        </w:tabs>
        <w:ind w:left="567" w:hanging="567"/>
        <w:rPr>
          <w:rFonts w:ascii="Arial" w:hAnsi="Arial" w:cs="Arial"/>
          <w:sz w:val="20"/>
        </w:rPr>
      </w:pPr>
      <w:r>
        <w:rPr>
          <w:rFonts w:ascii="Arial" w:hAnsi="Arial" w:cs="Arial"/>
          <w:sz w:val="20"/>
        </w:rPr>
        <w:t>Smluvní strany se dohodly, že Společnost postupem dle čl. III. Smlouvy poskytne Zdravotnickému zařízení za odběr Výrobků při splnění podmínek uvedených v příslušné Příloze neadresný obratový bonus (dále jen „</w:t>
      </w:r>
      <w:r>
        <w:rPr>
          <w:rFonts w:ascii="Arial" w:hAnsi="Arial" w:cs="Arial"/>
          <w:b/>
          <w:sz w:val="20"/>
        </w:rPr>
        <w:t>Bonus</w:t>
      </w:r>
      <w:r>
        <w:rPr>
          <w:rFonts w:ascii="Arial" w:hAnsi="Arial" w:cs="Arial"/>
          <w:sz w:val="20"/>
        </w:rPr>
        <w:t>“) ve výši uvedené v příslušné Příloze č.2 za předpokladu, že odběr Výrobků v referenčním období dosáhne minimálně obratu uvedeného v příslušné Příloze pro odpovídající Výrobky. Výběr Výrobků uvedených v příslušné Příloze této smlouvy vychází z potřeb Zdravotnického zařízení a jeho návrhu.</w:t>
      </w:r>
    </w:p>
    <w:p w14:paraId="6496EB3A" w14:textId="77777777" w:rsidR="00A94169" w:rsidRDefault="000C3E16">
      <w:pPr>
        <w:pStyle w:val="Zkladntext2"/>
        <w:numPr>
          <w:ilvl w:val="0"/>
          <w:numId w:val="1"/>
        </w:numPr>
        <w:tabs>
          <w:tab w:val="left" w:pos="567"/>
        </w:tabs>
        <w:ind w:left="567" w:hanging="567"/>
        <w:rPr>
          <w:rFonts w:ascii="Arial" w:hAnsi="Arial" w:cs="Arial"/>
          <w:sz w:val="20"/>
        </w:rPr>
      </w:pPr>
      <w:r>
        <w:rPr>
          <w:rFonts w:ascii="Arial" w:hAnsi="Arial" w:cs="Arial"/>
          <w:sz w:val="20"/>
        </w:rPr>
        <w:t xml:space="preserve">Bonus je stanoven v Příloze vždy pro konkrétní dosažený obrat Výrobků v referenčním období, přičemž obrat Výrobku se vypočte jako součet cen všech balení příslušného Výrobku, který Zdravotnické zařízení nakoupí v referenčním období. Cenou balení Výrobku se pro účely tohoto ustanovení rozumí cena výrobce bez DPH určená Společností a platná v daném referenčním období. Bonus bude poskytnut pouze v úrovni nejvyššího dosaženého pásma obratu v referenčním období.  </w:t>
      </w:r>
    </w:p>
    <w:p w14:paraId="0CCAF47A" w14:textId="77777777" w:rsidR="00A94169" w:rsidRDefault="000C3E16">
      <w:pPr>
        <w:pStyle w:val="Zkladntext2"/>
        <w:numPr>
          <w:ilvl w:val="0"/>
          <w:numId w:val="1"/>
        </w:numPr>
        <w:tabs>
          <w:tab w:val="left" w:pos="567"/>
        </w:tabs>
        <w:ind w:left="567" w:hanging="567"/>
        <w:rPr>
          <w:rFonts w:ascii="Arial" w:hAnsi="Arial" w:cs="Arial"/>
          <w:sz w:val="20"/>
        </w:rPr>
      </w:pPr>
      <w:r>
        <w:rPr>
          <w:rFonts w:ascii="Arial" w:hAnsi="Arial" w:cs="Arial"/>
          <w:sz w:val="20"/>
        </w:rPr>
        <w:t>Referenčním obdobím se pro účely této smlouvy rozumí období určené příslušnou Přílohou této Smlouvy.</w:t>
      </w:r>
    </w:p>
    <w:p w14:paraId="6111AF14" w14:textId="77777777" w:rsidR="00A94169" w:rsidRDefault="000C3E16">
      <w:pPr>
        <w:pStyle w:val="Zkladntext2"/>
        <w:numPr>
          <w:ilvl w:val="0"/>
          <w:numId w:val="1"/>
        </w:numPr>
        <w:tabs>
          <w:tab w:val="left" w:pos="567"/>
        </w:tabs>
        <w:ind w:left="567" w:hanging="567"/>
        <w:rPr>
          <w:rFonts w:ascii="Arial" w:hAnsi="Arial" w:cs="Arial"/>
          <w:sz w:val="20"/>
        </w:rPr>
      </w:pPr>
      <w:r>
        <w:rPr>
          <w:rFonts w:ascii="Arial" w:hAnsi="Arial" w:cs="Arial"/>
          <w:sz w:val="20"/>
        </w:rPr>
        <w:lastRenderedPageBreak/>
        <w:t xml:space="preserve">Dojde – </w:t>
      </w:r>
      <w:proofErr w:type="spellStart"/>
      <w:r>
        <w:rPr>
          <w:rFonts w:ascii="Arial" w:hAnsi="Arial" w:cs="Arial"/>
          <w:sz w:val="20"/>
        </w:rPr>
        <w:t>li</w:t>
      </w:r>
      <w:proofErr w:type="spellEnd"/>
      <w:r>
        <w:rPr>
          <w:rFonts w:ascii="Arial" w:hAnsi="Arial" w:cs="Arial"/>
          <w:sz w:val="20"/>
        </w:rPr>
        <w:t xml:space="preserve"> v referenčním období k významným změnám cen Výrobků, případně ke změnám v portfoliu Výrobků, včetně změny rozhodnutí o výši a/nebo podmínkách hrazení kteréhokoliv Výrobku, vstoupí obě smluvní strany do jednání o případném zrevidování příloh této smlouvy. Jednání o zrevidování příloh podle tohoto odstavce může zahájit písemným oznámením kterákoliv smluvní strana, oznámení musí být doručeno druhé smluvní straně. Pokud smluvní strany nedosáhnou žádné dohody o zrevidování příloh ani do 30 dní od doručení oznámení smluvní strany vyzývající druhou smluvní stranu k jednání o zrevidování příloh, je smluvní strana, která k jednání o revizi příloh vyzvala, oprávněna vypovědět tuto smlouvy bez výpovědní doby s účinností ke dni doručení výpovědi smluvní straně.</w:t>
      </w:r>
    </w:p>
    <w:p w14:paraId="7E768C65" w14:textId="77777777" w:rsidR="00A94169" w:rsidRDefault="00A94169">
      <w:pPr>
        <w:pStyle w:val="Zkladntext2"/>
        <w:jc w:val="center"/>
        <w:rPr>
          <w:rFonts w:ascii="Arial" w:hAnsi="Arial" w:cs="Arial"/>
          <w:sz w:val="20"/>
        </w:rPr>
      </w:pPr>
    </w:p>
    <w:p w14:paraId="24F501BE" w14:textId="77777777" w:rsidR="00A94169" w:rsidRDefault="000C3E16">
      <w:pPr>
        <w:pStyle w:val="Zkladntext2"/>
        <w:jc w:val="center"/>
        <w:rPr>
          <w:rFonts w:ascii="Arial" w:hAnsi="Arial" w:cs="Arial"/>
          <w:b/>
          <w:sz w:val="20"/>
        </w:rPr>
      </w:pPr>
      <w:r>
        <w:rPr>
          <w:rFonts w:ascii="Arial" w:hAnsi="Arial" w:cs="Arial"/>
          <w:b/>
          <w:sz w:val="20"/>
        </w:rPr>
        <w:t>III.</w:t>
      </w:r>
    </w:p>
    <w:p w14:paraId="6650A406" w14:textId="77777777" w:rsidR="00A94169" w:rsidRDefault="000C3E16">
      <w:pPr>
        <w:pStyle w:val="Zkladntext2"/>
        <w:jc w:val="center"/>
        <w:rPr>
          <w:rFonts w:ascii="Arial" w:hAnsi="Arial" w:cs="Arial"/>
          <w:b/>
          <w:sz w:val="20"/>
        </w:rPr>
      </w:pPr>
      <w:r>
        <w:rPr>
          <w:rFonts w:ascii="Arial" w:hAnsi="Arial" w:cs="Arial"/>
          <w:b/>
          <w:sz w:val="20"/>
        </w:rPr>
        <w:t>Uplatnění Bonusu a jeho uhrazení</w:t>
      </w:r>
    </w:p>
    <w:p w14:paraId="3EB15764" w14:textId="77777777" w:rsidR="00A94169" w:rsidRDefault="00A94169">
      <w:pPr>
        <w:pStyle w:val="Zkladntext2"/>
        <w:jc w:val="center"/>
        <w:rPr>
          <w:rFonts w:ascii="Arial" w:hAnsi="Arial" w:cs="Arial"/>
          <w:b/>
          <w:sz w:val="20"/>
        </w:rPr>
      </w:pPr>
    </w:p>
    <w:p w14:paraId="34726FAB" w14:textId="77777777" w:rsidR="00A94169" w:rsidRDefault="000C3E16">
      <w:pPr>
        <w:pStyle w:val="Zkladntext2"/>
        <w:numPr>
          <w:ilvl w:val="0"/>
          <w:numId w:val="2"/>
        </w:numPr>
        <w:tabs>
          <w:tab w:val="left" w:pos="567"/>
        </w:tabs>
        <w:ind w:left="567" w:hanging="567"/>
        <w:rPr>
          <w:rFonts w:ascii="Arial" w:hAnsi="Arial" w:cs="Arial"/>
          <w:sz w:val="20"/>
        </w:rPr>
      </w:pPr>
      <w:r>
        <w:rPr>
          <w:rFonts w:ascii="Arial" w:hAnsi="Arial" w:cs="Arial"/>
          <w:sz w:val="20"/>
        </w:rPr>
        <w:t xml:space="preserve">Zdravotnické zařízení osvědčí reprezentativními doklady nárok na požadovanou výši Bonusu osvědčující odběr a plné vypořádání kupní ceny Výrobků v daném období, a tyto doklady Zdravotnické zařízení připojí k návrhu na přiznání Bonusu, který do 30 dní od skončení referenčního období předloží Společnosti. Společnost v přiměřeném období posoudí podklady pro přiznání Bonusu a návrh buď odsouhlasí a informuje Zdravotnické zařízení, nebo vznese písemně odůvodněné připomínky k návrhu na přiznání Bonusu. V takovém případě Zdravotnické zařízení připomínky Společnosti odůvodněně vypořádá, aby jej Společnost mohla odsouhlasit, popř. odpovídajícím způsobem návrh pozmění. Společnost do 30 pracovních dní od odsouhlasení návrhu na přiznání Bonusu vystaví ve prospěch Zdravotnického zařízení doklad o „Uznání obratového bonusu – Přiznání finanční odměny“ a doručí jej Zdravotnickému zařízení. </w:t>
      </w:r>
    </w:p>
    <w:p w14:paraId="2532D2E2" w14:textId="77777777" w:rsidR="00A94169" w:rsidRDefault="000C3E16">
      <w:pPr>
        <w:pStyle w:val="Zkladntext2"/>
        <w:numPr>
          <w:ilvl w:val="0"/>
          <w:numId w:val="2"/>
        </w:numPr>
        <w:tabs>
          <w:tab w:val="left" w:pos="567"/>
        </w:tabs>
        <w:ind w:left="567" w:hanging="567"/>
        <w:rPr>
          <w:color w:val="000000"/>
        </w:rPr>
      </w:pPr>
      <w:r>
        <w:rPr>
          <w:rFonts w:ascii="Arial" w:hAnsi="Arial" w:cs="Arial"/>
          <w:color w:val="000000"/>
          <w:sz w:val="20"/>
        </w:rPr>
        <w:t>Společnost uhradí Bonus nejpozději do konce následujícího měsíce od schválení předloženého návrhu. Bonus bude uhrazen, resp. Společnost zajistí úhradu, prostřednictvím distributorů, kteří zajištují dodávky Výrobků, a to skrze opravné daňové doklady znějící na příslušnou část Bonusu za příslušné referenční období, rozložený podle poměru odběrů Výrobků od jednotlivých distributorů Zdravotnickým zařízením. Jednotlivé opravné daňové doklady musí v souhrnu odpovídat uznanému obratovému bonusu, popřípadě musí být rozdíl uhrazen samostatně Společností převodem</w:t>
      </w:r>
      <w:r>
        <w:rPr>
          <w:rFonts w:ascii="Arial" w:hAnsi="Arial" w:cs="Arial"/>
          <w:color w:val="000000"/>
          <w:sz w:val="20"/>
          <w:szCs w:val="22"/>
        </w:rPr>
        <w:t xml:space="preserve"> </w:t>
      </w:r>
      <w:r>
        <w:rPr>
          <w:rFonts w:ascii="Arial" w:hAnsi="Arial" w:cs="Arial"/>
          <w:color w:val="000000"/>
          <w:sz w:val="20"/>
        </w:rPr>
        <w:t>na účet Zdravotnického zařízení uvedený v záhlaví této smlouvy; stejně bude postupováno, pokud Společnost nezajistí úhradu Bonusu skrze své distributory.</w:t>
      </w:r>
    </w:p>
    <w:p w14:paraId="29D0E0D3" w14:textId="77777777" w:rsidR="00A94169" w:rsidRDefault="000C3E16">
      <w:pPr>
        <w:pStyle w:val="Zkladntext2"/>
        <w:numPr>
          <w:ilvl w:val="0"/>
          <w:numId w:val="2"/>
        </w:numPr>
        <w:tabs>
          <w:tab w:val="left" w:pos="567"/>
        </w:tabs>
        <w:ind w:left="567" w:hanging="567"/>
        <w:rPr>
          <w:rFonts w:ascii="Arial" w:hAnsi="Arial" w:cs="Arial"/>
          <w:sz w:val="20"/>
        </w:rPr>
      </w:pPr>
      <w:r>
        <w:rPr>
          <w:rFonts w:ascii="Arial" w:hAnsi="Arial" w:cs="Arial"/>
          <w:sz w:val="20"/>
        </w:rPr>
        <w:t>V případě, že dojde k ukončení této smlouvy před uplynutím referenčního období, poskytne Společnost Zdravotnickému zařízení Bonus v poměrné výši (alikvotní část) za takové zkrácené referenční období, to však za předpokladu, že Zdravotnické zařízení splní v poměrné výši odběr požadovaný pro poskytnutí Bonusu v příslušné Příloze.</w:t>
      </w:r>
    </w:p>
    <w:p w14:paraId="4D4DC562" w14:textId="0C6C5DCE" w:rsidR="00A94169" w:rsidRDefault="000C3E16">
      <w:pPr>
        <w:pStyle w:val="Zkladntext2"/>
        <w:numPr>
          <w:ilvl w:val="0"/>
          <w:numId w:val="2"/>
        </w:numPr>
        <w:tabs>
          <w:tab w:val="left" w:pos="567"/>
        </w:tabs>
        <w:ind w:left="567" w:hanging="567"/>
        <w:rPr>
          <w:rFonts w:ascii="Arial" w:hAnsi="Arial" w:cs="Arial"/>
          <w:sz w:val="20"/>
        </w:rPr>
      </w:pPr>
      <w:r>
        <w:rPr>
          <w:rFonts w:ascii="Arial" w:hAnsi="Arial" w:cs="Arial"/>
          <w:sz w:val="20"/>
        </w:rPr>
        <w:t>Společnost je oprávněna pozdržet uhrazení Bonusu, jestliže je Zdravotnické zařízení v prodlení s úhradou byť jen části kupní ceny jakékoliv dodávky Výrobků. Jestliže bude Zdravotnické zařízení v prodlení s úhradou byť jen části kupní ceny po dobu 90 dní, není Společnost povinna Bonus uhradit ani po doplacení kupní ceny.</w:t>
      </w:r>
    </w:p>
    <w:p w14:paraId="3B9A2C6D" w14:textId="77777777" w:rsidR="00A94169" w:rsidRDefault="00A94169">
      <w:pPr>
        <w:pStyle w:val="Zkladntext2"/>
        <w:rPr>
          <w:rFonts w:ascii="Arial" w:hAnsi="Arial" w:cs="Arial"/>
          <w:sz w:val="20"/>
        </w:rPr>
      </w:pPr>
    </w:p>
    <w:p w14:paraId="24A713B0" w14:textId="77777777" w:rsidR="00A94169" w:rsidRDefault="000C3E16">
      <w:pPr>
        <w:pStyle w:val="Zkladntext2"/>
        <w:jc w:val="center"/>
        <w:rPr>
          <w:rFonts w:ascii="Arial" w:hAnsi="Arial" w:cs="Arial"/>
          <w:b/>
          <w:sz w:val="20"/>
        </w:rPr>
      </w:pPr>
      <w:r>
        <w:rPr>
          <w:rFonts w:ascii="Arial" w:hAnsi="Arial" w:cs="Arial"/>
          <w:b/>
          <w:sz w:val="20"/>
        </w:rPr>
        <w:t xml:space="preserve">IV. </w:t>
      </w:r>
    </w:p>
    <w:p w14:paraId="38AB025B" w14:textId="77777777" w:rsidR="00A94169" w:rsidRDefault="000C3E16">
      <w:pPr>
        <w:pStyle w:val="Zkladntext2"/>
        <w:jc w:val="center"/>
        <w:rPr>
          <w:rFonts w:ascii="Arial" w:hAnsi="Arial" w:cs="Arial"/>
          <w:b/>
          <w:sz w:val="20"/>
        </w:rPr>
      </w:pPr>
      <w:r>
        <w:rPr>
          <w:rFonts w:ascii="Arial" w:hAnsi="Arial" w:cs="Arial"/>
          <w:b/>
          <w:sz w:val="20"/>
        </w:rPr>
        <w:t>Prohlášení smluvních stran</w:t>
      </w:r>
    </w:p>
    <w:p w14:paraId="13863879" w14:textId="77777777" w:rsidR="00A94169" w:rsidRDefault="00A94169">
      <w:pPr>
        <w:pStyle w:val="Zkladntext2"/>
        <w:jc w:val="center"/>
        <w:rPr>
          <w:rFonts w:ascii="Arial" w:hAnsi="Arial" w:cs="Arial"/>
          <w:b/>
          <w:sz w:val="20"/>
        </w:rPr>
      </w:pPr>
    </w:p>
    <w:p w14:paraId="1F314483" w14:textId="77777777" w:rsidR="00A94169" w:rsidRDefault="000C3E16">
      <w:pPr>
        <w:pStyle w:val="Zkladntext2"/>
        <w:numPr>
          <w:ilvl w:val="0"/>
          <w:numId w:val="8"/>
        </w:numPr>
        <w:ind w:left="567" w:hanging="567"/>
        <w:rPr>
          <w:rFonts w:ascii="Arial" w:hAnsi="Arial" w:cs="Arial"/>
          <w:sz w:val="20"/>
        </w:rPr>
      </w:pPr>
      <w:r>
        <w:rPr>
          <w:rFonts w:ascii="Arial" w:hAnsi="Arial" w:cs="Arial"/>
          <w:sz w:val="20"/>
        </w:rPr>
        <w:t>Smluvní strany souhlasně prohlašují, že touto smlouvou není Zdravotnické zařízení jakkoli zavázáno odebírat Výrobky, a to v jakémkoli množství a nadále disponuje absolutní smluvní volností co do výběru výrobků i co do výběru jejich dodavatelů. Smluvní strany dále prohlašuji, že se tato smlouva nedotýká obchodních vztahů Zdravotnického zařízení s distributory /dodavateli Výrobků.</w:t>
      </w:r>
    </w:p>
    <w:p w14:paraId="401E252A" w14:textId="77777777" w:rsidR="00A94169" w:rsidRDefault="000C3E16">
      <w:pPr>
        <w:pStyle w:val="Zkladntext2"/>
        <w:numPr>
          <w:ilvl w:val="0"/>
          <w:numId w:val="8"/>
        </w:numPr>
        <w:ind w:left="567" w:hanging="567"/>
        <w:rPr>
          <w:rFonts w:ascii="Arial" w:hAnsi="Arial" w:cs="Arial"/>
        </w:rPr>
      </w:pPr>
      <w:r>
        <w:rPr>
          <w:rFonts w:ascii="Arial" w:hAnsi="Arial" w:cs="Arial"/>
          <w:sz w:val="20"/>
        </w:rPr>
        <w:t>Smluvní strany dále prohlašují, že účelem této smlouvy není reklama Výrobků, ani poskytnutí daru či sponzorského příspěvku Zdravotnickému zařízení ani pobídka či návod na neoprávněné čerpání prostředků z veřejného zdravotního pojištění, nýbrž pouze poskytnutí Bonusu, který zohledňuje ekonomickou úsporu na straně Společnosti danou množstvím Výrobků Zdravotnickým zařízením odebraných. Zdravotnické zařízení zůstává plně odpovědné za své evidenční a daňové povinnosti vůči veřejným orgánům.</w:t>
      </w:r>
    </w:p>
    <w:p w14:paraId="5F849259" w14:textId="77777777" w:rsidR="00A94169" w:rsidRDefault="000C3E16">
      <w:pPr>
        <w:pStyle w:val="Zkladntext2"/>
        <w:numPr>
          <w:ilvl w:val="0"/>
          <w:numId w:val="8"/>
        </w:numPr>
        <w:ind w:left="567" w:hanging="567"/>
        <w:rPr>
          <w:rFonts w:ascii="Arial" w:hAnsi="Arial" w:cs="Arial"/>
        </w:rPr>
      </w:pPr>
      <w:r>
        <w:rPr>
          <w:rFonts w:ascii="Arial" w:hAnsi="Arial" w:cs="Arial"/>
          <w:sz w:val="20"/>
        </w:rPr>
        <w:t>Smluvní strany dále prohlašují, že jim nejsou známé žádné skutečnosti, které by bránily poskytnutí Bonusu podle této smlouvy. Případné závazky Zdravotnického zařízení vůči zdravotním pojišťovnám a jejich vypořádání jsou výhradní záležitostí Zdravotnického zařízení.</w:t>
      </w:r>
    </w:p>
    <w:p w14:paraId="7BEF5538" w14:textId="77777777" w:rsidR="00A94169" w:rsidRDefault="000C3E16">
      <w:pPr>
        <w:pStyle w:val="Zkladntext2"/>
        <w:numPr>
          <w:ilvl w:val="0"/>
          <w:numId w:val="8"/>
        </w:numPr>
        <w:ind w:left="567" w:hanging="567"/>
        <w:rPr>
          <w:rFonts w:ascii="Arial" w:hAnsi="Arial" w:cs="Arial"/>
        </w:rPr>
      </w:pPr>
      <w:r>
        <w:rPr>
          <w:rFonts w:ascii="Arial" w:hAnsi="Arial" w:cs="Arial"/>
          <w:sz w:val="20"/>
        </w:rPr>
        <w:t xml:space="preserve">Obě smluvní strany se zavazují, že pokud by se objevilo důvodné podezření, že poskytování Bonusů zde popsaných, může vyvolat nebo vyvolává účinky omezení účinné hospodářské soutěže, budou podmínky Bonusů stranami neodkladně revidovány. Pokud některá ze smluvních </w:t>
      </w:r>
      <w:r>
        <w:rPr>
          <w:rFonts w:ascii="Arial" w:hAnsi="Arial" w:cs="Arial"/>
          <w:sz w:val="20"/>
        </w:rPr>
        <w:lastRenderedPageBreak/>
        <w:t>stran odmítne takovou revizi provést, je druhá smluvní strana oprávněna bez dalšího poskytování nebo přijímání Bonusů odmítnout a od této smlouvy písemně odstoupit. Smluvní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smluvní strana oprávněna poskytování nebo přijímání Bonusů odmítnout, a tuto smlouvu vypovědět bez výpovědní doby.</w:t>
      </w:r>
    </w:p>
    <w:p w14:paraId="27A52CF9" w14:textId="77777777" w:rsidR="00A94169" w:rsidRDefault="000C3E16">
      <w:pPr>
        <w:pStyle w:val="Zkladntext2"/>
        <w:numPr>
          <w:ilvl w:val="0"/>
          <w:numId w:val="8"/>
        </w:numPr>
        <w:ind w:left="567" w:hanging="567"/>
        <w:rPr>
          <w:rFonts w:ascii="Arial" w:hAnsi="Arial" w:cs="Arial"/>
        </w:rPr>
      </w:pPr>
      <w:r>
        <w:rPr>
          <w:rFonts w:ascii="Arial" w:hAnsi="Arial" w:cs="Arial"/>
          <w:sz w:val="20"/>
        </w:rPr>
        <w:t xml:space="preserve">Zdravotnické zařízení se zavazuje, že Bonus případně v budoucnu přijatý na základě a za podmínek stanovených v této Smlouvě: </w:t>
      </w:r>
    </w:p>
    <w:p w14:paraId="06BB0807" w14:textId="77777777" w:rsidR="00A94169" w:rsidRDefault="000C3E16">
      <w:pPr>
        <w:pStyle w:val="Zkladntext2"/>
        <w:numPr>
          <w:ilvl w:val="1"/>
          <w:numId w:val="7"/>
        </w:numPr>
        <w:tabs>
          <w:tab w:val="left" w:pos="1134"/>
        </w:tabs>
        <w:ind w:left="1134" w:hanging="567"/>
        <w:rPr>
          <w:rFonts w:ascii="Arial" w:hAnsi="Arial" w:cs="Arial"/>
          <w:sz w:val="20"/>
        </w:rPr>
      </w:pPr>
      <w:r>
        <w:rPr>
          <w:rFonts w:ascii="Arial" w:hAnsi="Arial" w:cs="Arial"/>
          <w:sz w:val="20"/>
        </w:rPr>
        <w:t xml:space="preserve">nebude v žádné formě použit k ovlivnění rozhodnutí osoby oprávněné předepisovat a/nebo vydávat léčivé přípravky o tom, který léčivý přípravek předepsat, použít nebo vydat pacientovi v konkrétním případě ani obecně, </w:t>
      </w:r>
    </w:p>
    <w:p w14:paraId="502FB787" w14:textId="77777777" w:rsidR="00A94169" w:rsidRDefault="000C3E16">
      <w:pPr>
        <w:pStyle w:val="Zkladntext2"/>
        <w:numPr>
          <w:ilvl w:val="1"/>
          <w:numId w:val="7"/>
        </w:numPr>
        <w:tabs>
          <w:tab w:val="left" w:pos="1134"/>
        </w:tabs>
        <w:ind w:left="1134" w:hanging="567"/>
        <w:rPr>
          <w:rFonts w:ascii="Arial" w:hAnsi="Arial" w:cs="Arial"/>
          <w:sz w:val="20"/>
        </w:rPr>
      </w:pPr>
      <w:r>
        <w:rPr>
          <w:rFonts w:ascii="Arial" w:hAnsi="Arial" w:cs="Arial"/>
          <w:sz w:val="20"/>
        </w:rPr>
        <w:t xml:space="preserve">nebude v žádné formě v konečném důsledku (například jako kapitálový příjem) představovat prospěch osoby oprávněné předepisovat a/nebo vydávat léčivé přípravky </w:t>
      </w:r>
      <w:bookmarkStart w:id="0" w:name="_Hlk501223906"/>
      <w:r>
        <w:rPr>
          <w:rFonts w:ascii="Arial" w:hAnsi="Arial" w:cs="Arial"/>
          <w:sz w:val="20"/>
        </w:rPr>
        <w:t>nebo osoby oprávněné jednat za Zdravotnické zařízení či rozhodovat o nákupu léčivých přípravků,</w:t>
      </w:r>
      <w:bookmarkEnd w:id="0"/>
    </w:p>
    <w:p w14:paraId="51A09EB8" w14:textId="77777777" w:rsidR="00A94169" w:rsidRDefault="000C3E16">
      <w:pPr>
        <w:pStyle w:val="Zkladntext2"/>
        <w:numPr>
          <w:ilvl w:val="1"/>
          <w:numId w:val="7"/>
        </w:numPr>
        <w:tabs>
          <w:tab w:val="left" w:pos="1134"/>
        </w:tabs>
        <w:ind w:left="1134" w:hanging="567"/>
        <w:rPr>
          <w:rFonts w:ascii="Arial" w:hAnsi="Arial" w:cs="Arial"/>
          <w:sz w:val="20"/>
        </w:rPr>
      </w:pPr>
      <w:r>
        <w:rPr>
          <w:rFonts w:ascii="Arial" w:hAnsi="Arial" w:cs="Arial"/>
          <w:sz w:val="20"/>
        </w:rPr>
        <w:t xml:space="preserve">a použije na poskytování zdravotních služeb o pacienty nebo provoz Zdravotnického zařízení. </w:t>
      </w:r>
      <w:bookmarkStart w:id="1" w:name="_Hlk501228492"/>
      <w:bookmarkStart w:id="2" w:name="_Hlk501229874"/>
      <w:bookmarkEnd w:id="1"/>
      <w:bookmarkEnd w:id="2"/>
    </w:p>
    <w:p w14:paraId="19F5C92B" w14:textId="77777777" w:rsidR="00A94169" w:rsidRDefault="00A94169">
      <w:pPr>
        <w:pStyle w:val="Zkladntext2"/>
        <w:jc w:val="center"/>
        <w:rPr>
          <w:rFonts w:ascii="Arial" w:hAnsi="Arial" w:cs="Arial"/>
          <w:b/>
          <w:sz w:val="20"/>
        </w:rPr>
      </w:pPr>
    </w:p>
    <w:p w14:paraId="053345AD" w14:textId="77777777" w:rsidR="00A94169" w:rsidRDefault="000C3E16">
      <w:pPr>
        <w:pStyle w:val="Zkladntext2"/>
        <w:jc w:val="center"/>
        <w:rPr>
          <w:rFonts w:ascii="Arial" w:hAnsi="Arial" w:cs="Arial"/>
          <w:b/>
          <w:sz w:val="20"/>
        </w:rPr>
      </w:pPr>
      <w:r>
        <w:rPr>
          <w:rFonts w:ascii="Arial" w:hAnsi="Arial" w:cs="Arial"/>
          <w:b/>
          <w:sz w:val="20"/>
        </w:rPr>
        <w:t>V.</w:t>
      </w:r>
    </w:p>
    <w:p w14:paraId="1B04A32A" w14:textId="77777777" w:rsidR="00A94169" w:rsidRDefault="000C3E16">
      <w:pPr>
        <w:pStyle w:val="Zkladntext2"/>
        <w:jc w:val="center"/>
        <w:rPr>
          <w:rFonts w:ascii="Arial" w:hAnsi="Arial" w:cs="Arial"/>
          <w:b/>
          <w:sz w:val="20"/>
        </w:rPr>
      </w:pPr>
      <w:r>
        <w:rPr>
          <w:rFonts w:ascii="Arial" w:hAnsi="Arial" w:cs="Arial"/>
          <w:b/>
          <w:sz w:val="20"/>
        </w:rPr>
        <w:t>Mlčenlivost</w:t>
      </w:r>
    </w:p>
    <w:p w14:paraId="1BF44745" w14:textId="77777777" w:rsidR="00A94169" w:rsidRDefault="00A94169">
      <w:pPr>
        <w:pStyle w:val="Zkladntext2"/>
        <w:jc w:val="center"/>
        <w:rPr>
          <w:rFonts w:ascii="Arial" w:hAnsi="Arial" w:cs="Arial"/>
          <w:b/>
          <w:sz w:val="20"/>
        </w:rPr>
      </w:pPr>
    </w:p>
    <w:p w14:paraId="055EE0B6" w14:textId="77777777" w:rsidR="00A94169" w:rsidRDefault="000C3E16">
      <w:pPr>
        <w:pStyle w:val="Zkladntext2"/>
        <w:numPr>
          <w:ilvl w:val="0"/>
          <w:numId w:val="6"/>
        </w:numPr>
        <w:tabs>
          <w:tab w:val="left" w:pos="567"/>
        </w:tabs>
        <w:ind w:left="567" w:hanging="567"/>
        <w:rPr>
          <w:rFonts w:ascii="Arial" w:hAnsi="Arial" w:cs="Arial"/>
          <w:sz w:val="20"/>
        </w:rPr>
      </w:pPr>
      <w:r>
        <w:rPr>
          <w:rFonts w:ascii="Arial" w:hAnsi="Arial" w:cs="Arial"/>
          <w:sz w:val="20"/>
        </w:rPr>
        <w:t>Smluvní strany se zavazují bez předchozího písemného souhlasu druhé smluvní strany nezveřejnit či jiným způsobem nezpřístupnit třetím osobám žádné informace o vzájemných obchodních vztazích, a to ani po skončení či zániku této smlouvy, s výjimkami uvedenými dále v tomto článku smlouvy.</w:t>
      </w:r>
    </w:p>
    <w:p w14:paraId="23DF53E7" w14:textId="77777777" w:rsidR="00A94169" w:rsidRDefault="000C3E16">
      <w:pPr>
        <w:pStyle w:val="Zkladntext2"/>
        <w:numPr>
          <w:ilvl w:val="0"/>
          <w:numId w:val="6"/>
        </w:numPr>
        <w:tabs>
          <w:tab w:val="left" w:pos="567"/>
        </w:tabs>
        <w:ind w:left="567" w:hanging="567"/>
        <w:rPr>
          <w:rFonts w:ascii="Arial" w:hAnsi="Arial" w:cs="Arial"/>
          <w:sz w:val="20"/>
        </w:rPr>
      </w:pPr>
      <w:r>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49A277B8" w14:textId="77777777" w:rsidR="00A94169" w:rsidRDefault="000C3E16">
      <w:pPr>
        <w:pStyle w:val="Zkladntext2"/>
        <w:numPr>
          <w:ilvl w:val="0"/>
          <w:numId w:val="6"/>
        </w:numPr>
        <w:tabs>
          <w:tab w:val="left" w:pos="567"/>
        </w:tabs>
        <w:ind w:left="567" w:hanging="567"/>
        <w:rPr>
          <w:rFonts w:ascii="Arial" w:hAnsi="Arial" w:cs="Arial"/>
          <w:sz w:val="20"/>
        </w:rPr>
      </w:pPr>
      <w:r>
        <w:rPr>
          <w:rFonts w:ascii="Arial" w:hAnsi="Arial" w:cs="Arial"/>
          <w:sz w:val="20"/>
        </w:rPr>
        <w:t>Povinnost mlčenlivosti se nevztahuje na informace, které:</w:t>
      </w:r>
    </w:p>
    <w:p w14:paraId="78D7AD86" w14:textId="77777777" w:rsidR="00A94169" w:rsidRDefault="000C3E16">
      <w:pPr>
        <w:pStyle w:val="Zkladntext2"/>
        <w:numPr>
          <w:ilvl w:val="1"/>
          <w:numId w:val="5"/>
        </w:numPr>
        <w:tabs>
          <w:tab w:val="left" w:pos="851"/>
        </w:tabs>
        <w:ind w:left="851" w:hanging="284"/>
        <w:rPr>
          <w:rFonts w:ascii="Arial" w:hAnsi="Arial" w:cs="Arial"/>
          <w:sz w:val="20"/>
        </w:rPr>
      </w:pPr>
      <w:r>
        <w:rPr>
          <w:rFonts w:ascii="Arial" w:hAnsi="Arial" w:cs="Arial"/>
          <w:sz w:val="20"/>
        </w:rPr>
        <w:t>jsou veřejně známé,</w:t>
      </w:r>
    </w:p>
    <w:p w14:paraId="0528EC2A" w14:textId="77777777" w:rsidR="00A94169" w:rsidRDefault="000C3E16">
      <w:pPr>
        <w:pStyle w:val="Zkladntext2"/>
        <w:numPr>
          <w:ilvl w:val="1"/>
          <w:numId w:val="5"/>
        </w:numPr>
        <w:tabs>
          <w:tab w:val="left" w:pos="851"/>
        </w:tabs>
        <w:ind w:left="851" w:hanging="284"/>
        <w:rPr>
          <w:rFonts w:ascii="Arial" w:hAnsi="Arial" w:cs="Arial"/>
          <w:sz w:val="20"/>
        </w:rPr>
      </w:pPr>
      <w:r>
        <w:rPr>
          <w:rFonts w:ascii="Arial" w:hAnsi="Arial" w:cs="Arial"/>
          <w:sz w:val="20"/>
        </w:rPr>
        <w:t>se stanou veřejně známými jinak než porušením ustanovení této smlouvy,</w:t>
      </w:r>
    </w:p>
    <w:p w14:paraId="0DF8ABC0" w14:textId="77777777" w:rsidR="00A94169" w:rsidRDefault="000C3E16">
      <w:pPr>
        <w:pStyle w:val="Zkladntext2"/>
        <w:numPr>
          <w:ilvl w:val="1"/>
          <w:numId w:val="5"/>
        </w:numPr>
        <w:tabs>
          <w:tab w:val="left" w:pos="851"/>
        </w:tabs>
        <w:ind w:left="851" w:hanging="284"/>
        <w:rPr>
          <w:rFonts w:ascii="Arial" w:hAnsi="Arial" w:cs="Arial"/>
          <w:sz w:val="20"/>
        </w:rPr>
      </w:pPr>
      <w:r>
        <w:rPr>
          <w:rFonts w:ascii="Arial" w:hAnsi="Arial" w:cs="Arial"/>
          <w:sz w:val="20"/>
        </w:rPr>
        <w:t>jsou oprávněně v dispozici druhé smluvní strany před jejich poskytnutím této smluvní straně,</w:t>
      </w:r>
    </w:p>
    <w:p w14:paraId="17E1A9D6" w14:textId="77777777" w:rsidR="00A94169" w:rsidRDefault="000C3E16">
      <w:pPr>
        <w:pStyle w:val="Zkladntext2"/>
        <w:numPr>
          <w:ilvl w:val="1"/>
          <w:numId w:val="5"/>
        </w:numPr>
        <w:tabs>
          <w:tab w:val="left" w:pos="851"/>
        </w:tabs>
        <w:ind w:left="851" w:hanging="284"/>
        <w:rPr>
          <w:rFonts w:ascii="Arial" w:hAnsi="Arial" w:cs="Arial"/>
          <w:b/>
          <w:sz w:val="20"/>
        </w:rPr>
      </w:pPr>
      <w:r>
        <w:rPr>
          <w:rFonts w:ascii="Arial" w:hAnsi="Arial" w:cs="Arial"/>
          <w:sz w:val="20"/>
        </w:rPr>
        <w:t>smluvní strana získá od třetí osoby, která není vázána povinností mlčenlivosti.</w:t>
      </w:r>
    </w:p>
    <w:p w14:paraId="473D3C5A" w14:textId="77777777" w:rsidR="00A94169" w:rsidRDefault="000C3E16">
      <w:pPr>
        <w:pStyle w:val="Zkladntext2"/>
        <w:numPr>
          <w:ilvl w:val="0"/>
          <w:numId w:val="6"/>
        </w:numPr>
        <w:tabs>
          <w:tab w:val="left" w:pos="567"/>
        </w:tabs>
        <w:ind w:left="567" w:hanging="567"/>
        <w:rPr>
          <w:rFonts w:ascii="Arial" w:hAnsi="Arial" w:cs="Arial"/>
          <w:sz w:val="20"/>
        </w:rPr>
      </w:pPr>
      <w:r>
        <w:rPr>
          <w:rFonts w:ascii="Arial" w:hAnsi="Arial" w:cs="Arial"/>
          <w:sz w:val="20"/>
        </w:rPr>
        <w:t>Smluvní strany jsou dále povinny poskytovat informace v rozsahu a způsobem, který vyžadují obecně závazné právní předpisy nebo na základě rozhodnutí soudů či správních orgánů.</w:t>
      </w:r>
    </w:p>
    <w:p w14:paraId="134118B9" w14:textId="77777777" w:rsidR="00A94169" w:rsidRDefault="000C3E16">
      <w:pPr>
        <w:pStyle w:val="Zkladntext2"/>
        <w:numPr>
          <w:ilvl w:val="0"/>
          <w:numId w:val="6"/>
        </w:numPr>
        <w:tabs>
          <w:tab w:val="left" w:pos="567"/>
        </w:tabs>
        <w:ind w:left="567" w:hanging="567"/>
        <w:rPr>
          <w:rFonts w:ascii="Arial" w:hAnsi="Arial" w:cs="Arial"/>
        </w:rPr>
      </w:pPr>
      <w:r>
        <w:rPr>
          <w:rFonts w:ascii="Arial" w:hAnsi="Arial" w:cs="Arial"/>
          <w:sz w:val="20"/>
        </w:rPr>
        <w:t xml:space="preserve">V souvislosti s aplikací zákona č. 340/2015 Sb., o registru smluv se smluvní strany dohodly, že: </w:t>
      </w:r>
    </w:p>
    <w:p w14:paraId="435E2462" w14:textId="77777777" w:rsidR="00A94169" w:rsidRDefault="000C3E16">
      <w:pPr>
        <w:pStyle w:val="Zkladntext2"/>
        <w:numPr>
          <w:ilvl w:val="0"/>
          <w:numId w:val="9"/>
        </w:numPr>
        <w:tabs>
          <w:tab w:val="left" w:pos="1134"/>
        </w:tabs>
        <w:ind w:left="1134" w:hanging="567"/>
        <w:rPr>
          <w:rFonts w:ascii="Arial" w:hAnsi="Arial" w:cs="Arial"/>
          <w:sz w:val="20"/>
        </w:rPr>
      </w:pPr>
      <w:r>
        <w:rPr>
          <w:rFonts w:ascii="Arial" w:hAnsi="Arial" w:cs="Arial"/>
          <w:sz w:val="20"/>
        </w:rPr>
        <w:t>pokládají veškeré informace obsažené v jednotlivých Přílohách této smlouvy za obchodní tajemství každé jednotlivé smluvní strany;</w:t>
      </w:r>
    </w:p>
    <w:p w14:paraId="0DA69FC4" w14:textId="14D2CF32" w:rsidR="00A94169" w:rsidRDefault="000C3E16">
      <w:pPr>
        <w:pStyle w:val="Zkladntext2"/>
        <w:numPr>
          <w:ilvl w:val="0"/>
          <w:numId w:val="9"/>
        </w:numPr>
        <w:tabs>
          <w:tab w:val="left" w:pos="1134"/>
        </w:tabs>
        <w:ind w:left="1134" w:hanging="567"/>
        <w:rPr>
          <w:rFonts w:ascii="Arial" w:hAnsi="Arial" w:cs="Arial"/>
          <w:sz w:val="20"/>
        </w:rPr>
      </w:pPr>
      <w:r>
        <w:rPr>
          <w:rFonts w:ascii="Arial" w:hAnsi="Arial" w:cs="Arial"/>
          <w:sz w:val="20"/>
        </w:rPr>
        <w:t xml:space="preserve">souhlasí, že v souladu s citovaným zákonem zašle správci registru smluv tuto smlouvu k uveřejnění Společnost včas, avšak až poté, co v elektronickém obrazu této smlouvy znečitelní obchodní tajemství a osobní údaje fyzických osob ve smlouvě uvedených, vč. uvedení identifikaci datové schránky Zdravotnického zařízení; </w:t>
      </w:r>
    </w:p>
    <w:p w14:paraId="4C4BE5B7" w14:textId="76637772" w:rsidR="00A94169" w:rsidRDefault="000C3E16">
      <w:pPr>
        <w:pStyle w:val="Zkladntext2"/>
        <w:numPr>
          <w:ilvl w:val="0"/>
          <w:numId w:val="9"/>
        </w:numPr>
        <w:tabs>
          <w:tab w:val="left" w:pos="1134"/>
        </w:tabs>
        <w:ind w:left="1134" w:hanging="567"/>
        <w:rPr>
          <w:rFonts w:ascii="Arial" w:hAnsi="Arial" w:cs="Arial"/>
          <w:sz w:val="20"/>
        </w:rPr>
      </w:pPr>
      <w:r>
        <w:rPr>
          <w:rFonts w:ascii="Arial" w:hAnsi="Arial" w:cs="Arial"/>
          <w:sz w:val="20"/>
        </w:rPr>
        <w:t>Pokud nebude uveřejněna smlouva podle předchozího písm. b), je oprávněna/o uveřejnit tuto smlouvou shora uvedeným způsobem Zdravotnické zařízení;</w:t>
      </w:r>
    </w:p>
    <w:p w14:paraId="16B86A36" w14:textId="77777777" w:rsidR="00A94169" w:rsidRDefault="000C3E16">
      <w:pPr>
        <w:pStyle w:val="Zkladntext2"/>
        <w:numPr>
          <w:ilvl w:val="0"/>
          <w:numId w:val="9"/>
        </w:numPr>
        <w:tabs>
          <w:tab w:val="left" w:pos="1134"/>
        </w:tabs>
        <w:ind w:left="1134" w:hanging="567"/>
        <w:rPr>
          <w:rFonts w:ascii="Arial" w:hAnsi="Arial" w:cs="Arial"/>
          <w:sz w:val="20"/>
        </w:rPr>
      </w:pPr>
      <w:r>
        <w:rPr>
          <w:rFonts w:ascii="Arial" w:hAnsi="Arial" w:cs="Arial"/>
          <w:sz w:val="20"/>
        </w:rPr>
        <w:t>Společnost souhlasí, že Zdravotnické zařízení je oprávněno zpřístupnit tuto smlouvu podle zákona č. 106/1999 Sb., o svobodném přístupu k informacím, ve znění pozdějších předpisů, vyjma obchodního tajemství;</w:t>
      </w:r>
    </w:p>
    <w:p w14:paraId="3BCF4D18" w14:textId="77777777" w:rsidR="00A94169" w:rsidRDefault="000C3E16">
      <w:pPr>
        <w:pStyle w:val="Zkladntext2"/>
        <w:tabs>
          <w:tab w:val="left" w:pos="1134"/>
        </w:tabs>
        <w:ind w:left="567"/>
        <w:rPr>
          <w:rFonts w:ascii="Arial" w:hAnsi="Arial" w:cs="Arial"/>
          <w:sz w:val="20"/>
        </w:rPr>
      </w:pPr>
      <w:r>
        <w:rPr>
          <w:rFonts w:ascii="Arial" w:hAnsi="Arial" w:cs="Arial"/>
          <w:sz w:val="20"/>
        </w:rPr>
        <w:t xml:space="preserve">V případě, že kterákoliv smluvní strana poruší jakoukoliv povinnost uloženou v tomto odstavci, je druhá smluvní strana oprávněna vypovědět tuto smlouvu bez výpovědní doby s tím, že účinky výpovědi nastávají dnem doručení výpovědi druhé smluvní straně. </w:t>
      </w:r>
    </w:p>
    <w:p w14:paraId="1ACD6365" w14:textId="77777777" w:rsidR="00A94169" w:rsidRDefault="000C3E16">
      <w:pPr>
        <w:pStyle w:val="Zkladntext2"/>
        <w:numPr>
          <w:ilvl w:val="0"/>
          <w:numId w:val="6"/>
        </w:numPr>
        <w:tabs>
          <w:tab w:val="left" w:pos="567"/>
        </w:tabs>
        <w:ind w:left="567" w:hanging="567"/>
        <w:rPr>
          <w:rFonts w:ascii="Arial" w:hAnsi="Arial" w:cs="Arial"/>
          <w:sz w:val="20"/>
        </w:rPr>
      </w:pPr>
      <w:r>
        <w:rPr>
          <w:rFonts w:ascii="Arial" w:hAnsi="Arial" w:cs="Arial"/>
          <w:sz w:val="20"/>
        </w:rPr>
        <w:t>Smluvní strany rovněž shodně prohlašují, že vzhledem k tomu, že způsob výpočtu Bonusu obsažený v příloze č. 2 je vzorem a výpočtem, resp. způsobem kalkulace, na které se dle § 3 odst. 2 písm. b) zákona o registru smluv nevztahuje povinnost uveřejnění, nebude příloha č. 2 v registru smluv uveřejněna v celém jejím rozsahu.</w:t>
      </w:r>
    </w:p>
    <w:p w14:paraId="546ACCB7" w14:textId="151D4C0B" w:rsidR="00A94169" w:rsidRDefault="00A94169" w:rsidP="0092626A">
      <w:pPr>
        <w:pStyle w:val="Zkladntext2"/>
        <w:tabs>
          <w:tab w:val="left" w:pos="1134"/>
        </w:tabs>
        <w:rPr>
          <w:rFonts w:ascii="Arial" w:hAnsi="Arial" w:cs="Arial"/>
          <w:sz w:val="20"/>
        </w:rPr>
      </w:pPr>
    </w:p>
    <w:p w14:paraId="1FFAF446" w14:textId="7979F6B2" w:rsidR="0092626A" w:rsidRDefault="0092626A" w:rsidP="0092626A">
      <w:pPr>
        <w:pStyle w:val="Zkladntext2"/>
        <w:tabs>
          <w:tab w:val="left" w:pos="1134"/>
        </w:tabs>
        <w:rPr>
          <w:rFonts w:ascii="Arial" w:hAnsi="Arial" w:cs="Arial"/>
          <w:sz w:val="20"/>
        </w:rPr>
      </w:pPr>
    </w:p>
    <w:p w14:paraId="203C7D12" w14:textId="77777777" w:rsidR="00A94169" w:rsidRDefault="00A94169">
      <w:pPr>
        <w:pStyle w:val="Zkladntext2"/>
        <w:jc w:val="center"/>
        <w:rPr>
          <w:rFonts w:ascii="Arial" w:hAnsi="Arial" w:cs="Arial"/>
          <w:b/>
          <w:sz w:val="20"/>
        </w:rPr>
      </w:pPr>
    </w:p>
    <w:p w14:paraId="4B96E74B" w14:textId="77777777" w:rsidR="00A94169" w:rsidRDefault="000C3E16">
      <w:pPr>
        <w:pStyle w:val="Zkladntext2"/>
        <w:jc w:val="center"/>
        <w:rPr>
          <w:rFonts w:ascii="Arial" w:hAnsi="Arial" w:cs="Arial"/>
          <w:b/>
          <w:sz w:val="20"/>
        </w:rPr>
      </w:pPr>
      <w:r>
        <w:rPr>
          <w:rFonts w:ascii="Arial" w:hAnsi="Arial" w:cs="Arial"/>
          <w:b/>
          <w:sz w:val="20"/>
        </w:rPr>
        <w:lastRenderedPageBreak/>
        <w:t>VI.</w:t>
      </w:r>
    </w:p>
    <w:p w14:paraId="7733F438" w14:textId="77777777" w:rsidR="00A94169" w:rsidRDefault="000C3E16">
      <w:pPr>
        <w:pStyle w:val="Zkladntext2"/>
        <w:jc w:val="center"/>
        <w:rPr>
          <w:rFonts w:ascii="Arial" w:hAnsi="Arial" w:cs="Arial"/>
          <w:b/>
          <w:sz w:val="20"/>
        </w:rPr>
      </w:pPr>
      <w:r>
        <w:rPr>
          <w:rFonts w:ascii="Arial" w:hAnsi="Arial" w:cs="Arial"/>
          <w:b/>
          <w:sz w:val="20"/>
        </w:rPr>
        <w:t>Závěrečná ustanovení</w:t>
      </w:r>
    </w:p>
    <w:p w14:paraId="1F2D0F97" w14:textId="77777777" w:rsidR="00A94169" w:rsidRDefault="00A94169">
      <w:pPr>
        <w:pStyle w:val="Zkladntext2"/>
        <w:jc w:val="center"/>
        <w:rPr>
          <w:rFonts w:ascii="Arial" w:hAnsi="Arial" w:cs="Arial"/>
          <w:b/>
          <w:sz w:val="20"/>
        </w:rPr>
      </w:pPr>
    </w:p>
    <w:p w14:paraId="1EBBE874"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Ve všech ostatních otázkách neupravených touto smlouvou, se právní vztah založený touto smlouvou řídí ustanoveními občanského zákoníku.</w:t>
      </w:r>
    </w:p>
    <w:p w14:paraId="29D16064"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606BA349"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Smlouva se uzavírá na dobu neurčitou. Každá ze smluvních stran je oprávněna tuto smlouvu vypovědět písemnou výpovědí i bez uvedení důvodu doručenou druhé smluvní straně. Výpovědní lhůta činí 15 dní a počíná běžet dnem následujícím po doručení výpovědi druhé smluvní straně.</w:t>
      </w:r>
    </w:p>
    <w:p w14:paraId="1C6401E3"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Změny a doplňky této smlouvy mohou být činěny pouze formou číslovaných písemných dodatků, podepsaných smluvními stranami.</w:t>
      </w:r>
    </w:p>
    <w:p w14:paraId="43A91730"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w:t>
      </w:r>
    </w:p>
    <w:p w14:paraId="48EB6F58"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Strany se dohodly, že podstatná změna okolností, za nichž byla tato smlouva uzavřená, nezakládá právo žádné ze stran domáhat se obnovení jednání o smlouvě ve smyslu §1765 občanského zákoníku, nestanoví-li tato smlouva jinak.</w:t>
      </w:r>
    </w:p>
    <w:p w14:paraId="0B1B53D2"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ve smlouvě výslovně sjednáno jinak. Pokud se za trvání této smlouvy kterákoliv smluvní strana vzdá svého práva z ní vyplývajícího nebo jej nevykoná, bude takové vzdání se nebo jeho nevykonání aplikováno pouze na ten konkrétní případ, pro který bylo učiněno a nebude nahlíženo jako vzdání se téhož práva v budoucnu.</w:t>
      </w:r>
    </w:p>
    <w:p w14:paraId="326B5264"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Smlouva je vyhotovena ve dvou stejnopisech, přičemž každá ze smluvních stran obdrží po jednom.</w:t>
      </w:r>
    </w:p>
    <w:p w14:paraId="150F2B50" w14:textId="32F09935" w:rsidR="00A94169" w:rsidRDefault="000C3E16" w:rsidP="0092626A">
      <w:pPr>
        <w:pStyle w:val="Zkladntextodsazen"/>
        <w:numPr>
          <w:ilvl w:val="0"/>
          <w:numId w:val="3"/>
        </w:numPr>
        <w:tabs>
          <w:tab w:val="left" w:pos="567"/>
        </w:tabs>
        <w:spacing w:after="0"/>
        <w:ind w:left="567" w:hanging="567"/>
        <w:jc w:val="both"/>
        <w:rPr>
          <w:rFonts w:ascii="Arial" w:hAnsi="Arial" w:cs="Arial"/>
        </w:rPr>
      </w:pPr>
      <w:r>
        <w:rPr>
          <w:rFonts w:ascii="Arial" w:hAnsi="Arial" w:cs="Arial"/>
        </w:rPr>
        <w:t>Tato smlouva nabývá platnosti dnem podpisu poslední smluvní stranou a účinnosti nabývá pozdějším dnem z dnů uveřejnění v Registru smluv a 1. 1. 2019, přičemž smluvní strany se výslovně dohodly, že v případě uveřejnění smlouvy po 1. 1. 2019, se ujednání této smlouvy použijí i na právní poměry mezi smluvními stranami dle této smlouvy od 1. 1. 2019 do okamžiku nabytí účinnosti této smlouvy dle registru smluv.</w:t>
      </w:r>
    </w:p>
    <w:p w14:paraId="01FD686B"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719B87DE"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Tato smlouva i její výklad se řídí českým právním řádem.</w:t>
      </w:r>
    </w:p>
    <w:p w14:paraId="76B835ED" w14:textId="77777777" w:rsidR="00A94169" w:rsidRDefault="000C3E16">
      <w:pPr>
        <w:pStyle w:val="Zkladntext2"/>
        <w:numPr>
          <w:ilvl w:val="0"/>
          <w:numId w:val="3"/>
        </w:numPr>
        <w:tabs>
          <w:tab w:val="left" w:pos="567"/>
        </w:tabs>
        <w:ind w:left="567" w:hanging="567"/>
        <w:rPr>
          <w:rFonts w:ascii="Arial" w:hAnsi="Arial" w:cs="Arial"/>
          <w:sz w:val="20"/>
        </w:rPr>
      </w:pPr>
      <w:r>
        <w:rPr>
          <w:rFonts w:ascii="Arial" w:hAnsi="Arial" w:cs="Arial"/>
          <w:sz w:val="20"/>
        </w:rPr>
        <w:t>Žádná smluvní strana není oprávněna práva a závazky z této smlouvy převádět na třetí osoby bez předchozího písemného souhlasu druhé smluvní strany.</w:t>
      </w:r>
    </w:p>
    <w:p w14:paraId="13F9B39F" w14:textId="77777777" w:rsidR="00A94169" w:rsidRDefault="00A94169">
      <w:pPr>
        <w:jc w:val="both"/>
        <w:rPr>
          <w:rFonts w:ascii="Arial" w:hAnsi="Arial" w:cs="Arial"/>
        </w:rPr>
      </w:pPr>
    </w:p>
    <w:p w14:paraId="5CCBE27F" w14:textId="77777777" w:rsidR="00A94169" w:rsidRDefault="00A94169">
      <w:pPr>
        <w:jc w:val="both"/>
        <w:rPr>
          <w:rFonts w:ascii="Arial" w:hAnsi="Arial" w:cs="Arial"/>
        </w:rPr>
      </w:pPr>
    </w:p>
    <w:p w14:paraId="14BD0678" w14:textId="77777777" w:rsidR="00A94169" w:rsidRDefault="00A94169">
      <w:pPr>
        <w:jc w:val="both"/>
        <w:rPr>
          <w:rFonts w:ascii="Arial" w:hAnsi="Arial" w:cs="Arial"/>
        </w:rPr>
      </w:pPr>
    </w:p>
    <w:p w14:paraId="32ADE563" w14:textId="368C5B2F" w:rsidR="00A94169" w:rsidRDefault="00A94169">
      <w:pPr>
        <w:pStyle w:val="Zkladntext2"/>
        <w:rPr>
          <w:rFonts w:ascii="Arial" w:hAnsi="Arial" w:cs="Arial"/>
          <w:b/>
          <w:sz w:val="20"/>
        </w:rPr>
      </w:pPr>
    </w:p>
    <w:p w14:paraId="5445DEDB" w14:textId="0B158231" w:rsidR="00A94169" w:rsidRDefault="000C3E16">
      <w:pPr>
        <w:pStyle w:val="Zkladntext2"/>
        <w:rPr>
          <w:rFonts w:ascii="Arial" w:hAnsi="Arial" w:cs="Arial"/>
          <w:b/>
          <w:sz w:val="20"/>
        </w:rPr>
      </w:pPr>
      <w:r>
        <w:rPr>
          <w:rFonts w:ascii="Arial" w:hAnsi="Arial" w:cs="Arial"/>
          <w:b/>
          <w:sz w:val="20"/>
        </w:rPr>
        <w:t>V Praze dne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V Mladé Boleslavi  dne ………...............</w:t>
      </w:r>
    </w:p>
    <w:p w14:paraId="178353DF" w14:textId="77777777" w:rsidR="00A94169" w:rsidRDefault="00A94169">
      <w:pPr>
        <w:pStyle w:val="Zkladntext2"/>
        <w:rPr>
          <w:rFonts w:ascii="Arial" w:hAnsi="Arial" w:cs="Arial"/>
          <w:sz w:val="20"/>
        </w:rPr>
      </w:pPr>
    </w:p>
    <w:p w14:paraId="24356376" w14:textId="77777777" w:rsidR="00A94169" w:rsidRDefault="00A94169">
      <w:pPr>
        <w:pStyle w:val="Zkladntext2"/>
        <w:rPr>
          <w:rFonts w:ascii="Arial" w:hAnsi="Arial" w:cs="Arial"/>
          <w:sz w:val="20"/>
        </w:rPr>
      </w:pPr>
    </w:p>
    <w:p w14:paraId="2F356A5A" w14:textId="77777777" w:rsidR="00A94169" w:rsidRDefault="00A94169">
      <w:pPr>
        <w:pStyle w:val="Zkladntext2"/>
        <w:rPr>
          <w:rFonts w:ascii="Arial" w:hAnsi="Arial" w:cs="Arial"/>
          <w:sz w:val="20"/>
        </w:rPr>
      </w:pPr>
    </w:p>
    <w:p w14:paraId="2F3DD949" w14:textId="77777777" w:rsidR="00A94169" w:rsidRDefault="00A94169">
      <w:pPr>
        <w:pStyle w:val="Zkladntext2"/>
        <w:rPr>
          <w:rFonts w:ascii="Arial" w:hAnsi="Arial" w:cs="Arial"/>
          <w:sz w:val="20"/>
        </w:rPr>
      </w:pPr>
    </w:p>
    <w:p w14:paraId="72C59025" w14:textId="77777777" w:rsidR="00A94169" w:rsidRDefault="000C3E16">
      <w:pPr>
        <w:pStyle w:val="Zkladntext2"/>
        <w:rPr>
          <w:rFonts w:ascii="Arial" w:hAnsi="Arial" w:cs="Arial"/>
          <w:sz w:val="20"/>
        </w:rPr>
      </w:pPr>
      <w:r>
        <w:rPr>
          <w:rFonts w:ascii="Arial" w:hAnsi="Arial" w:cs="Arial"/>
          <w:sz w:val="20"/>
        </w:rPr>
        <w:t>____________________________</w:t>
      </w:r>
      <w:r>
        <w:rPr>
          <w:rFonts w:ascii="Arial" w:hAnsi="Arial" w:cs="Arial"/>
          <w:sz w:val="20"/>
        </w:rPr>
        <w:tab/>
      </w:r>
      <w:r>
        <w:rPr>
          <w:rFonts w:ascii="Arial" w:hAnsi="Arial" w:cs="Arial"/>
          <w:sz w:val="20"/>
        </w:rPr>
        <w:tab/>
      </w:r>
      <w:r>
        <w:rPr>
          <w:rFonts w:ascii="Arial" w:hAnsi="Arial" w:cs="Arial"/>
          <w:sz w:val="20"/>
        </w:rPr>
        <w:tab/>
        <w:t>______________________________</w:t>
      </w:r>
    </w:p>
    <w:p w14:paraId="2037D859" w14:textId="53303EE8" w:rsidR="00A94169" w:rsidRDefault="000C3E16" w:rsidP="0092626A">
      <w:pPr>
        <w:pStyle w:val="Zkladntext2"/>
        <w:rPr>
          <w:rFonts w:ascii="Arial" w:hAnsi="Arial" w:cs="Arial"/>
          <w:sz w:val="20"/>
        </w:rPr>
      </w:pPr>
      <w:proofErr w:type="spellStart"/>
      <w:r>
        <w:rPr>
          <w:rFonts w:ascii="Arial" w:hAnsi="Arial" w:cs="Arial"/>
          <w:sz w:val="20"/>
        </w:rPr>
        <w:t>Exeltis</w:t>
      </w:r>
      <w:proofErr w:type="spellEnd"/>
      <w:r>
        <w:rPr>
          <w:rFonts w:ascii="Arial" w:hAnsi="Arial" w:cs="Arial"/>
          <w:sz w:val="20"/>
        </w:rPr>
        <w:t xml:space="preserve"> Czech s.r.o.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Zdravotnické zařízení</w:t>
      </w:r>
    </w:p>
    <w:p w14:paraId="1973A062" w14:textId="3794EC4D" w:rsidR="00A94169" w:rsidRDefault="000C3E16" w:rsidP="0092626A">
      <w:pPr>
        <w:pStyle w:val="Zkladntext2"/>
        <w:rPr>
          <w:rFonts w:ascii="Arial" w:hAnsi="Arial" w:cs="Arial"/>
          <w:sz w:val="20"/>
        </w:rPr>
      </w:pPr>
      <w:r>
        <w:rPr>
          <w:rFonts w:ascii="Arial" w:hAnsi="Arial" w:cs="Arial"/>
          <w:sz w:val="20"/>
        </w:rPr>
        <w:t xml:space="preserve">MVDr. Jana </w:t>
      </w:r>
      <w:proofErr w:type="spellStart"/>
      <w:r>
        <w:rPr>
          <w:rFonts w:ascii="Arial" w:hAnsi="Arial" w:cs="Arial"/>
          <w:sz w:val="20"/>
        </w:rPr>
        <w:t>Mittmann</w:t>
      </w:r>
      <w:proofErr w:type="spellEnd"/>
      <w:r>
        <w:rPr>
          <w:rFonts w:ascii="Arial" w:hAnsi="Arial" w:cs="Arial"/>
          <w:sz w:val="20"/>
        </w:rPr>
        <w:t xml:space="preserve">, MBA,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Style w:val="Siln"/>
          <w:rFonts w:ascii="Tahoma" w:hAnsi="Tahoma" w:cs="Tahoma"/>
          <w:b w:val="0"/>
          <w:sz w:val="20"/>
        </w:rPr>
        <w:t>JUDr. Ladislav Řípa</w:t>
      </w:r>
    </w:p>
    <w:p w14:paraId="03DC7F1C" w14:textId="673A04B0" w:rsidR="00A94169" w:rsidRDefault="000C3E16" w:rsidP="0092626A">
      <w:pPr>
        <w:pStyle w:val="Zkladntext2"/>
        <w:rPr>
          <w:rFonts w:ascii="Arial" w:hAnsi="Arial" w:cs="Arial"/>
          <w:sz w:val="20"/>
        </w:rPr>
      </w:pPr>
      <w:r>
        <w:rPr>
          <w:rFonts w:ascii="Arial" w:hAnsi="Arial" w:cs="Arial"/>
          <w:sz w:val="20"/>
        </w:rPr>
        <w:t xml:space="preserve">na základě plné moci                                                       </w:t>
      </w:r>
      <w:r>
        <w:rPr>
          <w:rStyle w:val="Siln"/>
          <w:rFonts w:ascii="Tahoma" w:hAnsi="Tahoma" w:cs="Tahoma"/>
          <w:b w:val="0"/>
          <w:sz w:val="20"/>
        </w:rPr>
        <w:t>předseda představenstva</w:t>
      </w:r>
    </w:p>
    <w:p w14:paraId="3D050ECB" w14:textId="77777777" w:rsidR="00A94169" w:rsidRDefault="000C3E16">
      <w:pPr>
        <w:pStyle w:val="Zkladntext2"/>
        <w:ind w:firstLine="708"/>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6154F60" w14:textId="77777777" w:rsidR="00A94169" w:rsidRDefault="00A94169">
      <w:pPr>
        <w:pStyle w:val="Zkladntext2"/>
        <w:rPr>
          <w:rFonts w:ascii="Arial" w:hAnsi="Arial" w:cs="Arial"/>
          <w:sz w:val="20"/>
        </w:rPr>
      </w:pPr>
    </w:p>
    <w:p w14:paraId="7A92D03E" w14:textId="1D055AC0" w:rsidR="00A94169" w:rsidRDefault="00A94169">
      <w:pPr>
        <w:pStyle w:val="Zkladntext2"/>
        <w:rPr>
          <w:rFonts w:ascii="Arial" w:hAnsi="Arial" w:cs="Arial"/>
          <w:b/>
          <w:sz w:val="20"/>
        </w:rPr>
      </w:pPr>
    </w:p>
    <w:p w14:paraId="71773783" w14:textId="77777777" w:rsidR="000C3E16" w:rsidRDefault="000C3E16">
      <w:pPr>
        <w:pStyle w:val="Zkladntext2"/>
        <w:rPr>
          <w:rFonts w:ascii="Arial" w:hAnsi="Arial" w:cs="Arial"/>
          <w:b/>
          <w:sz w:val="20"/>
        </w:rPr>
      </w:pPr>
    </w:p>
    <w:p w14:paraId="6D4BC777" w14:textId="55DBC9B7" w:rsidR="00A94169" w:rsidRDefault="000C3E16">
      <w:pPr>
        <w:pStyle w:val="Zkladntext2"/>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sz w:val="20"/>
        </w:rPr>
        <w:t>______________________________</w:t>
      </w:r>
    </w:p>
    <w:p w14:paraId="0F3024A2" w14:textId="0CE78039" w:rsidR="00A94169" w:rsidRDefault="000C3E16">
      <w:pPr>
        <w:pStyle w:val="Zkladntext2"/>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sz w:val="20"/>
        </w:rPr>
        <w:t>za Zdravotnické zařízení</w:t>
      </w:r>
    </w:p>
    <w:p w14:paraId="282EBCE9" w14:textId="7830AEB1" w:rsidR="000C3E16" w:rsidRDefault="000C3E16">
      <w:pPr>
        <w:pStyle w:val="Zkladntext2"/>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Mgr. Daniel Marek</w:t>
      </w:r>
    </w:p>
    <w:p w14:paraId="7EAAB4EF" w14:textId="28BF1E9F" w:rsidR="000C3E16" w:rsidRDefault="000C3E16">
      <w:pPr>
        <w:pStyle w:val="Zkladntext2"/>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místopředseda představenstva</w:t>
      </w:r>
    </w:p>
    <w:sectPr w:rsidR="000C3E16">
      <w:pgSz w:w="11906" w:h="16838"/>
      <w:pgMar w:top="1418" w:right="1418" w:bottom="1418" w:left="1418" w:header="0" w:footer="0" w:gutter="0"/>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485"/>
    <w:multiLevelType w:val="multilevel"/>
    <w:tmpl w:val="1F322842"/>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241225"/>
    <w:multiLevelType w:val="multilevel"/>
    <w:tmpl w:val="85D24C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D271519"/>
    <w:multiLevelType w:val="multilevel"/>
    <w:tmpl w:val="3816EEA6"/>
    <w:lvl w:ilvl="0">
      <w:start w:val="1"/>
      <w:numFmt w:val="decimal"/>
      <w:lvlText w:val="%1."/>
      <w:lvlJc w:val="left"/>
      <w:pPr>
        <w:tabs>
          <w:tab w:val="num" w:pos="1068"/>
        </w:tabs>
        <w:ind w:left="1068" w:hanging="360"/>
      </w:pPr>
      <w:rPr>
        <w:sz w:val="20"/>
        <w:szCs w:val="2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205C21B0"/>
    <w:multiLevelType w:val="multilevel"/>
    <w:tmpl w:val="3C3AF0D0"/>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86A1D1D"/>
    <w:multiLevelType w:val="multilevel"/>
    <w:tmpl w:val="232CCB5E"/>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5F4536"/>
    <w:multiLevelType w:val="multilevel"/>
    <w:tmpl w:val="EFF42B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3CE1B36"/>
    <w:multiLevelType w:val="multilevel"/>
    <w:tmpl w:val="5B622292"/>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9146F88"/>
    <w:multiLevelType w:val="multilevel"/>
    <w:tmpl w:val="F90A7776"/>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6C237D8"/>
    <w:multiLevelType w:val="multilevel"/>
    <w:tmpl w:val="3CBA0358"/>
    <w:lvl w:ilvl="0">
      <w:start w:val="1"/>
      <w:numFmt w:val="decimal"/>
      <w:lvlText w:val="%1"/>
      <w:lvlJc w:val="left"/>
      <w:pPr>
        <w:tabs>
          <w:tab w:val="num" w:pos="0"/>
        </w:tabs>
        <w:ind w:left="1770" w:hanging="360"/>
      </w:pPr>
      <w:rPr>
        <w:rFonts w:ascii="Arial" w:hAnsi="Arial" w:cs="Arial"/>
        <w:sz w:val="20"/>
        <w:szCs w:val="20"/>
      </w:r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9" w15:restartNumberingAfterBreak="0">
    <w:nsid w:val="7A8F02B7"/>
    <w:multiLevelType w:val="multilevel"/>
    <w:tmpl w:val="B61861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1379213">
    <w:abstractNumId w:val="6"/>
  </w:num>
  <w:num w:numId="2" w16cid:durableId="738137993">
    <w:abstractNumId w:val="7"/>
  </w:num>
  <w:num w:numId="3" w16cid:durableId="4485184">
    <w:abstractNumId w:val="0"/>
  </w:num>
  <w:num w:numId="4" w16cid:durableId="584192308">
    <w:abstractNumId w:val="4"/>
  </w:num>
  <w:num w:numId="5" w16cid:durableId="516892835">
    <w:abstractNumId w:val="9"/>
  </w:num>
  <w:num w:numId="6" w16cid:durableId="1848013954">
    <w:abstractNumId w:val="2"/>
  </w:num>
  <w:num w:numId="7" w16cid:durableId="399866850">
    <w:abstractNumId w:val="3"/>
  </w:num>
  <w:num w:numId="8" w16cid:durableId="858618921">
    <w:abstractNumId w:val="8"/>
  </w:num>
  <w:num w:numId="9" w16cid:durableId="189996090">
    <w:abstractNumId w:val="5"/>
  </w:num>
  <w:num w:numId="10" w16cid:durableId="133773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69"/>
    <w:rsid w:val="000C3E16"/>
    <w:rsid w:val="0092626A"/>
    <w:rsid w:val="00A9416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AB5C"/>
  <w15:docId w15:val="{D92229FD-5FE2-4E34-8F6D-EE2DCFF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F7DA4"/>
  </w:style>
  <w:style w:type="paragraph" w:styleId="Nadpis1">
    <w:name w:val="heading 1"/>
    <w:basedOn w:val="Normln"/>
    <w:next w:val="Normln"/>
    <w:qFormat/>
    <w:rsid w:val="00BF7DA4"/>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sid w:val="0071230A"/>
    <w:rPr>
      <w:sz w:val="16"/>
      <w:szCs w:val="16"/>
    </w:rPr>
  </w:style>
  <w:style w:type="character" w:customStyle="1" w:styleId="TextkomenteChar">
    <w:name w:val="Text komentáře Char"/>
    <w:basedOn w:val="Standardnpsmoodstavce"/>
    <w:link w:val="Textkomente"/>
    <w:qFormat/>
    <w:rsid w:val="0071230A"/>
  </w:style>
  <w:style w:type="character" w:customStyle="1" w:styleId="PedmtkomenteChar">
    <w:name w:val="Předmět komentáře Char"/>
    <w:link w:val="Pedmtkomente"/>
    <w:qFormat/>
    <w:rsid w:val="0071230A"/>
    <w:rPr>
      <w:b/>
      <w:bCs/>
    </w:rPr>
  </w:style>
  <w:style w:type="character" w:customStyle="1" w:styleId="TextbublinyChar">
    <w:name w:val="Text bubliny Char"/>
    <w:link w:val="Textbubliny"/>
    <w:qFormat/>
    <w:rsid w:val="0071230A"/>
    <w:rPr>
      <w:rFonts w:ascii="Tahoma" w:hAnsi="Tahoma" w:cs="Tahoma"/>
      <w:sz w:val="16"/>
      <w:szCs w:val="16"/>
    </w:rPr>
  </w:style>
  <w:style w:type="character" w:customStyle="1" w:styleId="ZkladntextodsazenChar">
    <w:name w:val="Základní text odsazený Char"/>
    <w:basedOn w:val="Standardnpsmoodstavce"/>
    <w:link w:val="Zkladntextodsazen"/>
    <w:qFormat/>
    <w:rsid w:val="00E2762C"/>
  </w:style>
  <w:style w:type="character" w:customStyle="1" w:styleId="Zkladntext2Char">
    <w:name w:val="Základní text 2 Char"/>
    <w:basedOn w:val="Standardnpsmoodstavce"/>
    <w:link w:val="Zkladntext2"/>
    <w:qFormat/>
    <w:rsid w:val="000F412F"/>
    <w:rPr>
      <w:sz w:val="24"/>
    </w:rPr>
  </w:style>
  <w:style w:type="character" w:styleId="Siln">
    <w:name w:val="Strong"/>
    <w:basedOn w:val="Standardnpsmoodstavce"/>
    <w:uiPriority w:val="22"/>
    <w:qFormat/>
    <w:rsid w:val="000A2E01"/>
    <w:rPr>
      <w:b/>
      <w:bCs/>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2">
    <w:name w:val="Body Text 2"/>
    <w:basedOn w:val="Normln"/>
    <w:link w:val="Zkladntext2Char"/>
    <w:qFormat/>
    <w:rsid w:val="00BF7DA4"/>
    <w:pPr>
      <w:jc w:val="both"/>
    </w:pPr>
    <w:rPr>
      <w:sz w:val="24"/>
    </w:rPr>
  </w:style>
  <w:style w:type="paragraph" w:customStyle="1" w:styleId="Zhlavazpat">
    <w:name w:val="Záhlaví a zápatí"/>
    <w:basedOn w:val="Normln"/>
    <w:qFormat/>
  </w:style>
  <w:style w:type="paragraph" w:styleId="Zhlav">
    <w:name w:val="header"/>
    <w:basedOn w:val="Normln"/>
    <w:rsid w:val="00BF7DA4"/>
    <w:pPr>
      <w:tabs>
        <w:tab w:val="center" w:pos="4536"/>
        <w:tab w:val="right" w:pos="9072"/>
      </w:tabs>
    </w:pPr>
  </w:style>
  <w:style w:type="paragraph" w:styleId="Textkomente">
    <w:name w:val="annotation text"/>
    <w:basedOn w:val="Normln"/>
    <w:link w:val="TextkomenteChar"/>
    <w:qFormat/>
    <w:rsid w:val="0071230A"/>
  </w:style>
  <w:style w:type="paragraph" w:styleId="Pedmtkomente">
    <w:name w:val="annotation subject"/>
    <w:basedOn w:val="Textkomente"/>
    <w:next w:val="Textkomente"/>
    <w:link w:val="PedmtkomenteChar"/>
    <w:qFormat/>
    <w:rsid w:val="0071230A"/>
    <w:rPr>
      <w:b/>
      <w:bCs/>
    </w:rPr>
  </w:style>
  <w:style w:type="paragraph" w:styleId="Textbubliny">
    <w:name w:val="Balloon Text"/>
    <w:basedOn w:val="Normln"/>
    <w:link w:val="TextbublinyChar"/>
    <w:qFormat/>
    <w:rsid w:val="0071230A"/>
    <w:rPr>
      <w:rFonts w:ascii="Tahoma" w:hAnsi="Tahoma" w:cs="Tahoma"/>
      <w:sz w:val="16"/>
      <w:szCs w:val="16"/>
    </w:rPr>
  </w:style>
  <w:style w:type="paragraph" w:styleId="Revize">
    <w:name w:val="Revision"/>
    <w:uiPriority w:val="99"/>
    <w:semiHidden/>
    <w:qFormat/>
    <w:rsid w:val="00052F09"/>
  </w:style>
  <w:style w:type="paragraph" w:styleId="Odstavecseseznamem">
    <w:name w:val="List Paragraph"/>
    <w:basedOn w:val="Normln"/>
    <w:uiPriority w:val="34"/>
    <w:qFormat/>
    <w:rsid w:val="00BE1F13"/>
    <w:pPr>
      <w:ind w:left="708"/>
    </w:pPr>
  </w:style>
  <w:style w:type="paragraph" w:styleId="Zkladntextodsazen">
    <w:name w:val="Body Text Indent"/>
    <w:basedOn w:val="Normln"/>
    <w:link w:val="ZkladntextodsazenChar"/>
    <w:unhideWhenUsed/>
    <w:rsid w:val="00E2762C"/>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DEC6-71C7-47F7-87D0-8604FA40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2074</Words>
  <Characters>12239</Characters>
  <Application>Microsoft Office Word</Application>
  <DocSecurity>0</DocSecurity>
  <Lines>101</Lines>
  <Paragraphs>28</Paragraphs>
  <ScaleCrop>false</ScaleCrop>
  <Company>BKN Zlin</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b88978</dc:creator>
  <dc:description/>
  <cp:lastModifiedBy>Tomáš Bělovský</cp:lastModifiedBy>
  <cp:revision>7</cp:revision>
  <cp:lastPrinted>2018-12-16T16:07:00Z</cp:lastPrinted>
  <dcterms:created xsi:type="dcterms:W3CDTF">2019-02-18T07:22:00Z</dcterms:created>
  <dcterms:modified xsi:type="dcterms:W3CDTF">2023-02-20T09:34:00Z</dcterms:modified>
  <dc:language>cs-CZ</dc:language>
</cp:coreProperties>
</file>