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667"/>
        <w:gridCol w:w="5954"/>
        <w:gridCol w:w="1558"/>
      </w:tblGrid>
      <w:tr w:rsidR="0077202D" w:rsidRPr="002909BD" w:rsidTr="000A1911">
        <w:trPr>
          <w:trHeight w:hRule="exact" w:val="723"/>
        </w:trPr>
        <w:tc>
          <w:tcPr>
            <w:tcW w:w="9179" w:type="dxa"/>
            <w:gridSpan w:val="3"/>
            <w:tcBorders>
              <w:top w:val="single" w:sz="4" w:space="0" w:color="000000"/>
            </w:tcBorders>
            <w:shd w:val="clear" w:color="auto" w:fill="auto"/>
          </w:tcPr>
          <w:p w:rsidR="0077202D" w:rsidRPr="002909BD" w:rsidRDefault="0027528A" w:rsidP="00DC1CFB">
            <w:pPr>
              <w:pStyle w:val="Podtitul"/>
              <w:spacing w:before="240"/>
            </w:pPr>
            <w:r>
              <w:t>DNE 24</w:t>
            </w:r>
            <w:r w:rsidR="001B6E3B" w:rsidRPr="002909BD">
              <w:t>.4</w:t>
            </w:r>
            <w:r w:rsidR="002B59EE" w:rsidRPr="002909BD">
              <w:t>.201</w:t>
            </w:r>
            <w:r w:rsidR="001B6E3B" w:rsidRPr="002909BD">
              <w:t>7</w:t>
            </w:r>
          </w:p>
        </w:tc>
      </w:tr>
      <w:tr w:rsidR="0077202D" w:rsidRPr="002909BD" w:rsidTr="000A1911">
        <w:trPr>
          <w:cantSplit/>
          <w:trHeight w:val="2693"/>
        </w:trPr>
        <w:tc>
          <w:tcPr>
            <w:tcW w:w="9179" w:type="dxa"/>
            <w:gridSpan w:val="3"/>
            <w:shd w:val="clear" w:color="auto" w:fill="auto"/>
          </w:tcPr>
          <w:p w:rsidR="0077202D" w:rsidRPr="002909BD" w:rsidRDefault="0077202D" w:rsidP="00731180">
            <w:pPr>
              <w:pStyle w:val="Parties"/>
              <w:snapToGrid w:val="0"/>
              <w:jc w:val="both"/>
            </w:pPr>
          </w:p>
          <w:p w:rsidR="0018518F" w:rsidRPr="002909BD" w:rsidRDefault="002909BD" w:rsidP="0018518F">
            <w:pPr>
              <w:pStyle w:val="Parties"/>
              <w:rPr>
                <w:b/>
              </w:rPr>
            </w:pPr>
            <w:r>
              <w:rPr>
                <w:b/>
              </w:rPr>
              <w:t>D</w:t>
            </w:r>
            <w:r w:rsidR="00C90904">
              <w:rPr>
                <w:b/>
              </w:rPr>
              <w:t>ivadlo oskara nedbala tábor</w:t>
            </w:r>
          </w:p>
          <w:p w:rsidR="0018518F" w:rsidRPr="002909BD" w:rsidRDefault="0018518F" w:rsidP="0018518F">
            <w:pPr>
              <w:suppressAutoHyphens w:val="0"/>
              <w:spacing w:after="0"/>
              <w:rPr>
                <w:shd w:val="clear" w:color="auto" w:fill="F6F7F8"/>
                <w:lang w:eastAsia="en-US"/>
              </w:rPr>
            </w:pPr>
          </w:p>
          <w:p w:rsidR="0077202D" w:rsidRPr="002909BD" w:rsidRDefault="00DC1CFB" w:rsidP="0077202D">
            <w:pPr>
              <w:pStyle w:val="Parties"/>
              <w:rPr>
                <w:i/>
                <w:lang w:val="en-GB"/>
              </w:rPr>
            </w:pPr>
            <w:r w:rsidRPr="002909BD">
              <w:t xml:space="preserve">JAKO </w:t>
            </w:r>
            <w:r w:rsidR="001B6E3B" w:rsidRPr="002909BD">
              <w:t>pořadatel</w:t>
            </w:r>
          </w:p>
          <w:p w:rsidR="00EA1544" w:rsidRPr="002909BD" w:rsidRDefault="00EA1544" w:rsidP="0077202D">
            <w:pPr>
              <w:pStyle w:val="Parties"/>
            </w:pPr>
          </w:p>
          <w:p w:rsidR="0077202D" w:rsidRPr="002909BD" w:rsidRDefault="00DC1CFB" w:rsidP="0077202D">
            <w:pPr>
              <w:pStyle w:val="Parties"/>
            </w:pPr>
            <w:r w:rsidRPr="002909BD">
              <w:t>A</w:t>
            </w:r>
          </w:p>
          <w:p w:rsidR="001B6E3B" w:rsidRPr="002909BD" w:rsidRDefault="001B6E3B" w:rsidP="001B6E3B">
            <w:pPr>
              <w:pStyle w:val="Parties"/>
              <w:rPr>
                <w:b/>
              </w:rPr>
            </w:pPr>
            <w:r w:rsidRPr="002909BD">
              <w:rPr>
                <w:b/>
              </w:rPr>
              <w:t>artanis entertainment s.r.o.</w:t>
            </w:r>
          </w:p>
          <w:p w:rsidR="0018518F" w:rsidRPr="002909BD" w:rsidRDefault="0018518F" w:rsidP="007663CF">
            <w:pPr>
              <w:suppressAutoHyphens w:val="0"/>
              <w:spacing w:after="0"/>
              <w:jc w:val="center"/>
              <w:rPr>
                <w:shd w:val="clear" w:color="auto" w:fill="F6F7F8"/>
                <w:lang w:eastAsia="en-US"/>
              </w:rPr>
            </w:pPr>
          </w:p>
          <w:p w:rsidR="0077202D" w:rsidRPr="002909BD" w:rsidRDefault="00DC1CFB" w:rsidP="0077202D">
            <w:pPr>
              <w:pStyle w:val="Parties"/>
            </w:pPr>
            <w:r w:rsidRPr="002909BD">
              <w:t>JAKO</w:t>
            </w:r>
            <w:r w:rsidR="00C16F80" w:rsidRPr="002909BD">
              <w:t xml:space="preserve"> umělecká</w:t>
            </w:r>
            <w:r w:rsidR="001B6E3B" w:rsidRPr="002909BD">
              <w:t>agentura</w:t>
            </w:r>
          </w:p>
          <w:p w:rsidR="0077202D" w:rsidRPr="002909BD" w:rsidRDefault="0077202D" w:rsidP="0077202D">
            <w:pPr>
              <w:pStyle w:val="Parties"/>
              <w:jc w:val="both"/>
              <w:rPr>
                <w:i/>
                <w:lang w:val="en-GB"/>
              </w:rPr>
            </w:pPr>
          </w:p>
        </w:tc>
      </w:tr>
      <w:tr w:rsidR="0077202D" w:rsidRPr="002909BD" w:rsidTr="000A1911">
        <w:tblPrEx>
          <w:tblCellMar>
            <w:left w:w="0" w:type="dxa"/>
            <w:right w:w="0" w:type="dxa"/>
          </w:tblCellMar>
        </w:tblPrEx>
        <w:trPr>
          <w:trHeight w:val="1725"/>
        </w:trPr>
        <w:tc>
          <w:tcPr>
            <w:tcW w:w="1667" w:type="dxa"/>
            <w:shd w:val="clear" w:color="auto" w:fill="auto"/>
            <w:vAlign w:val="center"/>
          </w:tcPr>
          <w:p w:rsidR="0077202D" w:rsidRPr="002909BD" w:rsidRDefault="0077202D" w:rsidP="0077202D">
            <w:pPr>
              <w:pStyle w:val="Parties"/>
              <w:snapToGrid w:val="0"/>
            </w:pPr>
          </w:p>
        </w:tc>
        <w:tc>
          <w:tcPr>
            <w:tcW w:w="5954" w:type="dxa"/>
            <w:tcBorders>
              <w:top w:val="single" w:sz="4" w:space="0" w:color="000000"/>
              <w:bottom w:val="single" w:sz="4" w:space="0" w:color="000000"/>
            </w:tcBorders>
            <w:shd w:val="clear" w:color="auto" w:fill="auto"/>
            <w:vAlign w:val="center"/>
          </w:tcPr>
          <w:p w:rsidR="0077202D" w:rsidRPr="002909BD" w:rsidRDefault="0077202D" w:rsidP="00DC1CFB">
            <w:pPr>
              <w:pStyle w:val="Parties"/>
              <w:spacing w:after="0"/>
              <w:rPr>
                <w:b/>
                <w:sz w:val="32"/>
                <w:szCs w:val="32"/>
              </w:rPr>
            </w:pPr>
            <w:r w:rsidRPr="002909BD">
              <w:rPr>
                <w:b/>
                <w:sz w:val="32"/>
                <w:szCs w:val="32"/>
              </w:rPr>
              <w:t>smlouva o provedení uměleckého výkonu</w:t>
            </w:r>
          </w:p>
        </w:tc>
        <w:tc>
          <w:tcPr>
            <w:tcW w:w="1558" w:type="dxa"/>
            <w:shd w:val="clear" w:color="auto" w:fill="auto"/>
          </w:tcPr>
          <w:p w:rsidR="0077202D" w:rsidRPr="002909BD" w:rsidRDefault="0077202D" w:rsidP="0077202D">
            <w:pPr>
              <w:snapToGrid w:val="0"/>
            </w:pPr>
          </w:p>
        </w:tc>
      </w:tr>
    </w:tbl>
    <w:p w:rsidR="00B26514" w:rsidRPr="002909BD" w:rsidRDefault="00B26514"/>
    <w:p w:rsidR="0077202D" w:rsidRPr="002909BD" w:rsidRDefault="0077202D" w:rsidP="0077202D">
      <w:pPr>
        <w:pStyle w:val="Zkladntext"/>
        <w:rPr>
          <w:rFonts w:cs="Arial"/>
        </w:rPr>
      </w:pPr>
      <w:r w:rsidRPr="002909BD">
        <w:t>Tuto</w:t>
      </w:r>
      <w:r w:rsidRPr="002909BD">
        <w:rPr>
          <w:b/>
        </w:rPr>
        <w:t xml:space="preserve"> SMLOUVU O PROVEDENÍ UMĚLECKÉHO VÝKONU </w:t>
      </w:r>
      <w:r w:rsidRPr="002909BD">
        <w:t>(dále jen "</w:t>
      </w:r>
      <w:r w:rsidRPr="002909BD">
        <w:rPr>
          <w:b/>
        </w:rPr>
        <w:t>Smlouva</w:t>
      </w:r>
      <w:r w:rsidRPr="002909BD">
        <w:t>")</w:t>
      </w:r>
      <w:r w:rsidRPr="002909BD">
        <w:rPr>
          <w:b/>
        </w:rPr>
        <w:t xml:space="preserve">, </w:t>
      </w:r>
      <w:r w:rsidRPr="002909BD">
        <w:t>uzavřeli</w:t>
      </w:r>
      <w:r w:rsidRPr="002909BD">
        <w:rPr>
          <w:rFonts w:cs="Arial"/>
        </w:rPr>
        <w:t xml:space="preserve"> zejména ve smyslu ustanovení § 1746 odst. 2 a násl. zákona č. 89/2012 Sb., občanského zákoníku, ve znění pozdějších předpisů </w:t>
      </w:r>
      <w:r w:rsidRPr="002909BD">
        <w:t>(dále jen "</w:t>
      </w:r>
      <w:r w:rsidRPr="002909BD">
        <w:rPr>
          <w:b/>
        </w:rPr>
        <w:t>NOZ</w:t>
      </w:r>
      <w:r w:rsidRPr="002909BD">
        <w:t>")</w:t>
      </w:r>
      <w:r w:rsidRPr="002909BD">
        <w:rPr>
          <w:rFonts w:cs="Arial"/>
        </w:rPr>
        <w:t>, výše uvedeného dne, měsíce a roku a za následujících podmínek tito účastníci:</w:t>
      </w:r>
    </w:p>
    <w:p w:rsidR="0077202D" w:rsidRPr="002909BD" w:rsidRDefault="0077202D" w:rsidP="0077202D">
      <w:pPr>
        <w:pStyle w:val="Zkladntext"/>
        <w:rPr>
          <w:lang w:val="en-GB"/>
        </w:rPr>
      </w:pPr>
    </w:p>
    <w:p w:rsidR="002909BD" w:rsidRPr="002909BD" w:rsidRDefault="002909BD" w:rsidP="002909BD">
      <w:pPr>
        <w:pStyle w:val="SimpleL2"/>
        <w:numPr>
          <w:ilvl w:val="1"/>
          <w:numId w:val="1"/>
        </w:numPr>
        <w:tabs>
          <w:tab w:val="left" w:pos="720"/>
          <w:tab w:val="left" w:pos="1440"/>
        </w:tabs>
      </w:pPr>
      <w:r w:rsidRPr="002909BD">
        <w:rPr>
          <w:b/>
        </w:rPr>
        <w:t>DIVADLO OSKARA NEDBALA TÁBOR</w:t>
      </w:r>
      <w:r w:rsidRPr="002909BD">
        <w:t xml:space="preserve"> IČ: </w:t>
      </w:r>
      <w:r w:rsidR="000E12F9">
        <w:t>65942434</w:t>
      </w:r>
      <w:r w:rsidRPr="002909BD">
        <w:t>, se sídlem na adrese Divadelní 218 , 390 01, Tábor, zapsaná v</w:t>
      </w:r>
      <w:r w:rsidR="000E12F9">
        <w:t xml:space="preserve"> obchodním </w:t>
      </w:r>
      <w:r w:rsidRPr="002909BD">
        <w:t xml:space="preserve">rejstříku </w:t>
      </w:r>
      <w:r w:rsidR="000E12F9">
        <w:t>vedeném Krajským soudem v Českých Budějovicích, oddíl Pr., vložka 436</w:t>
      </w:r>
      <w:r w:rsidRPr="002909BD">
        <w:t>, (d</w:t>
      </w:r>
      <w:r w:rsidR="000E12F9">
        <w:t>ále jen „pořadatel“) zastoupené ředitelkou Mgr. Lindou Rybákovou.</w:t>
      </w:r>
    </w:p>
    <w:p w:rsidR="00C16F80" w:rsidRPr="002909BD" w:rsidRDefault="00C16F80" w:rsidP="00C16F80">
      <w:pPr>
        <w:pStyle w:val="SimpleL2"/>
        <w:numPr>
          <w:ilvl w:val="1"/>
          <w:numId w:val="1"/>
        </w:numPr>
        <w:rPr>
          <w:b/>
        </w:rPr>
      </w:pPr>
      <w:r w:rsidRPr="002909BD">
        <w:t xml:space="preserve">společnost </w:t>
      </w:r>
      <w:r w:rsidRPr="002909BD">
        <w:rPr>
          <w:b/>
        </w:rPr>
        <w:t xml:space="preserve">Artanis Entertainment, s.r.o., </w:t>
      </w:r>
      <w:r w:rsidRPr="002909BD">
        <w:t>IČ: 03658970, se sídlem na adrese             Rybná 716/24, zapsaná v obchodním rejstříku vedeném Městským soudem v Praze, spisová zn. C 235883, (dále jen "</w:t>
      </w:r>
      <w:r w:rsidR="00BD21E3" w:rsidRPr="002909BD">
        <w:rPr>
          <w:b/>
        </w:rPr>
        <w:t>Umělecká agentura</w:t>
      </w:r>
      <w:r w:rsidRPr="002909BD">
        <w:t>") zastoupená Janem Smigmatorem, jednatelem</w:t>
      </w:r>
      <w:r w:rsidR="00B34203" w:rsidRPr="002909BD">
        <w:t xml:space="preserve"> a</w:t>
      </w:r>
      <w:r w:rsidRPr="002909BD">
        <w:t xml:space="preserve"> Mgr. Jakubem Teplým, jednatelem</w:t>
      </w:r>
      <w:r w:rsidR="00B34203" w:rsidRPr="002909BD">
        <w:t>.</w:t>
      </w:r>
    </w:p>
    <w:p w:rsidR="0077202D" w:rsidRPr="002909BD" w:rsidRDefault="0077202D" w:rsidP="00D66433">
      <w:pPr>
        <w:pStyle w:val="SimpleL1"/>
        <w:tabs>
          <w:tab w:val="clear" w:pos="720"/>
        </w:tabs>
        <w:ind w:left="0" w:firstLine="0"/>
      </w:pPr>
      <w:r w:rsidRPr="002909BD">
        <w:rPr>
          <w:rFonts w:cs="Cambria"/>
        </w:rPr>
        <w:t>(Pořadatel a Umělec</w:t>
      </w:r>
      <w:r w:rsidR="00BD21E3" w:rsidRPr="002909BD">
        <w:rPr>
          <w:rFonts w:cs="Cambria"/>
        </w:rPr>
        <w:t>ká agentura</w:t>
      </w:r>
      <w:r w:rsidRPr="002909BD">
        <w:rPr>
          <w:rFonts w:cs="Cambria"/>
        </w:rPr>
        <w:t xml:space="preserve"> se dále též označují společně jako "</w:t>
      </w:r>
      <w:r w:rsidRPr="002909BD">
        <w:rPr>
          <w:rFonts w:cs="Cambria"/>
          <w:b/>
          <w:bCs/>
        </w:rPr>
        <w:t>Smluvní strany</w:t>
      </w:r>
      <w:r w:rsidRPr="002909BD">
        <w:rPr>
          <w:rFonts w:cs="Cambria"/>
        </w:rPr>
        <w:t>" či každý zvlášť jen jako "</w:t>
      </w:r>
      <w:r w:rsidRPr="002909BD">
        <w:rPr>
          <w:rFonts w:cs="Cambria"/>
          <w:b/>
          <w:bCs/>
        </w:rPr>
        <w:t>Smluvní strana</w:t>
      </w:r>
      <w:r w:rsidRPr="002909BD">
        <w:rPr>
          <w:rFonts w:cs="Cambria"/>
        </w:rPr>
        <w:t>")</w:t>
      </w:r>
    </w:p>
    <w:p w:rsidR="0077202D" w:rsidRPr="002909BD" w:rsidRDefault="0077202D" w:rsidP="0077202D">
      <w:pPr>
        <w:pStyle w:val="Zkladntext"/>
        <w:rPr>
          <w:b/>
        </w:rPr>
      </w:pPr>
    </w:p>
    <w:p w:rsidR="0077202D" w:rsidRPr="002909BD" w:rsidRDefault="00DC1CFB" w:rsidP="0077202D">
      <w:pPr>
        <w:pStyle w:val="Zkladntext"/>
        <w:rPr>
          <w:i/>
        </w:rPr>
      </w:pPr>
      <w:r w:rsidRPr="002909BD">
        <w:rPr>
          <w:b/>
        </w:rPr>
        <w:t>VZHLEDEM K TOMU, ŽE:</w:t>
      </w:r>
    </w:p>
    <w:p w:rsidR="0077202D" w:rsidRPr="002909BD" w:rsidRDefault="0077202D" w:rsidP="0077202D">
      <w:pPr>
        <w:pStyle w:val="Zkladntext"/>
      </w:pPr>
    </w:p>
    <w:p w:rsidR="0077202D" w:rsidRPr="002909BD" w:rsidRDefault="0077202D" w:rsidP="0077202D">
      <w:pPr>
        <w:pStyle w:val="SimpleL4"/>
        <w:numPr>
          <w:ilvl w:val="3"/>
          <w:numId w:val="1"/>
        </w:numPr>
      </w:pPr>
      <w:r w:rsidRPr="002909BD">
        <w:t>Pořadatel má zájem na koncertním vystoupení</w:t>
      </w:r>
      <w:r w:rsidR="00B80F77" w:rsidRPr="002909BD">
        <w:t xml:space="preserve"> zajištěném Uměleckou agenturou</w:t>
      </w:r>
      <w:r w:rsidRPr="002909BD">
        <w:t xml:space="preserve"> na níže uvedeném místě a v níže uvedeném čase a za níže uvedených podmínek;</w:t>
      </w:r>
    </w:p>
    <w:p w:rsidR="0077202D" w:rsidRPr="002909BD" w:rsidRDefault="00B80F77" w:rsidP="0077202D">
      <w:pPr>
        <w:pStyle w:val="SimpleL4"/>
        <w:numPr>
          <w:ilvl w:val="3"/>
          <w:numId w:val="1"/>
        </w:numPr>
        <w:tabs>
          <w:tab w:val="clear" w:pos="720"/>
        </w:tabs>
      </w:pPr>
      <w:r w:rsidRPr="002909BD">
        <w:lastRenderedPageBreak/>
        <w:t>Umělecká agentura je schopná</w:t>
      </w:r>
      <w:r w:rsidR="0043272C">
        <w:t xml:space="preserve"> </w:t>
      </w:r>
      <w:r w:rsidRPr="002909BD">
        <w:t>zajistit</w:t>
      </w:r>
      <w:r w:rsidR="0077202D" w:rsidRPr="002909BD">
        <w:t xml:space="preserve"> takové vstoupení pro Pořadatele a dále splnit veškeré podmínky a povinnosti stanovené níže;</w:t>
      </w:r>
    </w:p>
    <w:p w:rsidR="009B140A" w:rsidRPr="002909BD" w:rsidRDefault="009B140A" w:rsidP="009B140A">
      <w:pPr>
        <w:pStyle w:val="SimpleL4"/>
        <w:tabs>
          <w:tab w:val="clear" w:pos="720"/>
        </w:tabs>
        <w:ind w:left="0" w:firstLine="0"/>
        <w:rPr>
          <w:rFonts w:cs="Garamond"/>
          <w:b/>
        </w:rPr>
      </w:pPr>
      <w:r w:rsidRPr="002909BD">
        <w:t xml:space="preserve">Pořadatel a </w:t>
      </w:r>
      <w:r w:rsidR="00B80F77" w:rsidRPr="002909BD">
        <w:t>Umělecká agentura</w:t>
      </w:r>
      <w:r w:rsidRPr="002909BD">
        <w:t xml:space="preserve"> se níže dohodli na podrobných podmínkách provedení uměleckého výkonu, a to následujícím způsobem:</w:t>
      </w:r>
    </w:p>
    <w:p w:rsidR="009B140A" w:rsidRPr="002909BD" w:rsidRDefault="009B140A" w:rsidP="009B140A">
      <w:pPr>
        <w:pStyle w:val="SimpleL4"/>
        <w:tabs>
          <w:tab w:val="clear" w:pos="720"/>
        </w:tabs>
        <w:ind w:left="0" w:firstLine="0"/>
        <w:rPr>
          <w:i/>
          <w:lang w:val="en-GB"/>
        </w:rPr>
      </w:pPr>
    </w:p>
    <w:p w:rsidR="009B140A" w:rsidRPr="002909BD" w:rsidRDefault="00DC1CFB" w:rsidP="009B140A">
      <w:pPr>
        <w:pStyle w:val="StandardL1"/>
        <w:rPr>
          <w:lang w:val="en-GB"/>
        </w:rPr>
      </w:pPr>
      <w:r w:rsidRPr="002909BD">
        <w:t>PŘEDmět smlouvy</w:t>
      </w:r>
    </w:p>
    <w:p w:rsidR="009B140A" w:rsidRPr="002909BD" w:rsidRDefault="00EA1544" w:rsidP="009B140A">
      <w:pPr>
        <w:pStyle w:val="StandardL2"/>
      </w:pPr>
      <w:r w:rsidRPr="002909BD">
        <w:t>Předmětem této Smlouvy je</w:t>
      </w:r>
      <w:r w:rsidR="00D66433" w:rsidRPr="002909BD">
        <w:t xml:space="preserve"> koncertní turné </w:t>
      </w:r>
      <w:r w:rsidRPr="002909BD">
        <w:t>„</w:t>
      </w:r>
      <w:r w:rsidR="00B80F77" w:rsidRPr="002909BD">
        <w:rPr>
          <w:b/>
        </w:rPr>
        <w:t>Swingové Vánoce 2017</w:t>
      </w:r>
      <w:r w:rsidRPr="002909BD">
        <w:rPr>
          <w:b/>
        </w:rPr>
        <w:t>“</w:t>
      </w:r>
    </w:p>
    <w:p w:rsidR="009B140A" w:rsidRPr="002909BD" w:rsidRDefault="00B80F77" w:rsidP="009B140A">
      <w:pPr>
        <w:pStyle w:val="StandardL3"/>
      </w:pPr>
      <w:r w:rsidRPr="002909BD">
        <w:t>závazek Umělecké agentury</w:t>
      </w:r>
      <w:r w:rsidR="0043272C">
        <w:t xml:space="preserve"> </w:t>
      </w:r>
      <w:r w:rsidRPr="002909BD">
        <w:t>zajistit koncertní</w:t>
      </w:r>
      <w:r w:rsidR="009B140A" w:rsidRPr="002909BD">
        <w:t xml:space="preserve"> vystoupení</w:t>
      </w:r>
      <w:r w:rsidR="009757E6" w:rsidRPr="002909BD">
        <w:t xml:space="preserve"> u</w:t>
      </w:r>
      <w:r w:rsidRPr="002909BD">
        <w:t>mělců</w:t>
      </w:r>
      <w:r w:rsidR="009B140A" w:rsidRPr="002909BD">
        <w:t xml:space="preserve"> a </w:t>
      </w:r>
      <w:r w:rsidRPr="002909BD">
        <w:t>jejich osobní</w:t>
      </w:r>
      <w:r w:rsidR="009B140A" w:rsidRPr="002909BD">
        <w:t xml:space="preserve"> umělecký výkon za podmínek uvedených v této Smlouvě v místě a čase dle další specifikace obsažené níže; a</w:t>
      </w:r>
    </w:p>
    <w:p w:rsidR="009B140A" w:rsidRPr="002909BD" w:rsidRDefault="009B140A" w:rsidP="009B140A">
      <w:pPr>
        <w:pStyle w:val="StandardL3"/>
      </w:pPr>
      <w:r w:rsidRPr="002909BD">
        <w:t>závazek Pořadatele zaplatit za zajištění pr</w:t>
      </w:r>
      <w:r w:rsidR="002856C8" w:rsidRPr="002909BD">
        <w:t>ovedení uměleckého výkonu Umělecké agentuře</w:t>
      </w:r>
      <w:r w:rsidRPr="002909BD">
        <w:t xml:space="preserve"> dohodnutou odměnu.</w:t>
      </w:r>
    </w:p>
    <w:p w:rsidR="009B140A" w:rsidRPr="002909BD" w:rsidRDefault="009B140A" w:rsidP="009B140A"/>
    <w:p w:rsidR="009B140A" w:rsidRPr="002909BD" w:rsidRDefault="009B140A" w:rsidP="009B140A">
      <w:pPr>
        <w:pStyle w:val="StandardL2"/>
        <w:numPr>
          <w:ilvl w:val="0"/>
          <w:numId w:val="2"/>
        </w:numPr>
        <w:rPr>
          <w:b/>
        </w:rPr>
      </w:pPr>
      <w:r w:rsidRPr="002909BD">
        <w:rPr>
          <w:b/>
        </w:rPr>
        <w:t>UMĚLECKÉ VYSTOUPENÍ</w:t>
      </w:r>
    </w:p>
    <w:p w:rsidR="009757E6" w:rsidRPr="002909BD" w:rsidRDefault="009757E6" w:rsidP="009757E6">
      <w:pPr>
        <w:pStyle w:val="StandardL2"/>
      </w:pPr>
      <w:r w:rsidRPr="002909BD">
        <w:t xml:space="preserve">Umělecká agentura se zavazuje zajistit </w:t>
      </w:r>
      <w:r w:rsidR="00056228" w:rsidRPr="002909BD">
        <w:t xml:space="preserve">umělce pro </w:t>
      </w:r>
      <w:r w:rsidRPr="002909BD">
        <w:t xml:space="preserve">osobní provedení uměleckého </w:t>
      </w:r>
      <w:r w:rsidR="00056228" w:rsidRPr="002909BD">
        <w:t xml:space="preserve">výkonu </w:t>
      </w:r>
      <w:r w:rsidRPr="002909BD">
        <w:t xml:space="preserve">Swingové Vánoce 2017 dle specifikace obsažené v Příloze č. 1, která tvoří nedílnou součást této Smlouvy. </w:t>
      </w:r>
    </w:p>
    <w:p w:rsidR="009757E6" w:rsidRPr="002909BD" w:rsidRDefault="009757E6" w:rsidP="009757E6">
      <w:pPr>
        <w:pStyle w:val="StandardL2"/>
      </w:pPr>
      <w:r w:rsidRPr="002909BD">
        <w:t>Umělci, kteří jsou součástí uměleckého vystoupení Swingové Vánoce 2017</w:t>
      </w:r>
      <w:r w:rsidR="0043272C">
        <w:t>,</w:t>
      </w:r>
      <w:r w:rsidRPr="002909BD">
        <w:t xml:space="preserve"> jsou: Jan Smigmator, Dasha, Felix Slováček &amp; RTV Big Band.</w:t>
      </w:r>
    </w:p>
    <w:p w:rsidR="00DC1CFB" w:rsidRPr="002909BD" w:rsidRDefault="00DC1CFB" w:rsidP="00DC1CFB"/>
    <w:p w:rsidR="009B140A" w:rsidRPr="002909BD" w:rsidRDefault="009B140A" w:rsidP="009B140A">
      <w:pPr>
        <w:pStyle w:val="StandardL2"/>
        <w:numPr>
          <w:ilvl w:val="0"/>
          <w:numId w:val="2"/>
        </w:numPr>
        <w:rPr>
          <w:lang w:val="en-GB"/>
        </w:rPr>
      </w:pPr>
      <w:r w:rsidRPr="002909BD">
        <w:rPr>
          <w:b/>
        </w:rPr>
        <w:t>ODMĚNA ZA ZAJIŠTĚNÍ PROVEDENÍ UMĚLECKÉHO VÝKONU</w:t>
      </w:r>
    </w:p>
    <w:p w:rsidR="00C90904" w:rsidRPr="003A3141" w:rsidRDefault="00C90904" w:rsidP="00C90904">
      <w:pPr>
        <w:pStyle w:val="StandardL2"/>
      </w:pPr>
      <w:r w:rsidRPr="003A3141">
        <w:t>Strany se dohodly na ceně za provedení uměleckého</w:t>
      </w:r>
      <w:r>
        <w:rPr>
          <w:rFonts w:ascii="Times New Roman" w:hAnsi="Times New Roman"/>
        </w:rPr>
        <w:t xml:space="preserve"> vystoupení</w:t>
      </w:r>
      <w:r w:rsidRPr="003A3141">
        <w:t xml:space="preserve"> v celkové výši </w:t>
      </w:r>
      <w:r w:rsidR="00817180">
        <w:rPr>
          <w:b/>
        </w:rPr>
        <w:t>152</w:t>
      </w:r>
      <w:r>
        <w:rPr>
          <w:b/>
        </w:rPr>
        <w:t>.00</w:t>
      </w:r>
      <w:r w:rsidRPr="003A3141">
        <w:rPr>
          <w:b/>
        </w:rPr>
        <w:t>0,- Kč</w:t>
      </w:r>
      <w:r w:rsidR="00185A95">
        <w:rPr>
          <w:b/>
        </w:rPr>
        <w:t xml:space="preserve"> (slovy: </w:t>
      </w:r>
      <w:r w:rsidR="00817180">
        <w:rPr>
          <w:b/>
        </w:rPr>
        <w:t>sto-padesát-dva</w:t>
      </w:r>
      <w:r>
        <w:rPr>
          <w:b/>
        </w:rPr>
        <w:t>-tisíc</w:t>
      </w:r>
      <w:r w:rsidRPr="002909BD">
        <w:rPr>
          <w:b/>
        </w:rPr>
        <w:t>-korun)</w:t>
      </w:r>
      <w:r w:rsidRPr="003A3141">
        <w:t>+ 21% DPH (dále jen "</w:t>
      </w:r>
      <w:r w:rsidRPr="003A3141">
        <w:rPr>
          <w:b/>
        </w:rPr>
        <w:t>Odměna</w:t>
      </w:r>
      <w:r w:rsidRPr="003A3141">
        <w:t>"). Odměna b</w:t>
      </w:r>
      <w:r>
        <w:t>ude vyplacena na základě zaslaných faktur dle specifikace níže</w:t>
      </w:r>
      <w:r w:rsidRPr="003A3141">
        <w:t xml:space="preserve">. </w:t>
      </w:r>
      <w:r w:rsidRPr="003A3141">
        <w:rPr>
          <w:b/>
        </w:rPr>
        <w:t>Cena zahrnuje:</w:t>
      </w:r>
      <w:r w:rsidRPr="003A3141">
        <w:t xml:space="preserve"> odměnu za vys</w:t>
      </w:r>
      <w:r>
        <w:t xml:space="preserve">toupení Jana Smigmatora, Dashy, </w:t>
      </w:r>
      <w:r w:rsidRPr="003A3141">
        <w:t xml:space="preserve">Felixe Slováčka &amp; RTV Big Bandu, odměna zvukového mistra, </w:t>
      </w:r>
      <w:r>
        <w:t xml:space="preserve">inspici, produkci a </w:t>
      </w:r>
      <w:r w:rsidRPr="003A3141">
        <w:t>do</w:t>
      </w:r>
      <w:r>
        <w:t xml:space="preserve">pravu Praha – Tábor </w:t>
      </w:r>
      <w:r w:rsidRPr="003A3141">
        <w:t>- Praha</w:t>
      </w:r>
    </w:p>
    <w:p w:rsidR="009B140A" w:rsidRPr="002909BD" w:rsidRDefault="009B140A" w:rsidP="00DC1CFB">
      <w:pPr>
        <w:pStyle w:val="StandardL2"/>
      </w:pPr>
      <w:r w:rsidRPr="002909BD">
        <w:t>Podmínky výplaty Odměny jsou následující:</w:t>
      </w:r>
    </w:p>
    <w:p w:rsidR="00221303" w:rsidRPr="002909BD" w:rsidRDefault="00221303" w:rsidP="009B140A">
      <w:pPr>
        <w:pStyle w:val="StandardL3"/>
      </w:pPr>
      <w:r w:rsidRPr="002909BD">
        <w:t xml:space="preserve">Jeden měsíc před koncertním vystoupením zašle Pořadatel Umělecké agentuře 1. část odměny za </w:t>
      </w:r>
      <w:r w:rsidR="00F3718D" w:rsidRPr="002909BD">
        <w:t xml:space="preserve">zajištěné </w:t>
      </w:r>
      <w:r w:rsidRPr="002909BD">
        <w:t>umělecké vystoupení jako zálohu na základě vystavené faktury Uměleckou</w:t>
      </w:r>
      <w:r w:rsidR="00817180">
        <w:t xml:space="preserve"> agenturou ve výši 52</w:t>
      </w:r>
      <w:r w:rsidR="00C90904">
        <w:t>.0</w:t>
      </w:r>
      <w:r w:rsidRPr="002909BD">
        <w:t>00,- Kč + 21% DPH.</w:t>
      </w:r>
    </w:p>
    <w:p w:rsidR="009B140A" w:rsidRPr="002909BD" w:rsidRDefault="00221303" w:rsidP="009B140A">
      <w:pPr>
        <w:pStyle w:val="StandardL3"/>
      </w:pPr>
      <w:r w:rsidRPr="002909BD">
        <w:t xml:space="preserve">Po </w:t>
      </w:r>
      <w:r w:rsidR="009E6B0D" w:rsidRPr="002909BD">
        <w:t>proběhlém uměleckém vystoupení jak</w:t>
      </w:r>
      <w:r w:rsidR="009F292F" w:rsidRPr="002909BD">
        <w:t xml:space="preserve"> je </w:t>
      </w:r>
      <w:r w:rsidRPr="002909BD">
        <w:t>specifikováno v Příloze č. 1  uhradí Pořadatel Umělecké agentuře zbytek Odměny</w:t>
      </w:r>
      <w:r w:rsidR="0043272C">
        <w:t xml:space="preserve"> </w:t>
      </w:r>
      <w:r w:rsidR="000123AF" w:rsidRPr="002909BD">
        <w:t xml:space="preserve">ve výši 100.000,- Kč + 21%DPH </w:t>
      </w:r>
      <w:r w:rsidR="00DC1CFB" w:rsidRPr="002909BD">
        <w:t>na zá</w:t>
      </w:r>
      <w:r w:rsidRPr="002909BD">
        <w:t>kladě faktury vystavené Uměleckou agenturou.</w:t>
      </w:r>
    </w:p>
    <w:p w:rsidR="009B140A" w:rsidRPr="002909BD" w:rsidRDefault="009B140A" w:rsidP="009B140A">
      <w:pPr>
        <w:pStyle w:val="StandardL2"/>
      </w:pPr>
      <w:r w:rsidRPr="002909BD">
        <w:t>V Odměně jsou</w:t>
      </w:r>
      <w:r w:rsidR="006E3DD8" w:rsidRPr="002909BD">
        <w:t xml:space="preserve"> zahrnuty veškeré náklady Umělecké agentury</w:t>
      </w:r>
      <w:r w:rsidRPr="002909BD">
        <w:t xml:space="preserve"> vynaložené</w:t>
      </w:r>
      <w:r w:rsidR="006E3DD8" w:rsidRPr="002909BD">
        <w:t xml:space="preserve"> pro zajištění uměleckého vystoupení.</w:t>
      </w:r>
    </w:p>
    <w:p w:rsidR="009B140A" w:rsidRPr="002909BD" w:rsidRDefault="009B140A" w:rsidP="009B140A">
      <w:pPr>
        <w:rPr>
          <w:lang w:val="en-GB"/>
        </w:rPr>
      </w:pPr>
    </w:p>
    <w:p w:rsidR="009B140A" w:rsidRPr="002909BD" w:rsidRDefault="009B140A" w:rsidP="009B140A">
      <w:pPr>
        <w:pStyle w:val="StandardL2"/>
        <w:numPr>
          <w:ilvl w:val="0"/>
          <w:numId w:val="2"/>
        </w:numPr>
        <w:rPr>
          <w:lang w:val="en-GB"/>
        </w:rPr>
      </w:pPr>
      <w:r w:rsidRPr="002909BD">
        <w:rPr>
          <w:b/>
        </w:rPr>
        <w:lastRenderedPageBreak/>
        <w:t>OSTATNÍ POVINNOSTI SMLUVNÍCH STRAN</w:t>
      </w:r>
    </w:p>
    <w:p w:rsidR="009B140A" w:rsidRPr="002909BD" w:rsidRDefault="009B140A" w:rsidP="009B140A">
      <w:pPr>
        <w:pStyle w:val="StandardL2"/>
      </w:pPr>
      <w:r w:rsidRPr="002909BD">
        <w:t>Umělec</w:t>
      </w:r>
      <w:r w:rsidR="006E3DD8" w:rsidRPr="002909BD">
        <w:t>ká agentura</w:t>
      </w:r>
      <w:r w:rsidRPr="002909BD">
        <w:t xml:space="preserve"> se mimo jiné zavazuje splnit následující povinnosti:</w:t>
      </w:r>
    </w:p>
    <w:p w:rsidR="009B140A" w:rsidRPr="002909BD" w:rsidRDefault="006E3DD8" w:rsidP="009B140A">
      <w:pPr>
        <w:pStyle w:val="StandardL3"/>
      </w:pPr>
      <w:r w:rsidRPr="002909BD">
        <w:t>Zajistit příjezd umělců</w:t>
      </w:r>
      <w:r w:rsidR="009B140A" w:rsidRPr="002909BD">
        <w:t xml:space="preserve"> do místa ko</w:t>
      </w:r>
      <w:r w:rsidR="009D6A2D" w:rsidRPr="002909BD">
        <w:t>nání vyst</w:t>
      </w:r>
      <w:r w:rsidR="009B1013" w:rsidRPr="002909BD">
        <w:t>oupení</w:t>
      </w:r>
      <w:r w:rsidRPr="002909BD">
        <w:t xml:space="preserve"> dle Přílohy č. 1</w:t>
      </w:r>
      <w:r w:rsidR="009B140A" w:rsidRPr="002909BD">
        <w:t xml:space="preserve"> ve stavu umožňujícím</w:t>
      </w:r>
      <w:r w:rsidRPr="002909BD">
        <w:t xml:space="preserve"> bezvadné provedení vystoupení;</w:t>
      </w:r>
    </w:p>
    <w:p w:rsidR="009B140A" w:rsidRPr="002909BD" w:rsidRDefault="00241B77" w:rsidP="009B140A">
      <w:pPr>
        <w:pStyle w:val="StandardL3"/>
      </w:pPr>
      <w:r w:rsidRPr="002909BD">
        <w:t>Zajištění účasti umělců na zvukové zkoušce či jakékoliv jiné zkoušce</w:t>
      </w:r>
      <w:r w:rsidR="009B140A" w:rsidRPr="002909BD">
        <w:t xml:space="preserve"> dle rozpisu v</w:t>
      </w:r>
      <w:r w:rsidRPr="002909BD">
        <w:t> Příloze č. 1</w:t>
      </w:r>
      <w:r w:rsidR="009B140A" w:rsidRPr="002909BD">
        <w:t>, s dostatečným časovým předstihem uvede technické požadavky na vystoupení;</w:t>
      </w:r>
    </w:p>
    <w:p w:rsidR="009B140A" w:rsidRPr="002909BD" w:rsidRDefault="00241B77" w:rsidP="009B140A">
      <w:pPr>
        <w:pStyle w:val="StandardL3"/>
      </w:pPr>
      <w:r w:rsidRPr="002909BD">
        <w:t xml:space="preserve">Zajistí </w:t>
      </w:r>
      <w:r w:rsidR="009B140A" w:rsidRPr="002909BD">
        <w:t>provede</w:t>
      </w:r>
      <w:r w:rsidRPr="002909BD">
        <w:t>ní</w:t>
      </w:r>
      <w:r w:rsidR="009B140A" w:rsidRPr="002909BD">
        <w:t xml:space="preserve"> vystoupení v nejlepší možné kvalitě, upozorní včas na komplikace týkající se zdravotního stavu, které by mohly ohrozit či snížit kvalitu vystoupení;</w:t>
      </w:r>
    </w:p>
    <w:p w:rsidR="009B140A" w:rsidRPr="002909BD" w:rsidRDefault="009B140A" w:rsidP="009B140A">
      <w:pPr>
        <w:pStyle w:val="StandardL3"/>
      </w:pPr>
      <w:r w:rsidRPr="002909BD">
        <w:t>bude propagovat vystoupení</w:t>
      </w:r>
      <w:r w:rsidR="00784BBE" w:rsidRPr="002909BD">
        <w:t xml:space="preserve"> na webových stránkách umělců</w:t>
      </w:r>
      <w:r w:rsidRPr="002909BD">
        <w:t xml:space="preserve"> a na dalších sociálních sítích, případně se souhlasem Pořadatele i dalšími způsoby;</w:t>
      </w:r>
    </w:p>
    <w:p w:rsidR="00784BBE" w:rsidRPr="002909BD" w:rsidRDefault="00784BBE" w:rsidP="00784BBE">
      <w:pPr>
        <w:pStyle w:val="StandardL3"/>
      </w:pPr>
      <w:r w:rsidRPr="002909BD">
        <w:t>zajistí</w:t>
      </w:r>
      <w:r w:rsidR="00EB5361" w:rsidRPr="002909BD">
        <w:t xml:space="preserve"> autogramiádu</w:t>
      </w:r>
      <w:r w:rsidR="009B140A" w:rsidRPr="002909BD">
        <w:t xml:space="preserve"> a setkání s fanoušky a s partnery koncertu po uměleckém vystoupení;</w:t>
      </w:r>
    </w:p>
    <w:p w:rsidR="00784BBE" w:rsidRPr="002909BD" w:rsidRDefault="00784BBE" w:rsidP="00784BBE">
      <w:pPr>
        <w:pStyle w:val="StandardL3"/>
      </w:pPr>
      <w:r w:rsidRPr="002909BD">
        <w:t>pošle Pořadateli plakáty k uměleckému vystoupení ve formátu A1 v předem domluveném počtu;</w:t>
      </w:r>
    </w:p>
    <w:p w:rsidR="00784BBE" w:rsidRPr="002909BD" w:rsidRDefault="009B140A" w:rsidP="00784BBE">
      <w:pPr>
        <w:pStyle w:val="StandardL2"/>
      </w:pPr>
      <w:r w:rsidRPr="002909BD">
        <w:t>Pořadatel se zavazuje:</w:t>
      </w:r>
    </w:p>
    <w:p w:rsidR="00784BBE" w:rsidRPr="002909BD" w:rsidRDefault="00784BBE" w:rsidP="00784BBE">
      <w:pPr>
        <w:pStyle w:val="StandardL3"/>
      </w:pPr>
      <w:r w:rsidRPr="002909BD">
        <w:t>zajistit prostory pro</w:t>
      </w:r>
      <w:r w:rsidR="00EB5361" w:rsidRPr="002909BD">
        <w:t xml:space="preserve"> konání uměleckého vystoupení</w:t>
      </w:r>
      <w:r w:rsidRPr="002909BD">
        <w:t>;</w:t>
      </w:r>
    </w:p>
    <w:p w:rsidR="00784BBE" w:rsidRPr="002909BD" w:rsidRDefault="00784BBE" w:rsidP="00784BBE">
      <w:pPr>
        <w:pStyle w:val="StandardL3"/>
      </w:pPr>
      <w:r w:rsidRPr="002909BD">
        <w:t>šatny pro 20 osob, z čehož ideálně 3 samostatné šatny pro sólisty (Jan Smigmator, Dasha, Felix Slováček) se zrcadlem, věšáky, stolem a židlemi, občerstvení (neperlivá voda, káva, čaj, drobné občerstvení);</w:t>
      </w:r>
    </w:p>
    <w:p w:rsidR="00784BBE" w:rsidRPr="002909BD" w:rsidRDefault="00784BBE" w:rsidP="00784BBE">
      <w:pPr>
        <w:pStyle w:val="StandardL3"/>
      </w:pPr>
      <w:r w:rsidRPr="002909BD">
        <w:t>zajistit na svůj náklad technické a bezpečnostní zabezpečení akce a  ochranu  zdraví a bezpečnosti účinkujících a návštěvníků akce;  Technické zajištění koncertu dle dohody s Uměleckou agenturou a zvukovým mistrem;</w:t>
      </w:r>
    </w:p>
    <w:p w:rsidR="00784BBE" w:rsidRPr="002909BD" w:rsidRDefault="00784BBE" w:rsidP="00784BBE">
      <w:pPr>
        <w:pStyle w:val="StandardL3"/>
      </w:pPr>
      <w:r w:rsidRPr="002909BD">
        <w:t xml:space="preserve">vypořádat s Ochranným svazem autorským práva k dílům hudebním, veškeré povinnosti a závazky související s vystoupením.  </w:t>
      </w:r>
    </w:p>
    <w:p w:rsidR="00DC1CFB" w:rsidRPr="002909BD" w:rsidRDefault="009B140A" w:rsidP="002D567C">
      <w:pPr>
        <w:pStyle w:val="StandardL3"/>
      </w:pPr>
      <w:r w:rsidRPr="002909BD">
        <w:t>zajistit dostatečné prostory pro merchandising, reklamu a celkovou propagaci</w:t>
      </w:r>
      <w:r w:rsidR="00784BBE" w:rsidRPr="002909BD">
        <w:t xml:space="preserve"> uměleckého vystoupení ve městě</w:t>
      </w:r>
      <w:r w:rsidRPr="002909BD">
        <w:t xml:space="preserve"> a v médiíc</w:t>
      </w:r>
      <w:r w:rsidR="00784BBE" w:rsidRPr="002909BD">
        <w:t>h dle svého nejlepšího uvážení;</w:t>
      </w:r>
    </w:p>
    <w:p w:rsidR="00784BBE" w:rsidRPr="002909BD" w:rsidRDefault="00784BBE" w:rsidP="00784BBE"/>
    <w:p w:rsidR="00573D02" w:rsidRPr="002909BD" w:rsidRDefault="00573D02" w:rsidP="00573D02">
      <w:pPr>
        <w:pStyle w:val="StandardL2"/>
        <w:numPr>
          <w:ilvl w:val="0"/>
          <w:numId w:val="2"/>
        </w:numPr>
        <w:rPr>
          <w:b/>
          <w:lang w:val="en-GB"/>
        </w:rPr>
      </w:pPr>
      <w:r w:rsidRPr="002909BD">
        <w:rPr>
          <w:b/>
        </w:rPr>
        <w:t>ODSTOUPENÍ OD SMLOUVY, ZÁNIK SMLOUVY</w:t>
      </w:r>
    </w:p>
    <w:p w:rsidR="00573D02" w:rsidRPr="002909BD" w:rsidRDefault="00573D02" w:rsidP="00573D02">
      <w:pPr>
        <w:pStyle w:val="StandardL2"/>
      </w:pPr>
      <w:r w:rsidRPr="002909BD">
        <w:t>Pořadatel je oprávněn od Smlouvy odstoupit s okamžitými účinky v případě porušení povinnosti</w:t>
      </w:r>
      <w:r w:rsidR="00747E02" w:rsidRPr="002909BD">
        <w:t xml:space="preserve"> Uměl</w:t>
      </w:r>
      <w:r w:rsidR="00AA503A" w:rsidRPr="002909BD">
        <w:t>e</w:t>
      </w:r>
      <w:r w:rsidR="00747E02" w:rsidRPr="002909BD">
        <w:t>cké agentury</w:t>
      </w:r>
      <w:r w:rsidR="0043272C">
        <w:t xml:space="preserve"> </w:t>
      </w:r>
      <w:r w:rsidR="00747E02" w:rsidRPr="002909BD">
        <w:t>zajistit přítomnost Umělců</w:t>
      </w:r>
      <w:r w:rsidR="00B02348" w:rsidRPr="002909BD">
        <w:t xml:space="preserve"> na koncertech</w:t>
      </w:r>
      <w:r w:rsidRPr="002909BD">
        <w:t xml:space="preserve"> dle podmínek čl. 4.1.1 Smlouvy. Odstoupením od Smlouvy není dotčeno právo Pořadatele na náhradu škody vzniklé porušením těchto ustanovení. Umělec</w:t>
      </w:r>
      <w:r w:rsidR="00747E02" w:rsidRPr="002909BD">
        <w:t>ká agentura</w:t>
      </w:r>
      <w:r w:rsidRPr="002909BD">
        <w:t xml:space="preserve"> v takovém případě nahradí Pořadateli náklady vynaložené v souvislosti s pořádáním předmětného uměleckého vystoupení. Pořadateli nadto dále vzniká nárok na zaplacení smluvní poku</w:t>
      </w:r>
      <w:r w:rsidR="000F08C5" w:rsidRPr="002909BD">
        <w:t>ty ve výši</w:t>
      </w:r>
      <w:r w:rsidR="00747E02" w:rsidRPr="002909BD">
        <w:t xml:space="preserve"> 25</w:t>
      </w:r>
      <w:r w:rsidR="00DC1CFB" w:rsidRPr="002909BD">
        <w:t>.000,- Kč</w:t>
      </w:r>
      <w:r w:rsidR="00FF7AC9" w:rsidRPr="002909BD">
        <w:t xml:space="preserve"> + DPH</w:t>
      </w:r>
      <w:r w:rsidRPr="002909BD">
        <w:t xml:space="preserve">. Tato smluvní pokuta je splatná do 3 dnů ode dne smluveného data konání uměleckého vystoupení. </w:t>
      </w:r>
    </w:p>
    <w:p w:rsidR="00573D02" w:rsidRPr="002909BD" w:rsidRDefault="00573D02" w:rsidP="00573D02">
      <w:pPr>
        <w:pStyle w:val="StandardL2"/>
      </w:pPr>
      <w:r w:rsidRPr="002909BD">
        <w:lastRenderedPageBreak/>
        <w:t>Tato Smlouva zaniká a Smluvní strany vůči sobě nebudou mít žádné vzájemné nároky (s výjimkou dle následující věty) v případě, že kon</w:t>
      </w:r>
      <w:r w:rsidR="00747E02" w:rsidRPr="002909BD">
        <w:t>ání akce resp. vystoupení Umělců</w:t>
      </w:r>
      <w:r w:rsidRPr="002909BD">
        <w:t xml:space="preserve"> na akci bude zabráněno v důsledku nepředvídatelné nebo neodvratitelné události ležící mimo vliv Smluvních stran, např. v důsledku přírodní katastrofy, epidemie, úředního zákazu</w:t>
      </w:r>
      <w:r w:rsidR="00747E02" w:rsidRPr="002909BD">
        <w:t>, vážn</w:t>
      </w:r>
      <w:r w:rsidR="008233E1" w:rsidRPr="002909BD">
        <w:t>é nemoci nebo úrazu Umělce</w:t>
      </w:r>
      <w:r w:rsidRPr="002909BD">
        <w:t xml:space="preserve">. </w:t>
      </w:r>
    </w:p>
    <w:p w:rsidR="00573D02" w:rsidRPr="002909BD" w:rsidRDefault="00573D02" w:rsidP="00DC1CFB">
      <w:pPr>
        <w:pStyle w:val="StandardL3"/>
      </w:pPr>
      <w:r w:rsidRPr="002909BD">
        <w:t>Umělec</w:t>
      </w:r>
      <w:r w:rsidR="00AA503A" w:rsidRPr="002909BD">
        <w:t>ká agentura</w:t>
      </w:r>
      <w:r w:rsidRPr="002909BD">
        <w:t xml:space="preserve"> se nicméně zavazuje </w:t>
      </w:r>
      <w:r w:rsidR="00AA503A" w:rsidRPr="002909BD">
        <w:t xml:space="preserve">zajistit, že se Umělci zdrží </w:t>
      </w:r>
      <w:r w:rsidRPr="002909BD">
        <w:t xml:space="preserve"> před konáním vystoupení veškerého chování a aktivit, kter</w:t>
      </w:r>
      <w:r w:rsidR="00AA503A" w:rsidRPr="002909BD">
        <w:t>é by mohly vést ke zhoršení jejich</w:t>
      </w:r>
      <w:r w:rsidRPr="002909BD">
        <w:t xml:space="preserve"> zdravotního stavu či při kterých by si mohl</w:t>
      </w:r>
      <w:r w:rsidR="00AA503A" w:rsidRPr="002909BD">
        <w:t>i</w:t>
      </w:r>
      <w:r w:rsidRPr="002909BD">
        <w:t xml:space="preserve"> přivodit úraz a </w:t>
      </w:r>
      <w:r w:rsidR="00AA503A" w:rsidRPr="002909BD">
        <w:t>vystoupí i pokud budou</w:t>
      </w:r>
      <w:r w:rsidR="0043272C">
        <w:t xml:space="preserve"> </w:t>
      </w:r>
      <w:r w:rsidR="00AA503A" w:rsidRPr="002909BD">
        <w:t>po</w:t>
      </w:r>
      <w:r w:rsidRPr="002909BD">
        <w:t>stižen</w:t>
      </w:r>
      <w:r w:rsidR="00AA503A" w:rsidRPr="002909BD">
        <w:t>i</w:t>
      </w:r>
      <w:r w:rsidRPr="002909BD">
        <w:t xml:space="preserve"> lehčí zdravotní indispozicí, např. </w:t>
      </w:r>
      <w:r w:rsidR="00AA503A" w:rsidRPr="002909BD">
        <w:t>lehkým nachlazením.</w:t>
      </w:r>
    </w:p>
    <w:p w:rsidR="00573D02" w:rsidRPr="002909BD" w:rsidRDefault="00573D02" w:rsidP="00573D02">
      <w:pPr>
        <w:pStyle w:val="StandardL2"/>
        <w:numPr>
          <w:ilvl w:val="0"/>
          <w:numId w:val="2"/>
        </w:numPr>
      </w:pPr>
      <w:r w:rsidRPr="002909BD">
        <w:rPr>
          <w:b/>
        </w:rPr>
        <w:t>SANKCE</w:t>
      </w:r>
    </w:p>
    <w:p w:rsidR="00573D02" w:rsidRPr="002909BD" w:rsidRDefault="00573D02" w:rsidP="00573D02">
      <w:pPr>
        <w:pStyle w:val="StandardL2"/>
      </w:pPr>
      <w:r w:rsidRPr="002909BD">
        <w:t>V případě prodlení se zaplacením Odměny</w:t>
      </w:r>
      <w:r w:rsidR="00AA503A" w:rsidRPr="002909BD">
        <w:t xml:space="preserve"> dle čl. 3 Smlouvy náleží Umělecké agentuře</w:t>
      </w:r>
      <w:r w:rsidRPr="002909BD">
        <w:t xml:space="preserve"> nárok na smluvní pokutu ve výši 1% z neuhrazené části Odměny za každý byť jen započatý den prodlení. </w:t>
      </w:r>
    </w:p>
    <w:p w:rsidR="00573D02" w:rsidRPr="002909BD" w:rsidRDefault="00573D02" w:rsidP="00573D02">
      <w:pPr>
        <w:pStyle w:val="StandardL2"/>
      </w:pPr>
      <w:r w:rsidRPr="002909BD">
        <w:t>V případě porušení povinností stanovených v čl. 4.1.1, v případě neomluvené neúčasti na uměleckém vystoupení (no-show) či pozdním příchod</w:t>
      </w:r>
      <w:r w:rsidR="00FD4005" w:rsidRPr="002909BD">
        <w:t>u na</w:t>
      </w:r>
      <w:r w:rsidR="00AA503A" w:rsidRPr="002909BD">
        <w:t xml:space="preserve"> vystoupení dle Přílohy č. 1 </w:t>
      </w:r>
      <w:r w:rsidRPr="002909BD">
        <w:t xml:space="preserve">vzniká Pořadateli nárok na </w:t>
      </w:r>
      <w:r w:rsidR="00FD4005" w:rsidRPr="002909BD">
        <w:t>zaplacení smluvní pokuty ve výši</w:t>
      </w:r>
      <w:r w:rsidR="00C91638">
        <w:t>20</w:t>
      </w:r>
      <w:r w:rsidR="00DC1CFB" w:rsidRPr="002909BD">
        <w:t>.000,- Kč</w:t>
      </w:r>
      <w:r w:rsidR="00FF7AC9" w:rsidRPr="002909BD">
        <w:t xml:space="preserve"> + DPH</w:t>
      </w:r>
      <w:r w:rsidRPr="002909BD">
        <w:t>.</w:t>
      </w:r>
    </w:p>
    <w:p w:rsidR="00573D02" w:rsidRPr="002909BD" w:rsidRDefault="00573D02" w:rsidP="00573D02">
      <w:pPr>
        <w:pStyle w:val="StandardL2"/>
      </w:pPr>
      <w:r w:rsidRPr="002909BD">
        <w:t>Obě Smluvní strany tímto vyjadřují svůj souhlas s tím, že výše smluvních pokut dle předchozích odstavců je přiměřená s přihlédnutím k hodnotě a významu povinnosti, k níž se daná smluvní pokuta vztahuje.</w:t>
      </w:r>
    </w:p>
    <w:p w:rsidR="00573D02" w:rsidRPr="002909BD" w:rsidRDefault="00573D02" w:rsidP="00573D02">
      <w:pPr>
        <w:pStyle w:val="StandardL2"/>
      </w:pPr>
      <w:r w:rsidRPr="002909BD">
        <w:t>Zaplacení smluvní pokuty nezbavuje stranu, která porušila povinnost smluvní pokutou zajištěnou, povinnosti nahradit škodu, způsobenou takovým porušením. Strana, které má být smluvní pokuta zaplacena, se může domáhat náhrady škody přesahující výši smluvní pokuty v příslušném řízení před soudy.</w:t>
      </w:r>
    </w:p>
    <w:p w:rsidR="00AA503A" w:rsidRPr="002909BD" w:rsidRDefault="00AA503A" w:rsidP="00AA503A">
      <w:bookmarkStart w:id="0" w:name="__RefHeading__315_429245388"/>
      <w:bookmarkEnd w:id="0"/>
    </w:p>
    <w:p w:rsidR="00C92AA5" w:rsidRPr="002909BD" w:rsidRDefault="00DC1CFB" w:rsidP="00C92AA5">
      <w:pPr>
        <w:pStyle w:val="StandardL1"/>
        <w:rPr>
          <w:b w:val="0"/>
          <w:i/>
        </w:rPr>
      </w:pPr>
      <w:r w:rsidRPr="002909BD">
        <w:t>ZÁVĚREČNÁ USTANOVENÍ</w:t>
      </w:r>
    </w:p>
    <w:p w:rsidR="00D128A8" w:rsidRPr="002909BD" w:rsidRDefault="00573D02" w:rsidP="00F24F7B">
      <w:pPr>
        <w:pStyle w:val="StandardL2"/>
      </w:pPr>
      <w:r w:rsidRPr="002909BD">
        <w:t xml:space="preserve">Tato Smlouva se řídí českým právem. Není-li v této Smlouvě stanoveno jinak, řídí se právní vztahy mezi Smluvními stranami zákonem. </w:t>
      </w:r>
    </w:p>
    <w:p w:rsidR="00573D02" w:rsidRPr="002909BD" w:rsidRDefault="00573D02" w:rsidP="00573D02">
      <w:pPr>
        <w:pStyle w:val="StandardL2"/>
        <w:rPr>
          <w:rFonts w:cs="Arial"/>
        </w:rPr>
      </w:pPr>
      <w:r w:rsidRPr="002909BD">
        <w:rPr>
          <w:rFonts w:cs="Arial"/>
        </w:rPr>
        <w:t>Smluvní strany prohlašují, že při jednání o této Smlouvě měly rovné postavení a žádná z nich nejednala tak, jako by byla slabší smluvní stranou. Smluvní strany se navzájem ujišťují, že ujednání v této Smlouvě považují za učiněná v oboustranné dobré víře a v souladu s dobrými mravy.</w:t>
      </w:r>
    </w:p>
    <w:p w:rsidR="00C92AA5" w:rsidRPr="002909BD" w:rsidRDefault="00573D02" w:rsidP="00C92AA5">
      <w:pPr>
        <w:pStyle w:val="StandardL2"/>
      </w:pPr>
      <w:r w:rsidRPr="002909BD">
        <w:rPr>
          <w:rFonts w:cs="Arial"/>
        </w:rPr>
        <w:t xml:space="preserve">Tato smlouva </w:t>
      </w:r>
      <w:r w:rsidR="004277A3">
        <w:rPr>
          <w:rFonts w:cs="Arial"/>
        </w:rPr>
        <w:t>nabývá platnosti dnem podpisu S</w:t>
      </w:r>
      <w:bookmarkStart w:id="1" w:name="_GoBack"/>
      <w:bookmarkEnd w:id="1"/>
      <w:r w:rsidR="004277A3">
        <w:rPr>
          <w:rFonts w:cs="Arial"/>
        </w:rPr>
        <w:t>mluvních stran a účinnosti dnem zveřejnění v registru smluv.</w:t>
      </w:r>
    </w:p>
    <w:p w:rsidR="00573D02" w:rsidRPr="002909BD" w:rsidRDefault="00573D02" w:rsidP="00573D02">
      <w:pPr>
        <w:pStyle w:val="StandardL2"/>
        <w:rPr>
          <w:rFonts w:cs="Arial"/>
        </w:rPr>
      </w:pPr>
      <w:r w:rsidRPr="002909BD">
        <w:rPr>
          <w:rFonts w:cs="Arial"/>
        </w:rPr>
        <w:t xml:space="preserve">Veškeré změny nebo doplňky této Smlouvy je možné činit pouze ve formě písemného dodatku ke Smlouvě podepsané oběma Smluvními stranami, nestanoví-li tato Smlouva jinak. </w:t>
      </w:r>
    </w:p>
    <w:p w:rsidR="000768AE" w:rsidRPr="002909BD" w:rsidRDefault="00FD06C5" w:rsidP="00C92AA5">
      <w:pPr>
        <w:pStyle w:val="StandardL2"/>
      </w:pPr>
      <w:r w:rsidRPr="002909BD">
        <w:t xml:space="preserve">Smluvní strany se dohodly, že </w:t>
      </w:r>
      <w:r w:rsidRPr="002909BD">
        <w:rPr>
          <w:rStyle w:val="Siln"/>
          <w:rFonts w:ascii="Cambria" w:hAnsi="Cambria" w:cs="Lucida Sans Unicode"/>
          <w:b w:val="0"/>
          <w:bCs/>
          <w:iCs/>
          <w:sz w:val="24"/>
        </w:rPr>
        <w:t>jakékoli spory ohledně této smlouvy budou řešeny nejprve smírnou cestou. Pro případ soudního sporu jsou příslušné</w:t>
      </w:r>
      <w:r w:rsidRPr="002909BD">
        <w:rPr>
          <w:color w:val="000000"/>
        </w:rPr>
        <w:t>soudy České republiky.</w:t>
      </w:r>
    </w:p>
    <w:p w:rsidR="00573D02" w:rsidRPr="002909BD" w:rsidRDefault="00573D02" w:rsidP="00573D02">
      <w:pPr>
        <w:pStyle w:val="StandardL2"/>
        <w:rPr>
          <w:rFonts w:cs="Arial"/>
        </w:rPr>
      </w:pPr>
      <w:r w:rsidRPr="002909BD">
        <w:rPr>
          <w:rFonts w:cs="Arial"/>
        </w:rPr>
        <w:t>Nedílnou součást této Smlouvy tvoří:</w:t>
      </w:r>
    </w:p>
    <w:p w:rsidR="00573D02" w:rsidRPr="002909BD" w:rsidRDefault="00322AEE" w:rsidP="00573D02">
      <w:pPr>
        <w:pStyle w:val="StandardL2"/>
        <w:numPr>
          <w:ilvl w:val="2"/>
          <w:numId w:val="2"/>
        </w:numPr>
        <w:rPr>
          <w:rFonts w:cs="Arial"/>
        </w:rPr>
      </w:pPr>
      <w:r w:rsidRPr="002909BD">
        <w:rPr>
          <w:rFonts w:cs="Arial"/>
        </w:rPr>
        <w:t>Příloha č. 1</w:t>
      </w:r>
      <w:r w:rsidR="00573D02" w:rsidRPr="002909BD">
        <w:rPr>
          <w:rFonts w:cs="Arial"/>
        </w:rPr>
        <w:t xml:space="preserve"> – Specifikace uměleckého výkonu</w:t>
      </w:r>
    </w:p>
    <w:p w:rsidR="00513CA3" w:rsidRPr="002909BD" w:rsidRDefault="00573D02" w:rsidP="00496BC5">
      <w:pPr>
        <w:pStyle w:val="StandardL2"/>
        <w:rPr>
          <w:rFonts w:cs="Arial"/>
          <w:sz w:val="22"/>
          <w:szCs w:val="22"/>
        </w:rPr>
      </w:pPr>
      <w:r w:rsidRPr="002909BD">
        <w:rPr>
          <w:rFonts w:cs="Arial"/>
        </w:rPr>
        <w:lastRenderedPageBreak/>
        <w:t>Smluvní strany prohlašují, že tato Smlouva je projevem jejich skutečné, vážné a svobodné vůle prosté omylu. Smluvní strany dále prohlašují, že si tuto Smlouvu pečlivě přečetly a s jejím obsahem bezvýhradně souhlasí, na důkaz čehož připojují své vlastnoruční podpisy</w:t>
      </w:r>
      <w:r w:rsidRPr="002909BD">
        <w:rPr>
          <w:rFonts w:cs="Arial"/>
          <w:sz w:val="22"/>
          <w:szCs w:val="22"/>
        </w:rPr>
        <w:t>.</w:t>
      </w:r>
    </w:p>
    <w:p w:rsidR="00CA50AA" w:rsidRDefault="00CA50AA" w:rsidP="00DC1CFB">
      <w:pPr>
        <w:pStyle w:val="BodyText1"/>
        <w:ind w:left="0"/>
        <w:rPr>
          <w:b/>
        </w:rPr>
      </w:pPr>
    </w:p>
    <w:p w:rsidR="00CA50AA" w:rsidRDefault="00CA50AA" w:rsidP="00DC1CFB">
      <w:pPr>
        <w:pStyle w:val="BodyText1"/>
        <w:ind w:left="0"/>
        <w:rPr>
          <w:b/>
        </w:rPr>
      </w:pPr>
    </w:p>
    <w:p w:rsidR="00FD4005" w:rsidRPr="002909BD" w:rsidRDefault="00DC1CFB" w:rsidP="00DC1CFB">
      <w:pPr>
        <w:pStyle w:val="BodyText1"/>
        <w:ind w:left="0"/>
        <w:rPr>
          <w:i/>
          <w:lang w:val="en-GB"/>
        </w:rPr>
      </w:pPr>
      <w:r w:rsidRPr="002909BD">
        <w:rPr>
          <w:b/>
        </w:rPr>
        <w:t>PODEPSÁNO SMLUVNÍMI STRANAMI:</w:t>
      </w:r>
    </w:p>
    <w:p w:rsidR="000768AE" w:rsidRPr="002909BD" w:rsidRDefault="000768AE" w:rsidP="000768AE">
      <w:pPr>
        <w:pStyle w:val="Zkladntext21"/>
        <w:ind w:left="0"/>
      </w:pPr>
      <w:r w:rsidRPr="002909BD">
        <w:rPr>
          <w:rFonts w:cs="Cambria"/>
          <w:b/>
        </w:rPr>
        <w:t>ZA POŘADATELE</w:t>
      </w:r>
      <w:r w:rsidR="006B461B" w:rsidRPr="002909BD">
        <w:rPr>
          <w:rFonts w:cs="Cambria"/>
          <w:b/>
        </w:rPr>
        <w:t>:</w:t>
      </w:r>
    </w:p>
    <w:p w:rsidR="00496BC5" w:rsidRPr="002909BD" w:rsidRDefault="00496BC5" w:rsidP="00B02348">
      <w:pPr>
        <w:pStyle w:val="Zkladntext21"/>
        <w:ind w:left="0"/>
      </w:pPr>
    </w:p>
    <w:p w:rsidR="006B461B" w:rsidRPr="002909BD" w:rsidRDefault="006B461B" w:rsidP="00B02348">
      <w:pPr>
        <w:pStyle w:val="Zkladntext21"/>
        <w:ind w:left="0"/>
      </w:pPr>
    </w:p>
    <w:p w:rsidR="000768AE" w:rsidRPr="002909BD" w:rsidRDefault="000768AE" w:rsidP="00B02348">
      <w:pPr>
        <w:pStyle w:val="Zkladntext21"/>
        <w:ind w:left="0"/>
      </w:pPr>
      <w:r w:rsidRPr="002909BD">
        <w:rPr>
          <w:rFonts w:cs="Cambria"/>
        </w:rPr>
        <w:t>_______________________________</w:t>
      </w:r>
      <w:r w:rsidR="00B02348" w:rsidRPr="002909BD">
        <w:rPr>
          <w:rFonts w:cs="Cambria"/>
        </w:rPr>
        <w:t>_</w:t>
      </w:r>
    </w:p>
    <w:p w:rsidR="000E12F9" w:rsidRDefault="000E12F9" w:rsidP="00B02348">
      <w:pPr>
        <w:pStyle w:val="Zkladntext21"/>
        <w:ind w:left="0"/>
        <w:rPr>
          <w:rFonts w:cs="Cambria"/>
          <w:b/>
        </w:rPr>
      </w:pPr>
      <w:r>
        <w:rPr>
          <w:rFonts w:cs="Cambria"/>
          <w:b/>
        </w:rPr>
        <w:t>Mgr. Linda Rybáková</w:t>
      </w:r>
    </w:p>
    <w:p w:rsidR="000768AE" w:rsidRPr="002909BD" w:rsidRDefault="000E12F9" w:rsidP="00B02348">
      <w:pPr>
        <w:pStyle w:val="Zkladntext21"/>
        <w:ind w:left="0"/>
        <w:rPr>
          <w:b/>
        </w:rPr>
      </w:pPr>
      <w:r>
        <w:rPr>
          <w:rFonts w:cs="Cambria"/>
          <w:b/>
        </w:rPr>
        <w:t>Divadlo Oskara Nedbala Tábor</w:t>
      </w:r>
      <w:r w:rsidR="00491845" w:rsidRPr="002909BD">
        <w:rPr>
          <w:b/>
        </w:rPr>
        <w:tab/>
      </w:r>
      <w:r w:rsidR="00B02348" w:rsidRPr="002909BD">
        <w:rPr>
          <w:b/>
        </w:rPr>
        <w:tab/>
      </w:r>
      <w:r w:rsidR="00B02348" w:rsidRPr="002909BD">
        <w:rPr>
          <w:b/>
        </w:rPr>
        <w:tab/>
      </w:r>
    </w:p>
    <w:p w:rsidR="00496BC5" w:rsidRDefault="00496BC5" w:rsidP="000768AE">
      <w:pPr>
        <w:pStyle w:val="Zkladntext21"/>
        <w:ind w:left="0"/>
        <w:rPr>
          <w:rFonts w:cs="Cambria"/>
          <w:b/>
        </w:rPr>
      </w:pPr>
    </w:p>
    <w:p w:rsidR="00CA50AA" w:rsidRPr="002909BD" w:rsidRDefault="00CA50AA" w:rsidP="000768AE">
      <w:pPr>
        <w:pStyle w:val="Zkladntext21"/>
        <w:ind w:left="0"/>
        <w:rPr>
          <w:rFonts w:cs="Cambria"/>
          <w:b/>
        </w:rPr>
      </w:pPr>
    </w:p>
    <w:p w:rsidR="00FD4005" w:rsidRPr="002909BD" w:rsidRDefault="00322AEE" w:rsidP="000768AE">
      <w:pPr>
        <w:pStyle w:val="Zkladntext21"/>
        <w:ind w:left="0"/>
        <w:rPr>
          <w:i/>
        </w:rPr>
      </w:pPr>
      <w:r w:rsidRPr="002909BD">
        <w:rPr>
          <w:rFonts w:cs="Cambria"/>
          <w:b/>
        </w:rPr>
        <w:t>ZA UMĚL</w:t>
      </w:r>
      <w:r w:rsidR="00E141BF">
        <w:rPr>
          <w:rFonts w:cs="Cambria"/>
          <w:b/>
        </w:rPr>
        <w:t>E</w:t>
      </w:r>
      <w:r w:rsidRPr="002909BD">
        <w:rPr>
          <w:rFonts w:cs="Cambria"/>
          <w:b/>
        </w:rPr>
        <w:t>CKOU AGENTURU</w:t>
      </w:r>
      <w:r w:rsidR="006B461B" w:rsidRPr="002909BD">
        <w:rPr>
          <w:rFonts w:cs="Cambria"/>
          <w:b/>
        </w:rPr>
        <w:t>:</w:t>
      </w:r>
    </w:p>
    <w:p w:rsidR="00FD4005" w:rsidRPr="002909BD" w:rsidRDefault="00FD4005" w:rsidP="000768AE">
      <w:pPr>
        <w:pStyle w:val="Zkladntext21"/>
        <w:ind w:left="0"/>
        <w:rPr>
          <w:i/>
        </w:rPr>
      </w:pPr>
    </w:p>
    <w:p w:rsidR="000768AE" w:rsidRPr="002909BD" w:rsidRDefault="000768AE" w:rsidP="000768AE">
      <w:pPr>
        <w:pStyle w:val="Zkladntext21"/>
        <w:ind w:left="0"/>
      </w:pPr>
    </w:p>
    <w:p w:rsidR="00322AEE" w:rsidRPr="002909BD" w:rsidRDefault="00322AEE" w:rsidP="00322AEE">
      <w:pPr>
        <w:pStyle w:val="Zkladntext21"/>
        <w:ind w:left="0"/>
      </w:pPr>
      <w:r w:rsidRPr="002909BD">
        <w:rPr>
          <w:rFonts w:cs="Cambria"/>
        </w:rPr>
        <w:t>_________________________________________________________________</w:t>
      </w:r>
    </w:p>
    <w:p w:rsidR="00322AEE" w:rsidRPr="002909BD" w:rsidRDefault="00322AEE" w:rsidP="00322AEE">
      <w:pPr>
        <w:pStyle w:val="Zkladntext21"/>
        <w:ind w:left="0"/>
        <w:rPr>
          <w:b/>
        </w:rPr>
      </w:pPr>
      <w:r w:rsidRPr="002909BD">
        <w:rPr>
          <w:rFonts w:cs="Cambria"/>
          <w:b/>
        </w:rPr>
        <w:t>Jan Smigmator</w:t>
      </w:r>
      <w:r w:rsidRPr="002909BD">
        <w:rPr>
          <w:b/>
        </w:rPr>
        <w:tab/>
      </w:r>
      <w:r w:rsidRPr="002909BD">
        <w:rPr>
          <w:b/>
        </w:rPr>
        <w:tab/>
        <w:t xml:space="preserve">          Mgr. Jakub Teplý</w:t>
      </w:r>
      <w:r w:rsidRPr="002909BD">
        <w:rPr>
          <w:b/>
        </w:rPr>
        <w:tab/>
      </w:r>
      <w:r w:rsidRPr="002909BD">
        <w:rPr>
          <w:b/>
        </w:rPr>
        <w:tab/>
      </w:r>
    </w:p>
    <w:p w:rsidR="00322AEE" w:rsidRPr="002909BD" w:rsidRDefault="00322AEE" w:rsidP="00322AEE">
      <w:pPr>
        <w:pStyle w:val="Zkladntext21"/>
        <w:ind w:left="0"/>
      </w:pPr>
      <w:r w:rsidRPr="002909BD">
        <w:t>Jednatel</w:t>
      </w:r>
      <w:r w:rsidRPr="002909BD">
        <w:tab/>
      </w:r>
      <w:r w:rsidRPr="002909BD">
        <w:tab/>
      </w:r>
      <w:r w:rsidRPr="002909BD">
        <w:tab/>
        <w:t xml:space="preserve">          Jednatel </w:t>
      </w:r>
    </w:p>
    <w:p w:rsidR="002743EE" w:rsidRDefault="002743EE" w:rsidP="005626FB">
      <w:pPr>
        <w:pStyle w:val="Zkladntext21"/>
        <w:ind w:left="0"/>
        <w:jc w:val="left"/>
        <w:rPr>
          <w:b/>
        </w:rPr>
      </w:pPr>
    </w:p>
    <w:p w:rsidR="00CA50AA" w:rsidRDefault="00CA50AA" w:rsidP="005626FB">
      <w:pPr>
        <w:pStyle w:val="Zkladntext21"/>
        <w:ind w:left="0"/>
        <w:jc w:val="left"/>
        <w:rPr>
          <w:b/>
        </w:rPr>
      </w:pPr>
    </w:p>
    <w:p w:rsidR="00CA50AA" w:rsidRDefault="00CA50AA" w:rsidP="005626FB">
      <w:pPr>
        <w:pStyle w:val="Zkladntext21"/>
        <w:ind w:left="0"/>
        <w:jc w:val="left"/>
        <w:rPr>
          <w:b/>
        </w:rPr>
      </w:pPr>
    </w:p>
    <w:p w:rsidR="00CA50AA" w:rsidRDefault="00CA50AA" w:rsidP="005626FB">
      <w:pPr>
        <w:pStyle w:val="Zkladntext21"/>
        <w:ind w:left="0"/>
        <w:jc w:val="left"/>
        <w:rPr>
          <w:b/>
        </w:rPr>
      </w:pPr>
    </w:p>
    <w:p w:rsidR="00CA50AA" w:rsidRDefault="00CA50AA" w:rsidP="005626FB">
      <w:pPr>
        <w:pStyle w:val="Zkladntext21"/>
        <w:ind w:left="0"/>
        <w:jc w:val="left"/>
        <w:rPr>
          <w:b/>
        </w:rPr>
      </w:pPr>
    </w:p>
    <w:p w:rsidR="00CA50AA" w:rsidRDefault="00CA50AA" w:rsidP="005626FB">
      <w:pPr>
        <w:pStyle w:val="Zkladntext21"/>
        <w:ind w:left="0"/>
        <w:jc w:val="left"/>
        <w:rPr>
          <w:b/>
        </w:rPr>
      </w:pPr>
    </w:p>
    <w:p w:rsidR="00CA50AA" w:rsidRDefault="00CA50AA" w:rsidP="005626FB">
      <w:pPr>
        <w:pStyle w:val="Zkladntext21"/>
        <w:ind w:left="0"/>
        <w:jc w:val="left"/>
        <w:rPr>
          <w:b/>
        </w:rPr>
      </w:pPr>
    </w:p>
    <w:p w:rsidR="00CA50AA" w:rsidRDefault="00CA50AA" w:rsidP="005626FB">
      <w:pPr>
        <w:pStyle w:val="Zkladntext21"/>
        <w:ind w:left="0"/>
        <w:jc w:val="left"/>
        <w:rPr>
          <w:b/>
        </w:rPr>
      </w:pPr>
    </w:p>
    <w:p w:rsidR="00CA50AA" w:rsidRDefault="00CA50AA" w:rsidP="005626FB">
      <w:pPr>
        <w:pStyle w:val="Zkladntext21"/>
        <w:ind w:left="0"/>
        <w:jc w:val="left"/>
        <w:rPr>
          <w:b/>
        </w:rPr>
      </w:pPr>
    </w:p>
    <w:p w:rsidR="00CA50AA" w:rsidRPr="002909BD" w:rsidRDefault="00CA50AA" w:rsidP="005626FB">
      <w:pPr>
        <w:pStyle w:val="Zkladntext21"/>
        <w:ind w:left="0"/>
        <w:jc w:val="left"/>
        <w:rPr>
          <w:b/>
        </w:rPr>
      </w:pPr>
    </w:p>
    <w:p w:rsidR="000768AE" w:rsidRPr="002909BD" w:rsidRDefault="000768AE" w:rsidP="000768AE">
      <w:pPr>
        <w:pStyle w:val="Zkladntext21"/>
        <w:ind w:left="0"/>
        <w:jc w:val="center"/>
        <w:rPr>
          <w:rFonts w:cs="Cambria"/>
          <w:b/>
        </w:rPr>
      </w:pPr>
      <w:r w:rsidRPr="002909BD">
        <w:rPr>
          <w:rFonts w:cs="Cambria"/>
          <w:b/>
        </w:rPr>
        <w:t xml:space="preserve">PŘÍLOHA Č. 1  - SPECIFIKACE UMĚLECKÉHO VÝKONU </w:t>
      </w:r>
    </w:p>
    <w:p w:rsidR="000768AE" w:rsidRPr="002909BD" w:rsidRDefault="000768AE" w:rsidP="000768AE">
      <w:pPr>
        <w:pStyle w:val="Zkladntext21"/>
        <w:ind w:left="0"/>
        <w:jc w:val="center"/>
        <w:rPr>
          <w:b/>
        </w:rPr>
      </w:pPr>
      <w:r w:rsidRPr="002909BD">
        <w:rPr>
          <w:rFonts w:cs="Cambria"/>
          <w:b/>
        </w:rPr>
        <w:t>KE SMLOUVĚ O PROVEDENÍ U</w:t>
      </w:r>
      <w:r w:rsidR="005626FB" w:rsidRPr="002909BD">
        <w:rPr>
          <w:rFonts w:cs="Cambria"/>
          <w:b/>
        </w:rPr>
        <w:t xml:space="preserve">MĚLECKÉHO VÝKONU UZAVŘENÉ MEZI </w:t>
      </w:r>
      <w:r w:rsidR="00CA50AA">
        <w:rPr>
          <w:rFonts w:cs="Cambria"/>
          <w:b/>
        </w:rPr>
        <w:t>DIVADLEM OSKARA NEDBALA TÁBOR</w:t>
      </w:r>
      <w:r w:rsidR="00322AEE" w:rsidRPr="002909BD">
        <w:rPr>
          <w:rFonts w:cs="Cambria"/>
          <w:b/>
        </w:rPr>
        <w:t xml:space="preserve"> A </w:t>
      </w:r>
      <w:r w:rsidR="005626FB" w:rsidRPr="002909BD">
        <w:rPr>
          <w:rFonts w:cs="Cambria"/>
          <w:b/>
        </w:rPr>
        <w:t xml:space="preserve">ARATANIS ENTERTAINMENT, S.R.O. </w:t>
      </w:r>
    </w:p>
    <w:p w:rsidR="000768AE" w:rsidRPr="002909BD" w:rsidRDefault="000768AE" w:rsidP="002743EE">
      <w:pPr>
        <w:pStyle w:val="Zkladntext21"/>
        <w:ind w:left="0"/>
        <w:jc w:val="cente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3"/>
        <w:gridCol w:w="6048"/>
      </w:tblGrid>
      <w:tr w:rsidR="000768AE" w:rsidRPr="002909BD" w:rsidTr="006003D8">
        <w:trPr>
          <w:jc w:val="center"/>
        </w:trPr>
        <w:tc>
          <w:tcPr>
            <w:tcW w:w="2883" w:type="dxa"/>
            <w:shd w:val="clear" w:color="auto" w:fill="auto"/>
            <w:vAlign w:val="center"/>
          </w:tcPr>
          <w:p w:rsidR="000768AE" w:rsidRPr="002909BD" w:rsidRDefault="000768AE" w:rsidP="00DC1CFB">
            <w:pPr>
              <w:pStyle w:val="Zkladntext21"/>
              <w:ind w:left="0"/>
              <w:jc w:val="right"/>
              <w:rPr>
                <w:rFonts w:cs="Cambria"/>
              </w:rPr>
            </w:pPr>
            <w:r w:rsidRPr="002909BD">
              <w:rPr>
                <w:rFonts w:cs="Cambria"/>
              </w:rPr>
              <w:t>Název uměleckého vystoupení</w:t>
            </w:r>
          </w:p>
        </w:tc>
        <w:tc>
          <w:tcPr>
            <w:tcW w:w="6048" w:type="dxa"/>
            <w:shd w:val="clear" w:color="auto" w:fill="auto"/>
            <w:vAlign w:val="center"/>
          </w:tcPr>
          <w:p w:rsidR="000768AE" w:rsidRPr="002909BD" w:rsidRDefault="00322AEE" w:rsidP="0028591E">
            <w:pPr>
              <w:pStyle w:val="Zkladntext21"/>
              <w:ind w:left="0"/>
              <w:jc w:val="right"/>
            </w:pPr>
            <w:r w:rsidRPr="002909BD">
              <w:rPr>
                <w:rFonts w:cs="Cambria"/>
              </w:rPr>
              <w:t>Swingové Vánoce 2017</w:t>
            </w:r>
            <w:r w:rsidR="009F3179">
              <w:rPr>
                <w:rFonts w:cs="Cambria"/>
              </w:rPr>
              <w:t xml:space="preserve"> (Jan Smigmator, Dasha,  Felix Slováček &amp; RTV Big Band)</w:t>
            </w:r>
          </w:p>
        </w:tc>
      </w:tr>
      <w:tr w:rsidR="005626FB" w:rsidRPr="002909BD" w:rsidTr="006003D8">
        <w:trPr>
          <w:jc w:val="center"/>
        </w:trPr>
        <w:tc>
          <w:tcPr>
            <w:tcW w:w="2883" w:type="dxa"/>
            <w:shd w:val="clear" w:color="auto" w:fill="auto"/>
            <w:vAlign w:val="center"/>
          </w:tcPr>
          <w:p w:rsidR="005626FB" w:rsidRPr="002909BD" w:rsidRDefault="005626FB" w:rsidP="00DC1CFB">
            <w:pPr>
              <w:pStyle w:val="Zkladntext21"/>
              <w:ind w:left="0"/>
              <w:jc w:val="right"/>
              <w:rPr>
                <w:rFonts w:cs="Cambria"/>
              </w:rPr>
            </w:pPr>
            <w:r w:rsidRPr="002909BD">
              <w:rPr>
                <w:rFonts w:cs="Cambria"/>
              </w:rPr>
              <w:t>Místo konání</w:t>
            </w:r>
          </w:p>
        </w:tc>
        <w:tc>
          <w:tcPr>
            <w:tcW w:w="6048" w:type="dxa"/>
            <w:shd w:val="clear" w:color="auto" w:fill="auto"/>
            <w:vAlign w:val="center"/>
          </w:tcPr>
          <w:p w:rsidR="005626FB" w:rsidRPr="002909BD" w:rsidRDefault="00CA50AA" w:rsidP="0028591E">
            <w:pPr>
              <w:pStyle w:val="Zkladntext21"/>
              <w:ind w:left="0"/>
              <w:jc w:val="right"/>
            </w:pPr>
            <w:r>
              <w:t>Divadlo Oskara Nedbala Tábor, Tábor</w:t>
            </w:r>
          </w:p>
        </w:tc>
      </w:tr>
      <w:tr w:rsidR="000768AE" w:rsidRPr="002909BD" w:rsidTr="006003D8">
        <w:trPr>
          <w:jc w:val="center"/>
        </w:trPr>
        <w:tc>
          <w:tcPr>
            <w:tcW w:w="2883" w:type="dxa"/>
            <w:shd w:val="clear" w:color="auto" w:fill="auto"/>
            <w:vAlign w:val="center"/>
          </w:tcPr>
          <w:p w:rsidR="000768AE" w:rsidRPr="002909BD" w:rsidRDefault="000768AE" w:rsidP="00DC1CFB">
            <w:pPr>
              <w:pStyle w:val="Zkladntext21"/>
              <w:ind w:left="0"/>
              <w:jc w:val="right"/>
              <w:rPr>
                <w:rFonts w:cs="Cambria"/>
              </w:rPr>
            </w:pPr>
            <w:r w:rsidRPr="002909BD">
              <w:rPr>
                <w:rFonts w:cs="Cambria"/>
              </w:rPr>
              <w:t>Datum konání</w:t>
            </w:r>
          </w:p>
        </w:tc>
        <w:tc>
          <w:tcPr>
            <w:tcW w:w="6048" w:type="dxa"/>
            <w:shd w:val="clear" w:color="auto" w:fill="auto"/>
            <w:vAlign w:val="center"/>
          </w:tcPr>
          <w:p w:rsidR="000768AE" w:rsidRPr="002909BD" w:rsidRDefault="00CA50AA" w:rsidP="00D7566D">
            <w:pPr>
              <w:pStyle w:val="Zkladntext21"/>
              <w:ind w:left="0"/>
              <w:jc w:val="right"/>
            </w:pPr>
            <w:r>
              <w:t>15</w:t>
            </w:r>
            <w:r w:rsidR="00322AEE" w:rsidRPr="002909BD">
              <w:t>.12.2017</w:t>
            </w:r>
          </w:p>
        </w:tc>
      </w:tr>
      <w:tr w:rsidR="000768AE" w:rsidRPr="002909BD" w:rsidTr="006003D8">
        <w:trPr>
          <w:jc w:val="center"/>
        </w:trPr>
        <w:tc>
          <w:tcPr>
            <w:tcW w:w="2883" w:type="dxa"/>
            <w:shd w:val="clear" w:color="auto" w:fill="auto"/>
            <w:vAlign w:val="center"/>
          </w:tcPr>
          <w:p w:rsidR="000768AE" w:rsidRPr="002909BD" w:rsidRDefault="000768AE" w:rsidP="00DC1CFB">
            <w:pPr>
              <w:pStyle w:val="Zkladntext21"/>
              <w:ind w:left="0"/>
              <w:jc w:val="right"/>
              <w:rPr>
                <w:rFonts w:cs="Cambria"/>
              </w:rPr>
            </w:pPr>
            <w:r w:rsidRPr="002909BD">
              <w:rPr>
                <w:rFonts w:cs="Cambria"/>
              </w:rPr>
              <w:t>Začátek koncertu</w:t>
            </w:r>
          </w:p>
        </w:tc>
        <w:tc>
          <w:tcPr>
            <w:tcW w:w="6048" w:type="dxa"/>
            <w:shd w:val="clear" w:color="auto" w:fill="auto"/>
            <w:vAlign w:val="center"/>
          </w:tcPr>
          <w:p w:rsidR="000768AE" w:rsidRPr="002909BD" w:rsidRDefault="00185A95" w:rsidP="006003D8">
            <w:pPr>
              <w:pStyle w:val="Zkladntext21"/>
              <w:ind w:left="0"/>
              <w:jc w:val="right"/>
            </w:pPr>
            <w:r>
              <w:rPr>
                <w:rFonts w:cs="Cambria"/>
              </w:rPr>
              <w:t>19:0</w:t>
            </w:r>
            <w:r w:rsidR="005626FB" w:rsidRPr="002909BD">
              <w:rPr>
                <w:rFonts w:cs="Cambria"/>
              </w:rPr>
              <w:t>0</w:t>
            </w:r>
          </w:p>
        </w:tc>
      </w:tr>
      <w:tr w:rsidR="000768AE" w:rsidRPr="002909BD" w:rsidTr="006003D8">
        <w:trPr>
          <w:jc w:val="center"/>
        </w:trPr>
        <w:tc>
          <w:tcPr>
            <w:tcW w:w="2883" w:type="dxa"/>
            <w:shd w:val="clear" w:color="auto" w:fill="auto"/>
            <w:vAlign w:val="center"/>
          </w:tcPr>
          <w:p w:rsidR="000768AE" w:rsidRPr="002909BD" w:rsidRDefault="000768AE" w:rsidP="00DC1CFB">
            <w:pPr>
              <w:pStyle w:val="Zkladntext21"/>
              <w:ind w:left="0"/>
              <w:jc w:val="right"/>
              <w:rPr>
                <w:rFonts w:cs="Cambria"/>
              </w:rPr>
            </w:pPr>
            <w:r w:rsidRPr="002909BD">
              <w:rPr>
                <w:rFonts w:cs="Cambria"/>
              </w:rPr>
              <w:t>Příjezd Umělce na Místo konání</w:t>
            </w:r>
          </w:p>
        </w:tc>
        <w:tc>
          <w:tcPr>
            <w:tcW w:w="6048" w:type="dxa"/>
            <w:shd w:val="clear" w:color="auto" w:fill="auto"/>
            <w:vAlign w:val="center"/>
          </w:tcPr>
          <w:p w:rsidR="000768AE" w:rsidRPr="002909BD" w:rsidRDefault="00D3403A" w:rsidP="00984695">
            <w:pPr>
              <w:pStyle w:val="Zkladntext21"/>
              <w:ind w:left="0"/>
              <w:jc w:val="right"/>
            </w:pPr>
            <w:r>
              <w:t>15:3</w:t>
            </w:r>
            <w:r w:rsidR="00D7566D" w:rsidRPr="002909BD">
              <w:t xml:space="preserve">0 </w:t>
            </w:r>
          </w:p>
          <w:p w:rsidR="00984695" w:rsidRPr="002909BD" w:rsidRDefault="00984695" w:rsidP="00984695">
            <w:pPr>
              <w:pStyle w:val="Zkladntext21"/>
              <w:ind w:left="0"/>
              <w:jc w:val="right"/>
            </w:pPr>
          </w:p>
        </w:tc>
      </w:tr>
      <w:tr w:rsidR="00FF7AC9" w:rsidRPr="002909BD" w:rsidTr="006003D8">
        <w:trPr>
          <w:jc w:val="center"/>
        </w:trPr>
        <w:tc>
          <w:tcPr>
            <w:tcW w:w="2883" w:type="dxa"/>
            <w:shd w:val="clear" w:color="auto" w:fill="auto"/>
            <w:vAlign w:val="center"/>
          </w:tcPr>
          <w:p w:rsidR="00FF7AC9" w:rsidRPr="002909BD" w:rsidRDefault="00FF7AC9" w:rsidP="00DC1CFB">
            <w:pPr>
              <w:pStyle w:val="Zkladntext21"/>
              <w:ind w:left="0"/>
              <w:jc w:val="right"/>
            </w:pPr>
            <w:r w:rsidRPr="002909BD">
              <w:t>Doprava</w:t>
            </w:r>
          </w:p>
        </w:tc>
        <w:tc>
          <w:tcPr>
            <w:tcW w:w="6048" w:type="dxa"/>
            <w:shd w:val="clear" w:color="auto" w:fill="auto"/>
            <w:vAlign w:val="center"/>
          </w:tcPr>
          <w:p w:rsidR="00FF7AC9" w:rsidRPr="002909BD" w:rsidRDefault="00322AEE" w:rsidP="00984695">
            <w:pPr>
              <w:pStyle w:val="Zkladntext21"/>
              <w:ind w:left="0"/>
              <w:jc w:val="right"/>
            </w:pPr>
            <w:r w:rsidRPr="002909BD">
              <w:t>Ano, autobus (zajišťuje Umělecká agentura)</w:t>
            </w:r>
          </w:p>
        </w:tc>
      </w:tr>
      <w:tr w:rsidR="000768AE" w:rsidRPr="002909BD" w:rsidTr="006003D8">
        <w:trPr>
          <w:jc w:val="center"/>
        </w:trPr>
        <w:tc>
          <w:tcPr>
            <w:tcW w:w="2883" w:type="dxa"/>
            <w:shd w:val="clear" w:color="auto" w:fill="auto"/>
            <w:vAlign w:val="center"/>
          </w:tcPr>
          <w:p w:rsidR="000768AE" w:rsidRPr="002909BD" w:rsidRDefault="000768AE" w:rsidP="00DC1CFB">
            <w:pPr>
              <w:pStyle w:val="Zkladntext21"/>
              <w:ind w:left="0"/>
              <w:jc w:val="right"/>
              <w:rPr>
                <w:rFonts w:cs="Cambria"/>
              </w:rPr>
            </w:pPr>
            <w:r w:rsidRPr="002909BD">
              <w:rPr>
                <w:rFonts w:cs="Cambria"/>
              </w:rPr>
              <w:t>Zvuková zkouška</w:t>
            </w:r>
          </w:p>
        </w:tc>
        <w:tc>
          <w:tcPr>
            <w:tcW w:w="6048" w:type="dxa"/>
            <w:shd w:val="clear" w:color="auto" w:fill="auto"/>
            <w:vAlign w:val="center"/>
          </w:tcPr>
          <w:p w:rsidR="000768AE" w:rsidRPr="002909BD" w:rsidRDefault="006003D8" w:rsidP="006003D8">
            <w:pPr>
              <w:pStyle w:val="Zkladntext21"/>
              <w:ind w:left="0"/>
              <w:jc w:val="right"/>
            </w:pPr>
            <w:r>
              <w:rPr>
                <w:rFonts w:cs="Cambria"/>
              </w:rPr>
              <w:t>16:3</w:t>
            </w:r>
            <w:r w:rsidR="00984695" w:rsidRPr="002909BD">
              <w:rPr>
                <w:rFonts w:cs="Cambria"/>
              </w:rPr>
              <w:t>0 (</w:t>
            </w:r>
            <w:r>
              <w:rPr>
                <w:rFonts w:cs="Cambria"/>
              </w:rPr>
              <w:t>nebo dle domluvy)</w:t>
            </w:r>
          </w:p>
        </w:tc>
      </w:tr>
      <w:tr w:rsidR="000768AE" w:rsidRPr="002909BD" w:rsidTr="006003D8">
        <w:trPr>
          <w:jc w:val="center"/>
        </w:trPr>
        <w:tc>
          <w:tcPr>
            <w:tcW w:w="2883" w:type="dxa"/>
            <w:shd w:val="clear" w:color="auto" w:fill="auto"/>
            <w:vAlign w:val="center"/>
          </w:tcPr>
          <w:p w:rsidR="000768AE" w:rsidRPr="002909BD" w:rsidRDefault="000768AE" w:rsidP="00DC1CFB">
            <w:pPr>
              <w:pStyle w:val="Zkladntext21"/>
              <w:ind w:left="0"/>
              <w:jc w:val="right"/>
              <w:rPr>
                <w:rFonts w:cs="Cambria"/>
              </w:rPr>
            </w:pPr>
            <w:r w:rsidRPr="002909BD">
              <w:rPr>
                <w:rFonts w:cs="Cambria"/>
              </w:rPr>
              <w:t>Program vystoupení</w:t>
            </w:r>
          </w:p>
        </w:tc>
        <w:tc>
          <w:tcPr>
            <w:tcW w:w="6048" w:type="dxa"/>
            <w:shd w:val="clear" w:color="auto" w:fill="auto"/>
            <w:vAlign w:val="center"/>
          </w:tcPr>
          <w:p w:rsidR="000768AE" w:rsidRPr="002909BD" w:rsidRDefault="00322AEE" w:rsidP="0028591E">
            <w:pPr>
              <w:pStyle w:val="Zkladntext21"/>
              <w:ind w:left="0"/>
              <w:jc w:val="right"/>
            </w:pPr>
            <w:r w:rsidRPr="002909BD">
              <w:t>Swingové a vánoční evergreeny</w:t>
            </w:r>
          </w:p>
        </w:tc>
      </w:tr>
      <w:tr w:rsidR="000768AE" w:rsidRPr="002909BD" w:rsidTr="006003D8">
        <w:trPr>
          <w:jc w:val="center"/>
        </w:trPr>
        <w:tc>
          <w:tcPr>
            <w:tcW w:w="2883" w:type="dxa"/>
            <w:shd w:val="clear" w:color="auto" w:fill="auto"/>
            <w:vAlign w:val="center"/>
          </w:tcPr>
          <w:p w:rsidR="000768AE" w:rsidRPr="002909BD" w:rsidRDefault="000768AE" w:rsidP="00DC1CFB">
            <w:pPr>
              <w:pStyle w:val="Zkladntext21"/>
              <w:ind w:left="0"/>
              <w:jc w:val="right"/>
              <w:rPr>
                <w:rFonts w:cs="Cambria"/>
              </w:rPr>
            </w:pPr>
            <w:r w:rsidRPr="002909BD">
              <w:rPr>
                <w:rFonts w:cs="Cambria"/>
              </w:rPr>
              <w:t>Autogramiáda</w:t>
            </w:r>
          </w:p>
        </w:tc>
        <w:tc>
          <w:tcPr>
            <w:tcW w:w="6048" w:type="dxa"/>
            <w:shd w:val="clear" w:color="auto" w:fill="auto"/>
            <w:vAlign w:val="center"/>
          </w:tcPr>
          <w:p w:rsidR="000768AE" w:rsidRPr="002909BD" w:rsidRDefault="00984695" w:rsidP="00DC1CFB">
            <w:pPr>
              <w:pStyle w:val="Zkladntext21"/>
              <w:ind w:left="0"/>
              <w:jc w:val="right"/>
              <w:rPr>
                <w:rFonts w:cs="Cambria"/>
              </w:rPr>
            </w:pPr>
            <w:r w:rsidRPr="002909BD">
              <w:rPr>
                <w:rFonts w:cs="Cambria"/>
              </w:rPr>
              <w:t>Ano</w:t>
            </w:r>
          </w:p>
        </w:tc>
      </w:tr>
      <w:tr w:rsidR="000768AE" w:rsidRPr="002909BD" w:rsidTr="006003D8">
        <w:trPr>
          <w:jc w:val="center"/>
        </w:trPr>
        <w:tc>
          <w:tcPr>
            <w:tcW w:w="2883" w:type="dxa"/>
            <w:shd w:val="clear" w:color="auto" w:fill="auto"/>
            <w:vAlign w:val="center"/>
          </w:tcPr>
          <w:p w:rsidR="000768AE" w:rsidRPr="002909BD" w:rsidRDefault="000768AE" w:rsidP="00DC1CFB">
            <w:pPr>
              <w:pStyle w:val="Zkladntext21"/>
              <w:ind w:left="0"/>
              <w:jc w:val="right"/>
              <w:rPr>
                <w:rFonts w:cs="Cambria"/>
              </w:rPr>
            </w:pPr>
            <w:r w:rsidRPr="002909BD">
              <w:rPr>
                <w:rFonts w:cs="Cambria"/>
              </w:rPr>
              <w:t>Předepsané oblečení pro Umělce</w:t>
            </w:r>
          </w:p>
        </w:tc>
        <w:tc>
          <w:tcPr>
            <w:tcW w:w="6048" w:type="dxa"/>
            <w:shd w:val="clear" w:color="auto" w:fill="auto"/>
            <w:vAlign w:val="center"/>
          </w:tcPr>
          <w:p w:rsidR="000768AE" w:rsidRPr="002909BD" w:rsidRDefault="0023302B" w:rsidP="00DC1CFB">
            <w:pPr>
              <w:pStyle w:val="Zkladntext21"/>
              <w:ind w:left="0"/>
              <w:jc w:val="right"/>
            </w:pPr>
            <w:r w:rsidRPr="002909BD">
              <w:rPr>
                <w:rFonts w:cs="Cambria"/>
              </w:rPr>
              <w:t>Společenské šaty</w:t>
            </w:r>
          </w:p>
        </w:tc>
      </w:tr>
      <w:tr w:rsidR="000768AE" w:rsidRPr="002909BD" w:rsidTr="006003D8">
        <w:trPr>
          <w:jc w:val="center"/>
        </w:trPr>
        <w:tc>
          <w:tcPr>
            <w:tcW w:w="2883" w:type="dxa"/>
            <w:shd w:val="clear" w:color="auto" w:fill="auto"/>
            <w:vAlign w:val="center"/>
          </w:tcPr>
          <w:p w:rsidR="000768AE" w:rsidRPr="002909BD" w:rsidRDefault="000768AE" w:rsidP="00DC1CFB">
            <w:pPr>
              <w:pStyle w:val="Zkladntext21"/>
              <w:ind w:left="0"/>
              <w:jc w:val="right"/>
              <w:rPr>
                <w:rFonts w:cs="Cambria"/>
              </w:rPr>
            </w:pPr>
            <w:r w:rsidRPr="002909BD">
              <w:rPr>
                <w:rFonts w:cs="Cambria"/>
              </w:rPr>
              <w:t>Ubytování umělce</w:t>
            </w:r>
          </w:p>
        </w:tc>
        <w:tc>
          <w:tcPr>
            <w:tcW w:w="6048" w:type="dxa"/>
            <w:shd w:val="clear" w:color="auto" w:fill="auto"/>
            <w:vAlign w:val="center"/>
          </w:tcPr>
          <w:p w:rsidR="00984695" w:rsidRPr="002909BD" w:rsidRDefault="0023302B" w:rsidP="002743EE">
            <w:pPr>
              <w:pStyle w:val="Zkladntext21"/>
              <w:ind w:left="0"/>
              <w:jc w:val="right"/>
            </w:pPr>
            <w:r w:rsidRPr="002909BD">
              <w:t>Ne</w:t>
            </w:r>
          </w:p>
        </w:tc>
      </w:tr>
      <w:tr w:rsidR="00CA50AA" w:rsidRPr="002909BD" w:rsidTr="006003D8">
        <w:trPr>
          <w:jc w:val="center"/>
        </w:trPr>
        <w:tc>
          <w:tcPr>
            <w:tcW w:w="2883" w:type="dxa"/>
            <w:shd w:val="clear" w:color="auto" w:fill="auto"/>
            <w:vAlign w:val="center"/>
          </w:tcPr>
          <w:p w:rsidR="00CA50AA" w:rsidRPr="002909BD" w:rsidRDefault="00CA50AA" w:rsidP="00DC1CFB">
            <w:pPr>
              <w:pStyle w:val="Zkladntext21"/>
              <w:ind w:left="0"/>
              <w:jc w:val="right"/>
              <w:rPr>
                <w:rFonts w:cs="Cambria"/>
              </w:rPr>
            </w:pPr>
            <w:r>
              <w:rPr>
                <w:rFonts w:cs="Cambria"/>
              </w:rPr>
              <w:t>Klavír</w:t>
            </w:r>
          </w:p>
        </w:tc>
        <w:tc>
          <w:tcPr>
            <w:tcW w:w="6048" w:type="dxa"/>
            <w:shd w:val="clear" w:color="auto" w:fill="auto"/>
            <w:vAlign w:val="center"/>
          </w:tcPr>
          <w:p w:rsidR="00CA50AA" w:rsidRPr="002909BD" w:rsidRDefault="00CA50AA" w:rsidP="002743EE">
            <w:pPr>
              <w:pStyle w:val="Zkladntext21"/>
              <w:ind w:left="0"/>
              <w:jc w:val="right"/>
            </w:pPr>
            <w:r>
              <w:t xml:space="preserve">Ano – naladěn </w:t>
            </w:r>
            <w:r w:rsidR="001E5EA3">
              <w:t>před koncertem, zajistí P</w:t>
            </w:r>
            <w:r>
              <w:t>ořadatel</w:t>
            </w:r>
          </w:p>
        </w:tc>
      </w:tr>
      <w:tr w:rsidR="00CA50AA" w:rsidRPr="002909BD" w:rsidTr="006003D8">
        <w:trPr>
          <w:jc w:val="center"/>
        </w:trPr>
        <w:tc>
          <w:tcPr>
            <w:tcW w:w="2883" w:type="dxa"/>
            <w:shd w:val="clear" w:color="auto" w:fill="auto"/>
            <w:vAlign w:val="center"/>
          </w:tcPr>
          <w:p w:rsidR="00CA50AA" w:rsidRPr="002909BD" w:rsidRDefault="00CA50AA" w:rsidP="00DC1CFB">
            <w:pPr>
              <w:pStyle w:val="Zkladntext21"/>
              <w:ind w:left="0"/>
              <w:jc w:val="right"/>
              <w:rPr>
                <w:rFonts w:cs="Cambria"/>
              </w:rPr>
            </w:pPr>
            <w:r>
              <w:rPr>
                <w:rFonts w:cs="Cambria"/>
              </w:rPr>
              <w:t>Zvukový mistr</w:t>
            </w:r>
          </w:p>
        </w:tc>
        <w:tc>
          <w:tcPr>
            <w:tcW w:w="6048" w:type="dxa"/>
            <w:shd w:val="clear" w:color="auto" w:fill="auto"/>
            <w:vAlign w:val="center"/>
          </w:tcPr>
          <w:p w:rsidR="00CA50AA" w:rsidRPr="002909BD" w:rsidRDefault="00CA50AA" w:rsidP="002743EE">
            <w:pPr>
              <w:pStyle w:val="Zkladntext21"/>
              <w:ind w:left="0"/>
              <w:jc w:val="right"/>
            </w:pPr>
            <w:r>
              <w:t>Martin Valášek – zajistí Umělecká agentura</w:t>
            </w:r>
          </w:p>
        </w:tc>
      </w:tr>
      <w:tr w:rsidR="000768AE" w:rsidRPr="002909BD" w:rsidTr="006003D8">
        <w:trPr>
          <w:jc w:val="center"/>
        </w:trPr>
        <w:tc>
          <w:tcPr>
            <w:tcW w:w="2883" w:type="dxa"/>
            <w:shd w:val="clear" w:color="auto" w:fill="auto"/>
            <w:vAlign w:val="center"/>
          </w:tcPr>
          <w:p w:rsidR="000768AE" w:rsidRPr="002909BD" w:rsidRDefault="000768AE" w:rsidP="0028591E">
            <w:pPr>
              <w:pStyle w:val="Zkladntext21"/>
              <w:ind w:left="0"/>
              <w:jc w:val="right"/>
              <w:rPr>
                <w:lang w:val="en-GB"/>
              </w:rPr>
            </w:pPr>
            <w:r w:rsidRPr="002909BD">
              <w:rPr>
                <w:rFonts w:cs="Cambria"/>
              </w:rPr>
              <w:t>Doprovodný orchestr</w:t>
            </w:r>
            <w:r w:rsidR="005A24C3" w:rsidRPr="002909BD">
              <w:t>/</w:t>
            </w:r>
            <w:r w:rsidR="005A24C3" w:rsidRPr="002909BD">
              <w:rPr>
                <w:lang w:val="en-GB"/>
              </w:rPr>
              <w:t xml:space="preserve"> Supporting orchestra</w:t>
            </w:r>
          </w:p>
          <w:p w:rsidR="00DC1CFB" w:rsidRPr="002909BD" w:rsidRDefault="00DC1CFB" w:rsidP="0028591E">
            <w:pPr>
              <w:pStyle w:val="Zkladntext21"/>
              <w:ind w:left="0"/>
              <w:jc w:val="right"/>
              <w:rPr>
                <w:rFonts w:cs="Cambria"/>
              </w:rPr>
            </w:pPr>
          </w:p>
        </w:tc>
        <w:tc>
          <w:tcPr>
            <w:tcW w:w="6048" w:type="dxa"/>
            <w:shd w:val="clear" w:color="auto" w:fill="auto"/>
            <w:vAlign w:val="center"/>
          </w:tcPr>
          <w:p w:rsidR="000768AE" w:rsidRPr="002909BD" w:rsidRDefault="00322AEE" w:rsidP="0023302B">
            <w:pPr>
              <w:pStyle w:val="Zkladntext21"/>
              <w:ind w:left="0"/>
              <w:jc w:val="right"/>
              <w:rPr>
                <w:rFonts w:cs="Cambria"/>
              </w:rPr>
            </w:pPr>
            <w:r w:rsidRPr="002909BD">
              <w:t xml:space="preserve">Felix Slováček </w:t>
            </w:r>
            <w:r w:rsidR="009F3179">
              <w:t xml:space="preserve">RTV </w:t>
            </w:r>
            <w:r w:rsidRPr="002909BD">
              <w:t>Big Band</w:t>
            </w:r>
          </w:p>
        </w:tc>
      </w:tr>
    </w:tbl>
    <w:p w:rsidR="00224D36" w:rsidRPr="002909BD" w:rsidRDefault="00224D36" w:rsidP="00984695">
      <w:pPr>
        <w:pStyle w:val="Zkladntext21"/>
        <w:ind w:left="0"/>
        <w:jc w:val="center"/>
        <w:rPr>
          <w:b/>
        </w:rPr>
      </w:pPr>
    </w:p>
    <w:p w:rsidR="00224D36" w:rsidRPr="002909BD" w:rsidRDefault="00224D36" w:rsidP="00984695">
      <w:pPr>
        <w:pStyle w:val="Zkladntext21"/>
        <w:ind w:left="0"/>
        <w:jc w:val="center"/>
        <w:rPr>
          <w:b/>
        </w:rPr>
      </w:pPr>
    </w:p>
    <w:p w:rsidR="002743EE" w:rsidRPr="002909BD" w:rsidRDefault="002743EE" w:rsidP="00984695">
      <w:pPr>
        <w:pStyle w:val="Zkladntext21"/>
        <w:ind w:left="0"/>
        <w:jc w:val="center"/>
        <w:rPr>
          <w:b/>
        </w:rPr>
      </w:pPr>
    </w:p>
    <w:p w:rsidR="0023302B" w:rsidRPr="002909BD" w:rsidRDefault="0023302B" w:rsidP="00322AEE">
      <w:pPr>
        <w:pStyle w:val="Zkladntext21"/>
        <w:ind w:left="0"/>
        <w:rPr>
          <w:b/>
        </w:rPr>
      </w:pPr>
    </w:p>
    <w:p w:rsidR="0023302B" w:rsidRPr="002909BD" w:rsidRDefault="0023302B" w:rsidP="00984695">
      <w:pPr>
        <w:pStyle w:val="Zkladntext21"/>
        <w:ind w:left="0"/>
        <w:jc w:val="center"/>
        <w:rPr>
          <w:b/>
        </w:rPr>
      </w:pPr>
    </w:p>
    <w:p w:rsidR="0023302B" w:rsidRPr="002909BD" w:rsidRDefault="0023302B" w:rsidP="00984695">
      <w:pPr>
        <w:pStyle w:val="Zkladntext21"/>
        <w:ind w:left="0"/>
        <w:jc w:val="center"/>
        <w:rPr>
          <w:b/>
        </w:rPr>
      </w:pPr>
    </w:p>
    <w:p w:rsidR="0023302B" w:rsidRPr="002909BD" w:rsidRDefault="0023302B" w:rsidP="00D7566D">
      <w:pPr>
        <w:pStyle w:val="Zkladntext21"/>
        <w:ind w:left="0"/>
        <w:rPr>
          <w:b/>
        </w:rPr>
      </w:pPr>
    </w:p>
    <w:sectPr w:rsidR="0023302B" w:rsidRPr="002909BD" w:rsidSect="00FD4005">
      <w:footerReference w:type="even" r:id="rId8"/>
      <w:footerReference w:type="default" r:id="rId9"/>
      <w:pgSz w:w="11900" w:h="16840"/>
      <w:pgMar w:top="709" w:right="985"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918" w:rsidRDefault="00FE5918" w:rsidP="00731180">
      <w:pPr>
        <w:spacing w:after="0"/>
      </w:pPr>
      <w:r>
        <w:separator/>
      </w:r>
    </w:p>
  </w:endnote>
  <w:endnote w:type="continuationSeparator" w:id="0">
    <w:p w:rsidR="00FE5918" w:rsidRDefault="00FE5918" w:rsidP="0073118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E00002FF" w:usb1="7AC7FFFF" w:usb2="00000012" w:usb3="00000000" w:csb0="0002000D"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CFB" w:rsidRDefault="006972D4" w:rsidP="00353A13">
    <w:pPr>
      <w:pStyle w:val="Zpat"/>
      <w:framePr w:wrap="around" w:vAnchor="text" w:hAnchor="margin" w:xAlign="right" w:y="1"/>
      <w:rPr>
        <w:rStyle w:val="slostrnky"/>
      </w:rPr>
    </w:pPr>
    <w:r>
      <w:rPr>
        <w:rStyle w:val="slostrnky"/>
      </w:rPr>
      <w:fldChar w:fldCharType="begin"/>
    </w:r>
    <w:r w:rsidR="00DC1CFB">
      <w:rPr>
        <w:rStyle w:val="slostrnky"/>
      </w:rPr>
      <w:instrText xml:space="preserve">PAGE  </w:instrText>
    </w:r>
    <w:r>
      <w:rPr>
        <w:rStyle w:val="slostrnky"/>
      </w:rPr>
      <w:fldChar w:fldCharType="end"/>
    </w:r>
  </w:p>
  <w:p w:rsidR="00DC1CFB" w:rsidRDefault="00DC1CFB" w:rsidP="0073118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CFB" w:rsidRDefault="006972D4" w:rsidP="00353A13">
    <w:pPr>
      <w:pStyle w:val="Zpat"/>
      <w:framePr w:wrap="around" w:vAnchor="text" w:hAnchor="margin" w:xAlign="right" w:y="1"/>
      <w:rPr>
        <w:rStyle w:val="slostrnky"/>
      </w:rPr>
    </w:pPr>
    <w:r>
      <w:rPr>
        <w:rStyle w:val="slostrnky"/>
      </w:rPr>
      <w:fldChar w:fldCharType="begin"/>
    </w:r>
    <w:r w:rsidR="00DC1CFB">
      <w:rPr>
        <w:rStyle w:val="slostrnky"/>
      </w:rPr>
      <w:instrText xml:space="preserve">PAGE  </w:instrText>
    </w:r>
    <w:r>
      <w:rPr>
        <w:rStyle w:val="slostrnky"/>
      </w:rPr>
      <w:fldChar w:fldCharType="separate"/>
    </w:r>
    <w:r w:rsidR="0043272C">
      <w:rPr>
        <w:rStyle w:val="slostrnky"/>
        <w:noProof/>
      </w:rPr>
      <w:t>2</w:t>
    </w:r>
    <w:r>
      <w:rPr>
        <w:rStyle w:val="slostrnky"/>
      </w:rPr>
      <w:fldChar w:fldCharType="end"/>
    </w:r>
  </w:p>
  <w:p w:rsidR="00DC1CFB" w:rsidRDefault="00DC1CFB" w:rsidP="00731180">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918" w:rsidRDefault="00FE5918" w:rsidP="00731180">
      <w:pPr>
        <w:spacing w:after="0"/>
      </w:pPr>
      <w:r>
        <w:separator/>
      </w:r>
    </w:p>
  </w:footnote>
  <w:footnote w:type="continuationSeparator" w:id="0">
    <w:p w:rsidR="00FE5918" w:rsidRDefault="00FE5918" w:rsidP="0073118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6509012"/>
    <w:lvl w:ilvl="0">
      <w:start w:val="1"/>
      <w:numFmt w:val="decimal"/>
      <w:pStyle w:val="StandardL1"/>
      <w:lvlText w:val="%1."/>
      <w:lvlJc w:val="left"/>
      <w:pPr>
        <w:tabs>
          <w:tab w:val="num" w:pos="1004"/>
        </w:tabs>
        <w:ind w:left="1004" w:hanging="720"/>
      </w:pPr>
      <w:rPr>
        <w:rFonts w:ascii="Cambria" w:hAnsi="Cambria" w:cs="Times New Roman" w:hint="default"/>
        <w:b w:val="0"/>
        <w:i w:val="0"/>
        <w:caps w:val="0"/>
        <w:smallCaps w:val="0"/>
        <w:strike w:val="0"/>
        <w:dstrike w:val="0"/>
        <w:vanish w:val="0"/>
        <w:color w:val="auto"/>
        <w:position w:val="0"/>
        <w:sz w:val="24"/>
        <w:u w:val="none"/>
        <w:vertAlign w:val="baseline"/>
      </w:rPr>
    </w:lvl>
    <w:lvl w:ilvl="1">
      <w:start w:val="1"/>
      <w:numFmt w:val="decimal"/>
      <w:pStyle w:val="StandardL2"/>
      <w:lvlText w:val="%1.%2"/>
      <w:lvlJc w:val="left"/>
      <w:pPr>
        <w:tabs>
          <w:tab w:val="num" w:pos="1146"/>
        </w:tabs>
        <w:ind w:left="1146" w:hanging="720"/>
      </w:pPr>
      <w:rPr>
        <w:rFonts w:ascii="Cambria" w:hAnsi="Cambria" w:cs="Times New Roman" w:hint="default"/>
        <w:b w:val="0"/>
        <w:i w:val="0"/>
        <w:caps w:val="0"/>
        <w:smallCaps w:val="0"/>
        <w:strike w:val="0"/>
        <w:dstrike w:val="0"/>
        <w:vanish w:val="0"/>
        <w:color w:val="auto"/>
        <w:position w:val="0"/>
        <w:sz w:val="24"/>
        <w:u w:val="none"/>
        <w:vertAlign w:val="baseline"/>
      </w:rPr>
    </w:lvl>
    <w:lvl w:ilvl="2">
      <w:start w:val="1"/>
      <w:numFmt w:val="decimal"/>
      <w:pStyle w:val="StandardL3"/>
      <w:lvlText w:val="%1.%2.%3"/>
      <w:lvlJc w:val="left"/>
      <w:pPr>
        <w:tabs>
          <w:tab w:val="num" w:pos="1440"/>
        </w:tabs>
        <w:ind w:left="1440" w:hanging="720"/>
      </w:pPr>
      <w:rPr>
        <w:rFonts w:ascii="Cambria" w:hAnsi="Cambria" w:cs="Times New Roman" w:hint="default"/>
        <w:b w:val="0"/>
        <w:i w:val="0"/>
        <w:caps w:val="0"/>
        <w:smallCaps w:val="0"/>
        <w:strike w:val="0"/>
        <w:dstrike w:val="0"/>
        <w:vanish w:val="0"/>
        <w:color w:val="auto"/>
        <w:position w:val="0"/>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6">
      <w:start w:val="1"/>
      <w:numFmt w:val="decimal"/>
      <w:pStyle w:val="StandardL7"/>
      <w:lvlText w:val="(%7)"/>
      <w:lvlJc w:val="left"/>
      <w:pPr>
        <w:tabs>
          <w:tab w:val="num" w:pos="4321"/>
        </w:tabs>
        <w:ind w:left="4321" w:hanging="721"/>
      </w:pPr>
      <w:rPr>
        <w:rFonts w:ascii="Times New Roman" w:hAnsi="Times New Roman" w:cs="Times New Roman"/>
        <w:b w:val="0"/>
        <w:i w:val="0"/>
        <w:caps w:val="0"/>
        <w:smallCaps w:val="0"/>
        <w:strike w:val="0"/>
        <w:dstrike w:val="0"/>
        <w:vanish w:val="0"/>
        <w:color w:val="auto"/>
        <w:position w:val="0"/>
        <w:sz w:val="24"/>
        <w:u w:val="none"/>
        <w:vertAlign w:val="baseline"/>
      </w:rPr>
    </w:lvl>
    <w:lvl w:ilvl="7">
      <w:start w:val="1"/>
      <w:numFmt w:val="lowerLetter"/>
      <w:pStyle w:val="StandardL8"/>
      <w:lvlText w:val="(%8)"/>
      <w:lvlJc w:val="left"/>
      <w:pPr>
        <w:tabs>
          <w:tab w:val="num" w:pos="1440"/>
        </w:tabs>
        <w:ind w:left="144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mallCaps w:val="0"/>
        <w:strike w:val="0"/>
        <w:dstrike w:val="0"/>
        <w:vanish w:val="0"/>
        <w:color w:val="auto"/>
        <w:position w:val="0"/>
        <w:sz w:val="24"/>
        <w:u w:val="none"/>
        <w:vertAlign w:val="baseline"/>
      </w:rPr>
    </w:lvl>
  </w:abstractNum>
  <w:abstractNum w:abstractNumId="1">
    <w:nsid w:val="00000002"/>
    <w:multiLevelType w:val="multilevel"/>
    <w:tmpl w:val="F2A67D36"/>
    <w:lvl w:ilvl="0">
      <w:start w:val="1"/>
      <w:numFmt w:val="decimal"/>
      <w:pStyle w:val="SimpleL9"/>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position w:val="0"/>
        <w:sz w:val="24"/>
        <w:u w:val="none"/>
        <w:vertAlign w:val="baseline"/>
      </w:rPr>
    </w:lvl>
    <w:lvl w:ilvl="1">
      <w:start w:val="1"/>
      <w:numFmt w:val="decimal"/>
      <w:lvlText w:val="(%2)"/>
      <w:lvlJc w:val="left"/>
      <w:pPr>
        <w:tabs>
          <w:tab w:val="num" w:pos="720"/>
        </w:tabs>
        <w:ind w:left="720" w:hanging="720"/>
      </w:pPr>
      <w:rPr>
        <w:rFonts w:ascii="Cambria" w:hAnsi="Cambria" w:cs="Times New Roman" w:hint="default"/>
        <w:b w:val="0"/>
        <w:i w:val="0"/>
        <w:caps w:val="0"/>
        <w:smallCaps w:val="0"/>
        <w:strike w:val="0"/>
        <w:dstrike w:val="0"/>
        <w:vanish w:val="0"/>
        <w:color w:val="auto"/>
        <w:position w:val="0"/>
        <w:sz w:val="24"/>
        <w:u w:val="none"/>
        <w:vertAlign w:val="baseline"/>
      </w:rPr>
    </w:lvl>
    <w:lvl w:ilvl="2">
      <w:start w:val="1"/>
      <w:numFmt w:val="upperLetter"/>
      <w:lvlText w:val="%3"/>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position w:val="0"/>
        <w:sz w:val="24"/>
        <w:u w:val="none"/>
        <w:vertAlign w:val="baseline"/>
      </w:rPr>
    </w:lvl>
    <w:lvl w:ilvl="3">
      <w:start w:val="1"/>
      <w:numFmt w:val="upperLetter"/>
      <w:lvlText w:val="(%4)"/>
      <w:lvlJc w:val="left"/>
      <w:pPr>
        <w:tabs>
          <w:tab w:val="num" w:pos="720"/>
        </w:tabs>
        <w:ind w:left="720" w:hanging="720"/>
      </w:pPr>
      <w:rPr>
        <w:rFonts w:ascii="Cambria" w:hAnsi="Cambria" w:cs="Times New Roman" w:hint="default"/>
        <w:b w:val="0"/>
        <w:i w:val="0"/>
        <w:caps w:val="0"/>
        <w:smallCaps w:val="0"/>
        <w:strike w:val="0"/>
        <w:dstrike w:val="0"/>
        <w:vanish w:val="0"/>
        <w:color w:val="auto"/>
        <w:position w:val="0"/>
        <w:sz w:val="24"/>
        <w:u w:val="none"/>
        <w:vertAlign w:val="baseline"/>
      </w:rPr>
    </w:lvl>
    <w:lvl w:ilvl="4">
      <w:start w:val="1"/>
      <w:numFmt w:val="lowerLetter"/>
      <w:lvlText w:val="(%5)"/>
      <w:lvlJc w:val="left"/>
      <w:pPr>
        <w:tabs>
          <w:tab w:val="num" w:pos="1855"/>
        </w:tabs>
        <w:ind w:left="1855" w:hanging="720"/>
      </w:pPr>
      <w:rPr>
        <w:rFonts w:ascii="Cambria" w:hAnsi="Cambria" w:cs="Times New Roman" w:hint="default"/>
        <w:b w:val="0"/>
        <w:i w:val="0"/>
        <w:caps w:val="0"/>
        <w:smallCaps w:val="0"/>
        <w:strike w:val="0"/>
        <w:dstrike w:val="0"/>
        <w:vanish w:val="0"/>
        <w:color w:val="auto"/>
        <w:position w:val="0"/>
        <w:sz w:val="24"/>
        <w:u w:val="none"/>
        <w:vertAlign w:val="baseline"/>
      </w:rPr>
    </w:lvl>
    <w:lvl w:ilvl="5">
      <w:start w:val="1"/>
      <w:numFmt w:val="upperRoman"/>
      <w:lvlText w:val="%6"/>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position w:val="0"/>
        <w:sz w:val="24"/>
        <w:u w:val="none"/>
        <w:vertAlign w:val="baseline"/>
      </w:rPr>
    </w:lvl>
    <w:lvl w:ilvl="6">
      <w:start w:val="1"/>
      <w:numFmt w:val="lowerRoman"/>
      <w:lvlText w:val="(%7)"/>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position w:val="0"/>
        <w:sz w:val="24"/>
        <w:u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color w:val="auto"/>
        <w:position w:val="0"/>
        <w:sz w:val="24"/>
        <w:u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color w:val="auto"/>
        <w:position w:val="0"/>
        <w:sz w:val="24"/>
        <w:u w:val="none"/>
        <w:vertAlign w:val="baseline"/>
      </w:rPr>
    </w:lvl>
  </w:abstractNum>
  <w:abstractNum w:abstractNumId="2">
    <w:nsid w:val="04665E08"/>
    <w:multiLevelType w:val="multilevel"/>
    <w:tmpl w:val="4DCC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D84612"/>
    <w:multiLevelType w:val="hybridMultilevel"/>
    <w:tmpl w:val="E64ED488"/>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
    <w:nsid w:val="67405B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FEC57AA"/>
    <w:multiLevelType w:val="hybridMultilevel"/>
    <w:tmpl w:val="BF34DB4E"/>
    <w:lvl w:ilvl="0" w:tplc="A00ED714">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useFELayout/>
  </w:compat>
  <w:rsids>
    <w:rsidRoot w:val="0077202D"/>
    <w:rsid w:val="000123AF"/>
    <w:rsid w:val="000365F0"/>
    <w:rsid w:val="00056228"/>
    <w:rsid w:val="000768AE"/>
    <w:rsid w:val="000A1911"/>
    <w:rsid w:val="000E12F9"/>
    <w:rsid w:val="000F08C5"/>
    <w:rsid w:val="001030CF"/>
    <w:rsid w:val="00116919"/>
    <w:rsid w:val="00127E4C"/>
    <w:rsid w:val="001321D8"/>
    <w:rsid w:val="0018518F"/>
    <w:rsid w:val="00185A95"/>
    <w:rsid w:val="001B6E3B"/>
    <w:rsid w:val="001E5EA3"/>
    <w:rsid w:val="00221303"/>
    <w:rsid w:val="00224D36"/>
    <w:rsid w:val="0023302B"/>
    <w:rsid w:val="00234A19"/>
    <w:rsid w:val="00241B77"/>
    <w:rsid w:val="002743EE"/>
    <w:rsid w:val="0027528A"/>
    <w:rsid w:val="002856C8"/>
    <w:rsid w:val="0028591E"/>
    <w:rsid w:val="002909BD"/>
    <w:rsid w:val="002A1353"/>
    <w:rsid w:val="002B59EE"/>
    <w:rsid w:val="00322AEE"/>
    <w:rsid w:val="00353A13"/>
    <w:rsid w:val="003B62AD"/>
    <w:rsid w:val="00402220"/>
    <w:rsid w:val="00427053"/>
    <w:rsid w:val="004277A3"/>
    <w:rsid w:val="0043272C"/>
    <w:rsid w:val="00433750"/>
    <w:rsid w:val="00436D45"/>
    <w:rsid w:val="0048322E"/>
    <w:rsid w:val="00491845"/>
    <w:rsid w:val="00496BC5"/>
    <w:rsid w:val="004B0A9C"/>
    <w:rsid w:val="004B25EF"/>
    <w:rsid w:val="00513CA3"/>
    <w:rsid w:val="00515CE2"/>
    <w:rsid w:val="005378EB"/>
    <w:rsid w:val="005626FB"/>
    <w:rsid w:val="00573D02"/>
    <w:rsid w:val="005A24C3"/>
    <w:rsid w:val="005B5E24"/>
    <w:rsid w:val="005E4E2B"/>
    <w:rsid w:val="006003D8"/>
    <w:rsid w:val="00606850"/>
    <w:rsid w:val="00681A46"/>
    <w:rsid w:val="00682041"/>
    <w:rsid w:val="00686BC0"/>
    <w:rsid w:val="006972D4"/>
    <w:rsid w:val="006B461B"/>
    <w:rsid w:val="006C0F02"/>
    <w:rsid w:val="006C72BC"/>
    <w:rsid w:val="006E3DD8"/>
    <w:rsid w:val="0072026F"/>
    <w:rsid w:val="00731180"/>
    <w:rsid w:val="00747E02"/>
    <w:rsid w:val="007663CF"/>
    <w:rsid w:val="0077202D"/>
    <w:rsid w:val="00784BBE"/>
    <w:rsid w:val="00785B71"/>
    <w:rsid w:val="007E241C"/>
    <w:rsid w:val="00817180"/>
    <w:rsid w:val="008233E1"/>
    <w:rsid w:val="00885460"/>
    <w:rsid w:val="00893D44"/>
    <w:rsid w:val="008E7555"/>
    <w:rsid w:val="009757E6"/>
    <w:rsid w:val="00984695"/>
    <w:rsid w:val="009B1013"/>
    <w:rsid w:val="009B140A"/>
    <w:rsid w:val="009D10F2"/>
    <w:rsid w:val="009D609F"/>
    <w:rsid w:val="009D6A2D"/>
    <w:rsid w:val="009E62DF"/>
    <w:rsid w:val="009E6B0D"/>
    <w:rsid w:val="009F292F"/>
    <w:rsid w:val="009F3179"/>
    <w:rsid w:val="00A03438"/>
    <w:rsid w:val="00AA503A"/>
    <w:rsid w:val="00AF02D0"/>
    <w:rsid w:val="00B02348"/>
    <w:rsid w:val="00B03FD3"/>
    <w:rsid w:val="00B224DD"/>
    <w:rsid w:val="00B26514"/>
    <w:rsid w:val="00B34203"/>
    <w:rsid w:val="00B35C21"/>
    <w:rsid w:val="00B80F77"/>
    <w:rsid w:val="00BB688C"/>
    <w:rsid w:val="00BD21E3"/>
    <w:rsid w:val="00C07FF3"/>
    <w:rsid w:val="00C16F80"/>
    <w:rsid w:val="00C37655"/>
    <w:rsid w:val="00C90904"/>
    <w:rsid w:val="00C91638"/>
    <w:rsid w:val="00C92AA5"/>
    <w:rsid w:val="00CA50AA"/>
    <w:rsid w:val="00CE0A14"/>
    <w:rsid w:val="00D060A8"/>
    <w:rsid w:val="00D114EB"/>
    <w:rsid w:val="00D128A8"/>
    <w:rsid w:val="00D264DB"/>
    <w:rsid w:val="00D3403A"/>
    <w:rsid w:val="00D35CB5"/>
    <w:rsid w:val="00D66433"/>
    <w:rsid w:val="00D7566D"/>
    <w:rsid w:val="00D96E30"/>
    <w:rsid w:val="00DC1CFB"/>
    <w:rsid w:val="00E0442D"/>
    <w:rsid w:val="00E141BF"/>
    <w:rsid w:val="00E7392E"/>
    <w:rsid w:val="00EA1544"/>
    <w:rsid w:val="00EB5361"/>
    <w:rsid w:val="00EF0494"/>
    <w:rsid w:val="00F24F7B"/>
    <w:rsid w:val="00F3631C"/>
    <w:rsid w:val="00F36F9B"/>
    <w:rsid w:val="00F3718D"/>
    <w:rsid w:val="00FD06C5"/>
    <w:rsid w:val="00FD4005"/>
    <w:rsid w:val="00FD53E5"/>
    <w:rsid w:val="00FE5918"/>
    <w:rsid w:val="00FF7A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202D"/>
    <w:pPr>
      <w:suppressAutoHyphens/>
      <w:spacing w:after="240"/>
      <w:jc w:val="both"/>
    </w:pPr>
    <w:rPr>
      <w:rFonts w:ascii="Cambria" w:eastAsia="Times New Roman" w:hAnsi="Cambria" w:cs="Times New Roman"/>
      <w:lang w:val="cs-CZ" w:eastAsia="cs-CZ"/>
    </w:rPr>
  </w:style>
  <w:style w:type="paragraph" w:styleId="Nadpis1">
    <w:name w:val="heading 1"/>
    <w:basedOn w:val="Normln"/>
    <w:next w:val="Zkladntext"/>
    <w:link w:val="Nadpis1Char"/>
    <w:qFormat/>
    <w:rsid w:val="0077202D"/>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02D"/>
    <w:rPr>
      <w:rFonts w:ascii="Cambria" w:eastAsia="Times New Roman" w:hAnsi="Cambria" w:cs="Times New Roman"/>
      <w:lang w:val="cs-CZ" w:eastAsia="cs-CZ"/>
    </w:rPr>
  </w:style>
  <w:style w:type="paragraph" w:customStyle="1" w:styleId="Parties">
    <w:name w:val="Parties"/>
    <w:basedOn w:val="Normln"/>
    <w:rsid w:val="0077202D"/>
    <w:pPr>
      <w:jc w:val="center"/>
    </w:pPr>
    <w:rPr>
      <w:caps/>
    </w:rPr>
  </w:style>
  <w:style w:type="paragraph" w:styleId="Podtitul">
    <w:name w:val="Subtitle"/>
    <w:basedOn w:val="Normln"/>
    <w:next w:val="Zkladntext"/>
    <w:link w:val="PodtitulChar"/>
    <w:qFormat/>
    <w:rsid w:val="0077202D"/>
    <w:pPr>
      <w:jc w:val="center"/>
    </w:pPr>
  </w:style>
  <w:style w:type="character" w:customStyle="1" w:styleId="PodtitulChar">
    <w:name w:val="Podtitul Char"/>
    <w:basedOn w:val="Standardnpsmoodstavce"/>
    <w:link w:val="Podtitul"/>
    <w:rsid w:val="0077202D"/>
    <w:rPr>
      <w:rFonts w:ascii="Cambria" w:eastAsia="Times New Roman" w:hAnsi="Cambria" w:cs="Times New Roman"/>
      <w:lang w:val="cs-CZ" w:eastAsia="cs-CZ"/>
    </w:rPr>
  </w:style>
  <w:style w:type="paragraph" w:styleId="Zkladntext">
    <w:name w:val="Body Text"/>
    <w:basedOn w:val="Normln"/>
    <w:link w:val="ZkladntextChar"/>
    <w:uiPriority w:val="99"/>
    <w:semiHidden/>
    <w:unhideWhenUsed/>
    <w:rsid w:val="0077202D"/>
    <w:pPr>
      <w:spacing w:after="120"/>
    </w:pPr>
  </w:style>
  <w:style w:type="character" w:customStyle="1" w:styleId="ZkladntextChar">
    <w:name w:val="Základní text Char"/>
    <w:basedOn w:val="Standardnpsmoodstavce"/>
    <w:link w:val="Zkladntext"/>
    <w:uiPriority w:val="99"/>
    <w:semiHidden/>
    <w:rsid w:val="0077202D"/>
    <w:rPr>
      <w:rFonts w:ascii="Cambria" w:eastAsia="Times New Roman" w:hAnsi="Cambria" w:cs="Times New Roman"/>
      <w:lang w:val="cs-CZ" w:eastAsia="cs-CZ"/>
    </w:rPr>
  </w:style>
  <w:style w:type="paragraph" w:customStyle="1" w:styleId="SimpleL9">
    <w:name w:val="Simple L9"/>
    <w:basedOn w:val="Normln"/>
    <w:rsid w:val="0077202D"/>
    <w:pPr>
      <w:numPr>
        <w:numId w:val="1"/>
      </w:numPr>
    </w:pPr>
  </w:style>
  <w:style w:type="paragraph" w:customStyle="1" w:styleId="SimpleL2">
    <w:name w:val="Simple L2"/>
    <w:basedOn w:val="Normln"/>
    <w:rsid w:val="0077202D"/>
    <w:pPr>
      <w:tabs>
        <w:tab w:val="num" w:pos="720"/>
      </w:tabs>
      <w:ind w:left="720" w:hanging="720"/>
    </w:pPr>
  </w:style>
  <w:style w:type="paragraph" w:customStyle="1" w:styleId="SimpleL1">
    <w:name w:val="Simple L1"/>
    <w:basedOn w:val="Normln"/>
    <w:rsid w:val="0077202D"/>
    <w:pPr>
      <w:tabs>
        <w:tab w:val="num" w:pos="720"/>
      </w:tabs>
      <w:ind w:left="720" w:hanging="720"/>
    </w:pPr>
  </w:style>
  <w:style w:type="paragraph" w:customStyle="1" w:styleId="SimpleL4">
    <w:name w:val="Simple L4"/>
    <w:basedOn w:val="Normln"/>
    <w:rsid w:val="0077202D"/>
    <w:pPr>
      <w:tabs>
        <w:tab w:val="num" w:pos="720"/>
      </w:tabs>
      <w:ind w:left="720" w:hanging="720"/>
    </w:pPr>
  </w:style>
  <w:style w:type="paragraph" w:customStyle="1" w:styleId="StandardL1">
    <w:name w:val="Standard L1"/>
    <w:basedOn w:val="Normln"/>
    <w:next w:val="Normln"/>
    <w:rsid w:val="009B140A"/>
    <w:pPr>
      <w:keepNext/>
      <w:numPr>
        <w:numId w:val="2"/>
      </w:numPr>
      <w:jc w:val="left"/>
      <w:outlineLvl w:val="0"/>
    </w:pPr>
    <w:rPr>
      <w:b/>
      <w:bCs/>
      <w:caps/>
    </w:rPr>
  </w:style>
  <w:style w:type="paragraph" w:customStyle="1" w:styleId="StandardL2">
    <w:name w:val="Standard L2"/>
    <w:basedOn w:val="Normln"/>
    <w:next w:val="Normln"/>
    <w:rsid w:val="009B140A"/>
    <w:pPr>
      <w:numPr>
        <w:ilvl w:val="1"/>
        <w:numId w:val="2"/>
      </w:numPr>
      <w:outlineLvl w:val="1"/>
    </w:pPr>
  </w:style>
  <w:style w:type="paragraph" w:customStyle="1" w:styleId="StandardL3">
    <w:name w:val="Standard L3"/>
    <w:basedOn w:val="Normln"/>
    <w:next w:val="Normln"/>
    <w:rsid w:val="009B140A"/>
    <w:pPr>
      <w:numPr>
        <w:ilvl w:val="2"/>
        <w:numId w:val="2"/>
      </w:numPr>
      <w:outlineLvl w:val="2"/>
    </w:pPr>
  </w:style>
  <w:style w:type="paragraph" w:customStyle="1" w:styleId="StandardL4">
    <w:name w:val="Standard L4"/>
    <w:basedOn w:val="Normln"/>
    <w:next w:val="Normln"/>
    <w:rsid w:val="009B140A"/>
    <w:pPr>
      <w:numPr>
        <w:ilvl w:val="3"/>
        <w:numId w:val="2"/>
      </w:numPr>
      <w:outlineLvl w:val="3"/>
    </w:pPr>
  </w:style>
  <w:style w:type="paragraph" w:customStyle="1" w:styleId="StandardL5">
    <w:name w:val="Standard L5"/>
    <w:basedOn w:val="Normln"/>
    <w:next w:val="Normln"/>
    <w:rsid w:val="009B140A"/>
    <w:pPr>
      <w:numPr>
        <w:ilvl w:val="4"/>
        <w:numId w:val="2"/>
      </w:numPr>
      <w:outlineLvl w:val="4"/>
    </w:pPr>
  </w:style>
  <w:style w:type="paragraph" w:customStyle="1" w:styleId="StandardL6">
    <w:name w:val="Standard L6"/>
    <w:basedOn w:val="Normln"/>
    <w:next w:val="Normln"/>
    <w:rsid w:val="009B140A"/>
    <w:pPr>
      <w:numPr>
        <w:ilvl w:val="5"/>
        <w:numId w:val="2"/>
      </w:numPr>
      <w:outlineLvl w:val="5"/>
    </w:pPr>
  </w:style>
  <w:style w:type="paragraph" w:customStyle="1" w:styleId="StandardL7">
    <w:name w:val="Standard L7"/>
    <w:basedOn w:val="Normln"/>
    <w:next w:val="Normln"/>
    <w:rsid w:val="009B140A"/>
    <w:pPr>
      <w:numPr>
        <w:ilvl w:val="6"/>
        <w:numId w:val="2"/>
      </w:numPr>
      <w:outlineLvl w:val="6"/>
    </w:pPr>
  </w:style>
  <w:style w:type="paragraph" w:customStyle="1" w:styleId="StandardL8">
    <w:name w:val="Standard L8"/>
    <w:basedOn w:val="Normln"/>
    <w:next w:val="Normln"/>
    <w:rsid w:val="009B140A"/>
    <w:pPr>
      <w:numPr>
        <w:ilvl w:val="7"/>
        <w:numId w:val="2"/>
      </w:numPr>
      <w:outlineLvl w:val="7"/>
    </w:pPr>
  </w:style>
  <w:style w:type="paragraph" w:customStyle="1" w:styleId="StandardL9">
    <w:name w:val="Standard L9"/>
    <w:basedOn w:val="Normln"/>
    <w:next w:val="Normln"/>
    <w:rsid w:val="009B140A"/>
    <w:pPr>
      <w:numPr>
        <w:ilvl w:val="8"/>
        <w:numId w:val="2"/>
      </w:numPr>
      <w:outlineLvl w:val="8"/>
    </w:pPr>
  </w:style>
  <w:style w:type="paragraph" w:customStyle="1" w:styleId="BodyText1">
    <w:name w:val="Body Text 1"/>
    <w:basedOn w:val="Normln"/>
    <w:rsid w:val="000768AE"/>
    <w:pPr>
      <w:ind w:left="720"/>
    </w:pPr>
  </w:style>
  <w:style w:type="paragraph" w:customStyle="1" w:styleId="Zkladntext21">
    <w:name w:val="Základní text 21"/>
    <w:basedOn w:val="Normln"/>
    <w:rsid w:val="000768AE"/>
    <w:pPr>
      <w:ind w:left="1440"/>
    </w:pPr>
  </w:style>
  <w:style w:type="character" w:customStyle="1" w:styleId="CharChar16">
    <w:name w:val="Char Char16"/>
    <w:rsid w:val="000768AE"/>
    <w:rPr>
      <w:lang w:eastAsia="ar-AE" w:bidi="ar-AE"/>
    </w:rPr>
  </w:style>
  <w:style w:type="paragraph" w:styleId="Zpat">
    <w:name w:val="footer"/>
    <w:basedOn w:val="Normln"/>
    <w:link w:val="ZpatChar"/>
    <w:uiPriority w:val="99"/>
    <w:unhideWhenUsed/>
    <w:rsid w:val="00731180"/>
    <w:pPr>
      <w:tabs>
        <w:tab w:val="center" w:pos="4153"/>
        <w:tab w:val="right" w:pos="8306"/>
      </w:tabs>
      <w:spacing w:after="0"/>
    </w:pPr>
  </w:style>
  <w:style w:type="character" w:customStyle="1" w:styleId="ZpatChar">
    <w:name w:val="Zápatí Char"/>
    <w:basedOn w:val="Standardnpsmoodstavce"/>
    <w:link w:val="Zpat"/>
    <w:uiPriority w:val="99"/>
    <w:rsid w:val="00731180"/>
    <w:rPr>
      <w:rFonts w:ascii="Cambria" w:eastAsia="Times New Roman" w:hAnsi="Cambria" w:cs="Times New Roman"/>
      <w:lang w:val="cs-CZ" w:eastAsia="cs-CZ"/>
    </w:rPr>
  </w:style>
  <w:style w:type="character" w:styleId="slostrnky">
    <w:name w:val="page number"/>
    <w:basedOn w:val="Standardnpsmoodstavce"/>
    <w:uiPriority w:val="99"/>
    <w:semiHidden/>
    <w:unhideWhenUsed/>
    <w:rsid w:val="00731180"/>
  </w:style>
  <w:style w:type="paragraph" w:customStyle="1" w:styleId="Normln1">
    <w:name w:val="Normální1"/>
    <w:rsid w:val="00C92AA5"/>
    <w:pPr>
      <w:suppressAutoHyphens/>
    </w:pPr>
    <w:rPr>
      <w:rFonts w:ascii="Times New Roman" w:eastAsia="ヒラギノ角ゴ Pro W3" w:hAnsi="Times New Roman" w:cs="Times New Roman"/>
      <w:color w:val="000000"/>
      <w:szCs w:val="20"/>
    </w:rPr>
  </w:style>
  <w:style w:type="character" w:styleId="Siln">
    <w:name w:val="Strong"/>
    <w:basedOn w:val="Standardnpsmoodstavce"/>
    <w:qFormat/>
    <w:rsid w:val="00FD06C5"/>
    <w:rPr>
      <w:rFonts w:ascii="Trebuchet MS" w:hAnsi="Trebuchet MS" w:cs="Times New Roman"/>
      <w:b/>
      <w:sz w:val="18"/>
    </w:rPr>
  </w:style>
  <w:style w:type="paragraph" w:customStyle="1" w:styleId="Default">
    <w:name w:val="Default"/>
    <w:rsid w:val="00AA503A"/>
    <w:pPr>
      <w:autoSpaceDE w:val="0"/>
      <w:autoSpaceDN w:val="0"/>
      <w:adjustRightInd w:val="0"/>
    </w:pPr>
    <w:rPr>
      <w:rFonts w:ascii="Courier New" w:eastAsia="Calibri" w:hAnsi="Courier New" w:cs="Courier New"/>
      <w:color w:val="000000"/>
      <w:lang w:val="cs-CZ" w:eastAsia="cs-CZ"/>
    </w:rPr>
  </w:style>
  <w:style w:type="paragraph" w:styleId="Zhlav">
    <w:name w:val="header"/>
    <w:basedOn w:val="Normln"/>
    <w:link w:val="ZhlavChar"/>
    <w:uiPriority w:val="99"/>
    <w:unhideWhenUsed/>
    <w:rsid w:val="000A1911"/>
    <w:pPr>
      <w:tabs>
        <w:tab w:val="center" w:pos="4536"/>
        <w:tab w:val="right" w:pos="9072"/>
      </w:tabs>
      <w:spacing w:after="0"/>
    </w:pPr>
  </w:style>
  <w:style w:type="character" w:customStyle="1" w:styleId="ZhlavChar">
    <w:name w:val="Záhlaví Char"/>
    <w:basedOn w:val="Standardnpsmoodstavce"/>
    <w:link w:val="Zhlav"/>
    <w:uiPriority w:val="99"/>
    <w:rsid w:val="000A1911"/>
    <w:rPr>
      <w:rFonts w:ascii="Cambria" w:eastAsia="Times New Roman" w:hAnsi="Cambria" w:cs="Times New Roman"/>
      <w:lang w:val="cs-CZ" w:eastAsia="cs-CZ"/>
    </w:rPr>
  </w:style>
  <w:style w:type="paragraph" w:styleId="Textbubliny">
    <w:name w:val="Balloon Text"/>
    <w:basedOn w:val="Normln"/>
    <w:link w:val="TextbublinyChar"/>
    <w:uiPriority w:val="99"/>
    <w:semiHidden/>
    <w:unhideWhenUsed/>
    <w:rsid w:val="00F3631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631C"/>
    <w:rPr>
      <w:rFonts w:ascii="Segoe UI" w:eastAsia="Times New Roman" w:hAnsi="Segoe UI" w:cs="Segoe UI"/>
      <w:sz w:val="18"/>
      <w:szCs w:val="18"/>
      <w:lang w:val="cs-CZ" w:eastAsia="cs-CZ"/>
    </w:rPr>
  </w:style>
</w:styles>
</file>

<file path=word/webSettings.xml><?xml version="1.0" encoding="utf-8"?>
<w:webSettings xmlns:r="http://schemas.openxmlformats.org/officeDocument/2006/relationships" xmlns:w="http://schemas.openxmlformats.org/wordprocessingml/2006/main">
  <w:divs>
    <w:div w:id="88746300">
      <w:bodyDiv w:val="1"/>
      <w:marLeft w:val="0"/>
      <w:marRight w:val="0"/>
      <w:marTop w:val="0"/>
      <w:marBottom w:val="0"/>
      <w:divBdr>
        <w:top w:val="none" w:sz="0" w:space="0" w:color="auto"/>
        <w:left w:val="none" w:sz="0" w:space="0" w:color="auto"/>
        <w:bottom w:val="none" w:sz="0" w:space="0" w:color="auto"/>
        <w:right w:val="none" w:sz="0" w:space="0" w:color="auto"/>
      </w:divBdr>
    </w:div>
    <w:div w:id="149373038">
      <w:bodyDiv w:val="1"/>
      <w:marLeft w:val="0"/>
      <w:marRight w:val="0"/>
      <w:marTop w:val="0"/>
      <w:marBottom w:val="0"/>
      <w:divBdr>
        <w:top w:val="none" w:sz="0" w:space="0" w:color="auto"/>
        <w:left w:val="none" w:sz="0" w:space="0" w:color="auto"/>
        <w:bottom w:val="none" w:sz="0" w:space="0" w:color="auto"/>
        <w:right w:val="none" w:sz="0" w:space="0" w:color="auto"/>
      </w:divBdr>
    </w:div>
    <w:div w:id="320044109">
      <w:bodyDiv w:val="1"/>
      <w:marLeft w:val="0"/>
      <w:marRight w:val="0"/>
      <w:marTop w:val="0"/>
      <w:marBottom w:val="0"/>
      <w:divBdr>
        <w:top w:val="none" w:sz="0" w:space="0" w:color="auto"/>
        <w:left w:val="none" w:sz="0" w:space="0" w:color="auto"/>
        <w:bottom w:val="none" w:sz="0" w:space="0" w:color="auto"/>
        <w:right w:val="none" w:sz="0" w:space="0" w:color="auto"/>
      </w:divBdr>
    </w:div>
    <w:div w:id="413667589">
      <w:bodyDiv w:val="1"/>
      <w:marLeft w:val="0"/>
      <w:marRight w:val="0"/>
      <w:marTop w:val="0"/>
      <w:marBottom w:val="0"/>
      <w:divBdr>
        <w:top w:val="none" w:sz="0" w:space="0" w:color="auto"/>
        <w:left w:val="none" w:sz="0" w:space="0" w:color="auto"/>
        <w:bottom w:val="none" w:sz="0" w:space="0" w:color="auto"/>
        <w:right w:val="none" w:sz="0" w:space="0" w:color="auto"/>
      </w:divBdr>
    </w:div>
    <w:div w:id="492718920">
      <w:bodyDiv w:val="1"/>
      <w:marLeft w:val="0"/>
      <w:marRight w:val="0"/>
      <w:marTop w:val="0"/>
      <w:marBottom w:val="0"/>
      <w:divBdr>
        <w:top w:val="none" w:sz="0" w:space="0" w:color="auto"/>
        <w:left w:val="none" w:sz="0" w:space="0" w:color="auto"/>
        <w:bottom w:val="none" w:sz="0" w:space="0" w:color="auto"/>
        <w:right w:val="none" w:sz="0" w:space="0" w:color="auto"/>
      </w:divBdr>
    </w:div>
    <w:div w:id="738407726">
      <w:bodyDiv w:val="1"/>
      <w:marLeft w:val="0"/>
      <w:marRight w:val="0"/>
      <w:marTop w:val="0"/>
      <w:marBottom w:val="0"/>
      <w:divBdr>
        <w:top w:val="none" w:sz="0" w:space="0" w:color="auto"/>
        <w:left w:val="none" w:sz="0" w:space="0" w:color="auto"/>
        <w:bottom w:val="none" w:sz="0" w:space="0" w:color="auto"/>
        <w:right w:val="none" w:sz="0" w:space="0" w:color="auto"/>
      </w:divBdr>
    </w:div>
    <w:div w:id="779110279">
      <w:bodyDiv w:val="1"/>
      <w:marLeft w:val="0"/>
      <w:marRight w:val="0"/>
      <w:marTop w:val="0"/>
      <w:marBottom w:val="0"/>
      <w:divBdr>
        <w:top w:val="none" w:sz="0" w:space="0" w:color="auto"/>
        <w:left w:val="none" w:sz="0" w:space="0" w:color="auto"/>
        <w:bottom w:val="none" w:sz="0" w:space="0" w:color="auto"/>
        <w:right w:val="none" w:sz="0" w:space="0" w:color="auto"/>
      </w:divBdr>
    </w:div>
    <w:div w:id="877476776">
      <w:bodyDiv w:val="1"/>
      <w:marLeft w:val="0"/>
      <w:marRight w:val="0"/>
      <w:marTop w:val="0"/>
      <w:marBottom w:val="0"/>
      <w:divBdr>
        <w:top w:val="none" w:sz="0" w:space="0" w:color="auto"/>
        <w:left w:val="none" w:sz="0" w:space="0" w:color="auto"/>
        <w:bottom w:val="none" w:sz="0" w:space="0" w:color="auto"/>
        <w:right w:val="none" w:sz="0" w:space="0" w:color="auto"/>
      </w:divBdr>
    </w:div>
    <w:div w:id="937567755">
      <w:bodyDiv w:val="1"/>
      <w:marLeft w:val="0"/>
      <w:marRight w:val="0"/>
      <w:marTop w:val="0"/>
      <w:marBottom w:val="0"/>
      <w:divBdr>
        <w:top w:val="none" w:sz="0" w:space="0" w:color="auto"/>
        <w:left w:val="none" w:sz="0" w:space="0" w:color="auto"/>
        <w:bottom w:val="none" w:sz="0" w:space="0" w:color="auto"/>
        <w:right w:val="none" w:sz="0" w:space="0" w:color="auto"/>
      </w:divBdr>
    </w:div>
    <w:div w:id="968706276">
      <w:bodyDiv w:val="1"/>
      <w:marLeft w:val="0"/>
      <w:marRight w:val="0"/>
      <w:marTop w:val="0"/>
      <w:marBottom w:val="0"/>
      <w:divBdr>
        <w:top w:val="none" w:sz="0" w:space="0" w:color="auto"/>
        <w:left w:val="none" w:sz="0" w:space="0" w:color="auto"/>
        <w:bottom w:val="none" w:sz="0" w:space="0" w:color="auto"/>
        <w:right w:val="none" w:sz="0" w:space="0" w:color="auto"/>
      </w:divBdr>
    </w:div>
    <w:div w:id="1586572689">
      <w:bodyDiv w:val="1"/>
      <w:marLeft w:val="0"/>
      <w:marRight w:val="0"/>
      <w:marTop w:val="0"/>
      <w:marBottom w:val="0"/>
      <w:divBdr>
        <w:top w:val="none" w:sz="0" w:space="0" w:color="auto"/>
        <w:left w:val="none" w:sz="0" w:space="0" w:color="auto"/>
        <w:bottom w:val="none" w:sz="0" w:space="0" w:color="auto"/>
        <w:right w:val="none" w:sz="0" w:space="0" w:color="auto"/>
      </w:divBdr>
    </w:div>
    <w:div w:id="1652634951">
      <w:bodyDiv w:val="1"/>
      <w:marLeft w:val="0"/>
      <w:marRight w:val="0"/>
      <w:marTop w:val="0"/>
      <w:marBottom w:val="0"/>
      <w:divBdr>
        <w:top w:val="none" w:sz="0" w:space="0" w:color="auto"/>
        <w:left w:val="none" w:sz="0" w:space="0" w:color="auto"/>
        <w:bottom w:val="none" w:sz="0" w:space="0" w:color="auto"/>
        <w:right w:val="none" w:sz="0" w:space="0" w:color="auto"/>
      </w:divBdr>
    </w:div>
    <w:div w:id="2058774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735E9-7ABE-4B46-89E0-4B1CB867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1389</Words>
  <Characters>8199</Characters>
  <Application>Microsoft Office Word</Application>
  <DocSecurity>0</DocSecurity>
  <Lines>68</Lines>
  <Paragraphs>19</Paragraphs>
  <ScaleCrop>false</ScaleCrop>
  <HeadingPairs>
    <vt:vector size="6" baseType="variant">
      <vt:variant>
        <vt:lpstr>Název</vt:lpstr>
      </vt:variant>
      <vt:variant>
        <vt:i4>1</vt:i4>
      </vt:variant>
      <vt:variant>
        <vt:lpstr>Oslovení</vt:lpstr>
      </vt:variant>
      <vt:variant>
        <vt:i4>1</vt:i4>
      </vt:variant>
      <vt:variant>
        <vt:lpstr>Headings</vt:lpstr>
      </vt:variant>
      <vt:variant>
        <vt:i4>45</vt:i4>
      </vt:variant>
    </vt:vector>
  </HeadingPairs>
  <TitlesOfParts>
    <vt:vector size="47" baseType="lpstr">
      <vt:lpstr/>
      <vt:lpstr/>
      <vt:lpstr>PŘEDmět smlouvy</vt:lpstr>
      <vt:lpstr>    Předmětem této Smlouvy je koncertní turné „Swingové Vánoce 2017“</vt:lpstr>
      <vt:lpstr>        závazek Umělecké agentury zajistit koncertní vystoupení umělců a jejich osobní u</vt:lpstr>
      <vt:lpstr>        závazek Pořadatele zaplatit za zajištění provedení uměleckého výkonu Umělecké ag</vt:lpstr>
      <vt:lpstr>    UMĚLECKÉ VYSTOUPENÍ</vt:lpstr>
      <vt:lpstr>    Umělecká agentura se zavazuje zajistit umělce pro osobní provedení uměleckého vý</vt:lpstr>
      <vt:lpstr>    Umělci, kteří jsou součástí uměleckého vystoupení Swingové Vánoce 2017 jsou: Jan</vt:lpstr>
      <vt:lpstr>    ODMĚNA ZA ZAJIŠTĚNÍ PROVEDENÍ UMĚLECKÉHO VÝKONU </vt:lpstr>
      <vt:lpstr>    Strany se dohodly na ceně za provedení uměleckého vystoupení v celkové výši 157.</vt:lpstr>
      <vt:lpstr>    Podmínky výplaty Odměny jsou následující:</vt:lpstr>
      <vt:lpstr>        Jeden měsíc před koncertním vystoupením zašle Pořadatel Umělecké agentuře 1. čás</vt:lpstr>
      <vt:lpstr>        Po proběhlém uměleckém vystoupení jak je specifikováno v Příloze č. 1  uhradí Po</vt:lpstr>
      <vt:lpstr>    V Odměně jsou zahrnuty veškeré náklady Umělecké agentury vynaložené pro zajištěn</vt:lpstr>
      <vt:lpstr>    OSTATNÍ POVINNOSTI SMLUVNÍCH STRAN </vt:lpstr>
      <vt:lpstr>    Umělecká agentura se mimo jiné zavazuje splnit následující povinnosti:</vt:lpstr>
      <vt:lpstr>        Zajistit příjezd umělců do místa konání vystoupení dle Přílohy č. 1 ve stavu umo</vt:lpstr>
      <vt:lpstr>        Zajištění účasti umělců na zvukové zkoušce či jakékoliv jiné zkoušce dle rozpisu</vt:lpstr>
      <vt:lpstr>        Zajistí provedení vystoupení v nejlepší možné kvalitě, upozorní včas na komplika</vt:lpstr>
      <vt:lpstr>        bude propagovat vystoupení na webových stránkách umělců a na dalších sociálních </vt:lpstr>
      <vt:lpstr>        zajistí autogramiádu a setkání s fanoušky a s partnery koncertu po uměleckém vys</vt:lpstr>
      <vt:lpstr>        pošle Pořadateli plakáty k uměleckému vystoupení ve formátu A1 v předem domluven</vt:lpstr>
      <vt:lpstr>    Pořadatel se zavazuje:</vt:lpstr>
      <vt:lpstr>        zajistit prostory pro konání uměleckého vystoupení;</vt:lpstr>
      <vt:lpstr>        šatny pro 20 osob, z čehož ideálně 3 samostatné šatny pro sólisty (Jan Smigmator</vt:lpstr>
      <vt:lpstr>        zajistit na svůj náklad technické a bezpečnostní zabezpečení akce a  ochranu  zd</vt:lpstr>
      <vt:lpstr>        vypořádat s Ochranným svazem autorským práva k dílům hudebním, veškeré povinnost</vt:lpstr>
      <vt:lpstr>        zajistit dostatečné prostory pro merchandising, reklamu a celkovou propagaci umě</vt:lpstr>
      <vt:lpstr>    ODSTOUPENÍ OD SMLOUVY, ZÁNIK SMLOUVY </vt:lpstr>
      <vt:lpstr>    Pořadatel je oprávněn od Smlouvy odstoupit s okamžitými účinky v případě porušen</vt:lpstr>
      <vt:lpstr>    Tato Smlouva zaniká a Smluvní strany vůči sobě nebudou mít žádné vzájemné nároky</vt:lpstr>
      <vt:lpstr>        Umělecká agentura se nicméně zavazuje zajistit, že se Umělci zdrží  před konáním</vt:lpstr>
      <vt:lpstr>    SANKCE</vt:lpstr>
      <vt:lpstr>    V případě prodlení se zaplacením Odměny dle čl. 3 Smlouvy náleží Umělecké agentu</vt:lpstr>
      <vt:lpstr>    V případě porušení povinností stanovených v čl. 4.1.1, v případě neomluvené neúč</vt:lpstr>
      <vt:lpstr>    Obě Smluvní strany tímto vyjadřují svůj souhlas s tím, že výše smluvních pokut d</vt:lpstr>
      <vt:lpstr>    Zaplacení smluvní pokuty nezbavuje stranu, která porušila povinnost smluvní poku</vt:lpstr>
      <vt:lpstr>ZÁVĚREČNÁ USTANOVENÍ</vt:lpstr>
      <vt:lpstr>    Tato Smlouva se řídí českým právem. Není-li v této Smlouvě stanoveno jinak, řídí</vt:lpstr>
      <vt:lpstr>    Smluvní strany prohlašují, že při jednání o této Smlouvě měly rovné postavení a </vt:lpstr>
      <vt:lpstr>    Tato smlouva je platná a účinná okamžikem jejího podpisu všemi Smluvními stranam</vt:lpstr>
      <vt:lpstr>    Veškeré změny nebo doplňky této Smlouvy je možné činit pouze ve formě písemného </vt:lpstr>
      <vt:lpstr>    Smluvní strany se dohodly, že jakékoli spory ohledně této smlouvy budou řešeny n</vt:lpstr>
      <vt:lpstr>    Nedílnou součást této Smlouvy tvoří:</vt:lpstr>
      <vt:lpstr>    Příloha č. 1 – Specifikace uměleckého výkonu</vt:lpstr>
      <vt:lpstr>    Smluvní strany prohlašují, že tato Smlouva je projevem jejich skutečné, vážné a </vt:lpstr>
    </vt:vector>
  </TitlesOfParts>
  <Company>profesor turbo</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průdková</dc:creator>
  <cp:lastModifiedBy>sekretariat</cp:lastModifiedBy>
  <cp:revision>4</cp:revision>
  <cp:lastPrinted>2017-05-30T08:36:00Z</cp:lastPrinted>
  <dcterms:created xsi:type="dcterms:W3CDTF">2017-05-30T09:00:00Z</dcterms:created>
  <dcterms:modified xsi:type="dcterms:W3CDTF">2017-05-30T09:03:00Z</dcterms:modified>
</cp:coreProperties>
</file>