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076179DE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671F2D">
        <w:rPr>
          <w:rFonts w:ascii="Arial" w:hAnsi="Arial" w:cs="Arial"/>
        </w:rPr>
        <w:t>58652022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DD0924C" w14:textId="77777777" w:rsidR="00746617" w:rsidRPr="00060CDB" w:rsidRDefault="00746617" w:rsidP="00746617">
      <w:pPr>
        <w:pStyle w:val="Nadpis1"/>
        <w:jc w:val="both"/>
        <w:rPr>
          <w:rFonts w:ascii="Arial" w:hAnsi="Arial" w:cs="Arial"/>
          <w:sz w:val="24"/>
        </w:rPr>
      </w:pPr>
      <w:r w:rsidRPr="00060CDB">
        <w:rPr>
          <w:rFonts w:ascii="Arial" w:hAnsi="Arial" w:cs="Arial"/>
          <w:sz w:val="24"/>
        </w:rPr>
        <w:t>Obec Velhartice</w:t>
      </w:r>
    </w:p>
    <w:p w14:paraId="6589214F" w14:textId="77777777" w:rsidR="00746617" w:rsidRPr="00060CDB" w:rsidRDefault="00746617" w:rsidP="00746617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060CDB">
        <w:rPr>
          <w:rFonts w:ascii="Arial" w:hAnsi="Arial" w:cs="Arial"/>
        </w:rPr>
        <w:t>Sídlo:</w:t>
      </w:r>
      <w:r w:rsidRPr="00060CDB">
        <w:rPr>
          <w:rFonts w:ascii="Arial" w:hAnsi="Arial" w:cs="Arial"/>
        </w:rPr>
        <w:tab/>
      </w:r>
      <w:r w:rsidRPr="00060CDB">
        <w:rPr>
          <w:rFonts w:ascii="Arial" w:hAnsi="Arial" w:cs="Arial"/>
        </w:rPr>
        <w:tab/>
        <w:t>Velhartice 134, 341 42</w:t>
      </w:r>
      <w:r>
        <w:rPr>
          <w:rFonts w:ascii="Arial" w:hAnsi="Arial" w:cs="Arial"/>
        </w:rPr>
        <w:t xml:space="preserve">  Velhartice</w:t>
      </w:r>
    </w:p>
    <w:p w14:paraId="58CFBA46" w14:textId="77777777" w:rsidR="00746617" w:rsidRPr="00060CDB" w:rsidRDefault="00746617" w:rsidP="00746617">
      <w:pPr>
        <w:ind w:left="4111" w:hanging="4111"/>
        <w:jc w:val="both"/>
        <w:rPr>
          <w:rFonts w:ascii="Arial" w:hAnsi="Arial" w:cs="Arial"/>
        </w:rPr>
      </w:pPr>
      <w:r w:rsidRPr="00060CDB">
        <w:rPr>
          <w:rFonts w:ascii="Arial" w:hAnsi="Arial" w:cs="Arial"/>
        </w:rPr>
        <w:t>Osoba oprávněná k podpisu:</w:t>
      </w:r>
      <w:r w:rsidRPr="00060CDB">
        <w:rPr>
          <w:rFonts w:ascii="Arial" w:hAnsi="Arial" w:cs="Arial"/>
        </w:rPr>
        <w:tab/>
      </w:r>
      <w:r>
        <w:rPr>
          <w:rFonts w:ascii="Arial" w:hAnsi="Arial" w:cs="Arial"/>
        </w:rPr>
        <w:t>Ing. Václav Jarošík</w:t>
      </w:r>
      <w:r w:rsidRPr="00060CDB">
        <w:rPr>
          <w:rFonts w:ascii="Arial" w:hAnsi="Arial" w:cs="Arial"/>
        </w:rPr>
        <w:t>, starosta</w:t>
      </w:r>
    </w:p>
    <w:p w14:paraId="342A02D2" w14:textId="77777777" w:rsidR="00746617" w:rsidRPr="00C058BB" w:rsidRDefault="00746617" w:rsidP="00746617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60CDB">
        <w:rPr>
          <w:rFonts w:ascii="Arial" w:hAnsi="Arial" w:cs="Arial"/>
        </w:rPr>
        <w:t>IČO: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 w:rsidRPr="00060CDB">
        <w:rPr>
          <w:rFonts w:ascii="Arial" w:hAnsi="Arial" w:cs="Arial"/>
        </w:rPr>
        <w:tab/>
        <w:t>00256242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lastRenderedPageBreak/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4588F88F" w14:textId="77777777" w:rsidR="00746617" w:rsidRDefault="00746617" w:rsidP="00746617">
      <w:pPr>
        <w:pStyle w:val="text"/>
        <w:numPr>
          <w:ilvl w:val="1"/>
          <w:numId w:val="2"/>
        </w:numPr>
      </w:pPr>
      <w:r w:rsidRPr="000458B5">
        <w:rPr>
          <w:b/>
          <w:u w:val="single"/>
        </w:rPr>
        <w:t>Pečovatelská služba</w:t>
      </w:r>
      <w:r w:rsidRPr="00961425">
        <w:rPr>
          <w:b/>
          <w:i/>
        </w:rPr>
        <w:t xml:space="preserve"> </w:t>
      </w:r>
      <w:r>
        <w:t>v tomto rozsahu:</w:t>
      </w:r>
    </w:p>
    <w:p w14:paraId="32B4554D" w14:textId="77777777" w:rsidR="00746617" w:rsidRDefault="00746617" w:rsidP="00746617">
      <w:pPr>
        <w:pStyle w:val="text"/>
        <w:ind w:left="792"/>
        <w:rPr>
          <w:b/>
          <w:i/>
        </w:rPr>
      </w:pPr>
    </w:p>
    <w:p w14:paraId="4B392C29" w14:textId="77777777" w:rsidR="00746617" w:rsidRPr="005C090F" w:rsidRDefault="00746617" w:rsidP="00746617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Forma poskytování služby: </w:t>
      </w:r>
      <w:r w:rsidRPr="005C090F">
        <w:rPr>
          <w:b/>
        </w:rPr>
        <w:t>terénní</w:t>
      </w:r>
    </w:p>
    <w:p w14:paraId="6B5FFBC8" w14:textId="77777777" w:rsidR="00746617" w:rsidRPr="005C090F" w:rsidRDefault="00746617" w:rsidP="00746617">
      <w:pPr>
        <w:pStyle w:val="text"/>
        <w:ind w:left="1224"/>
        <w:rPr>
          <w:b/>
        </w:rPr>
      </w:pPr>
    </w:p>
    <w:p w14:paraId="5C4B0E28" w14:textId="77777777" w:rsidR="00746617" w:rsidRPr="006D02BA" w:rsidRDefault="00746617" w:rsidP="00746617">
      <w:pPr>
        <w:pStyle w:val="text"/>
        <w:numPr>
          <w:ilvl w:val="2"/>
          <w:numId w:val="2"/>
        </w:numPr>
        <w:ind w:left="1214"/>
      </w:pPr>
      <w:r>
        <w:t xml:space="preserve"> Identifikátor služby: </w:t>
      </w:r>
      <w:r>
        <w:rPr>
          <w:b/>
        </w:rPr>
        <w:t>2369185</w:t>
      </w:r>
    </w:p>
    <w:p w14:paraId="466B00F4" w14:textId="77777777" w:rsidR="00746617" w:rsidRDefault="00746617" w:rsidP="00746617">
      <w:pPr>
        <w:pStyle w:val="text"/>
      </w:pPr>
    </w:p>
    <w:p w14:paraId="1210641D" w14:textId="77777777" w:rsidR="00746617" w:rsidRDefault="00746617" w:rsidP="00746617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19DD6D5A" w14:textId="77777777" w:rsidR="00746617" w:rsidRDefault="00746617" w:rsidP="00746617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5EB8CDBD" w14:textId="77777777" w:rsidR="00746617" w:rsidRDefault="00746617" w:rsidP="00746617">
      <w:pPr>
        <w:pStyle w:val="text"/>
        <w:ind w:left="1224"/>
      </w:pPr>
    </w:p>
    <w:p w14:paraId="72B9C6C4" w14:textId="77777777" w:rsidR="00746617" w:rsidRDefault="00746617" w:rsidP="00746617">
      <w:pPr>
        <w:pStyle w:val="text"/>
        <w:numPr>
          <w:ilvl w:val="2"/>
          <w:numId w:val="2"/>
        </w:numPr>
        <w:ind w:left="1214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5C0B37C0" w14:textId="77777777" w:rsidR="00746617" w:rsidRDefault="00746617" w:rsidP="00746617">
      <w:pPr>
        <w:pStyle w:val="text"/>
        <w:ind w:firstLine="1134"/>
        <w:rPr>
          <w:b/>
        </w:rPr>
      </w:pPr>
      <w:r>
        <w:rPr>
          <w:b/>
        </w:rPr>
        <w:t xml:space="preserve">    Terénní forma – 2 klienti</w:t>
      </w:r>
    </w:p>
    <w:p w14:paraId="3566A5FB" w14:textId="77777777" w:rsidR="00746617" w:rsidRDefault="00746617" w:rsidP="00746617">
      <w:pPr>
        <w:pStyle w:val="text"/>
        <w:ind w:firstLine="1134"/>
        <w:rPr>
          <w:b/>
        </w:rPr>
      </w:pPr>
    </w:p>
    <w:p w14:paraId="3DFA50DF" w14:textId="77777777" w:rsidR="00746617" w:rsidRPr="003B10F1" w:rsidRDefault="00746617" w:rsidP="00746617">
      <w:pPr>
        <w:pStyle w:val="text"/>
        <w:numPr>
          <w:ilvl w:val="2"/>
          <w:numId w:val="2"/>
        </w:numPr>
        <w:ind w:left="1418" w:hanging="708"/>
        <w:rPr>
          <w:b/>
        </w:rPr>
      </w:pPr>
      <w:r w:rsidRPr="00857776">
        <w:t>Pers</w:t>
      </w:r>
      <w:r w:rsidRPr="003B10F1">
        <w:t>onální zajištění služby:</w:t>
      </w:r>
    </w:p>
    <w:p w14:paraId="46FD47D0" w14:textId="77777777" w:rsidR="00746617" w:rsidRPr="003B10F1" w:rsidRDefault="00746617" w:rsidP="00746617">
      <w:pPr>
        <w:pStyle w:val="text"/>
        <w:ind w:left="1224" w:hanging="90"/>
        <w:rPr>
          <w:b/>
        </w:rPr>
      </w:pPr>
      <w:r w:rsidRPr="003B10F1">
        <w:rPr>
          <w:b/>
        </w:rPr>
        <w:t xml:space="preserve">     Počet úvazků – 1,01</w:t>
      </w:r>
    </w:p>
    <w:p w14:paraId="7DB8D75E" w14:textId="77777777" w:rsidR="00746617" w:rsidRDefault="00746617" w:rsidP="00746617">
      <w:pPr>
        <w:pStyle w:val="text"/>
        <w:ind w:left="426"/>
        <w:rPr>
          <w:b/>
        </w:rPr>
      </w:pPr>
      <w:r w:rsidRPr="003B10F1">
        <w:rPr>
          <w:b/>
        </w:rPr>
        <w:t xml:space="preserve">                Počet úvazků v přímé péči </w:t>
      </w:r>
      <w:r w:rsidRPr="003B10F1">
        <w:t>(pracovníci v sociálních službách)</w:t>
      </w:r>
      <w:r w:rsidRPr="003B10F1">
        <w:rPr>
          <w:b/>
        </w:rPr>
        <w:t xml:space="preserve"> – 1</w:t>
      </w:r>
      <w:r>
        <w:rPr>
          <w:b/>
        </w:rPr>
        <w:t xml:space="preserve">      </w:t>
      </w:r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7D215198" w:rsidR="00AB6CE2" w:rsidRPr="00746617" w:rsidRDefault="001555C5" w:rsidP="004F3BAC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746617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746617">
        <w:rPr>
          <w:rFonts w:ascii="Arial" w:hAnsi="Arial" w:cs="Arial"/>
        </w:rPr>
        <w:t>v případě takového navýšení j</w:t>
      </w:r>
      <w:r w:rsidRPr="00746617">
        <w:rPr>
          <w:rFonts w:ascii="Arial" w:hAnsi="Arial" w:cs="Arial"/>
        </w:rPr>
        <w:t>e sociální služba poskytována v souladu s</w:t>
      </w:r>
      <w:r w:rsidR="00431A46" w:rsidRPr="00746617">
        <w:rPr>
          <w:rFonts w:ascii="Arial" w:hAnsi="Arial" w:cs="Arial"/>
        </w:rPr>
        <w:t xml:space="preserve"> tímto</w:t>
      </w:r>
      <w:r w:rsidRPr="00746617">
        <w:rPr>
          <w:rFonts w:ascii="Arial" w:hAnsi="Arial" w:cs="Arial"/>
        </w:rPr>
        <w:t xml:space="preserve"> </w:t>
      </w:r>
      <w:r w:rsidR="00D33981" w:rsidRPr="00746617">
        <w:rPr>
          <w:rFonts w:ascii="Arial" w:hAnsi="Arial" w:cs="Arial"/>
        </w:rPr>
        <w:t>p</w:t>
      </w:r>
      <w:r w:rsidRPr="00746617">
        <w:rPr>
          <w:rFonts w:ascii="Arial" w:hAnsi="Arial" w:cs="Arial"/>
        </w:rPr>
        <w:t xml:space="preserve">ověřením. </w:t>
      </w:r>
      <w:r w:rsidR="006A1D8E" w:rsidRPr="00746617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746617">
        <w:rPr>
          <w:rFonts w:ascii="Arial" w:hAnsi="Arial" w:cs="Arial"/>
        </w:rPr>
        <w:t>IV.</w:t>
      </w:r>
      <w:r w:rsidR="006A1D8E" w:rsidRPr="00746617">
        <w:rPr>
          <w:rFonts w:ascii="Arial" w:hAnsi="Arial" w:cs="Arial"/>
        </w:rPr>
        <w:t xml:space="preserve"> tohoto pověření ani </w:t>
      </w:r>
      <w:r w:rsidR="00586EFE" w:rsidRPr="00746617">
        <w:rPr>
          <w:rFonts w:ascii="Arial" w:hAnsi="Arial" w:cs="Arial"/>
        </w:rPr>
        <w:br/>
      </w:r>
      <w:r w:rsidR="006A1D8E" w:rsidRPr="00746617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746617">
        <w:rPr>
          <w:rFonts w:ascii="Arial" w:hAnsi="Arial" w:cs="Arial"/>
        </w:rPr>
        <w:t>s</w:t>
      </w:r>
      <w:r w:rsidR="006A1D8E" w:rsidRPr="00746617">
        <w:rPr>
          <w:rFonts w:ascii="Arial" w:hAnsi="Arial" w:cs="Arial"/>
        </w:rPr>
        <w:t xml:space="preserve">třednědobém plánu rozvoje sociálních služeb v Plzeňském kraji </w:t>
      </w:r>
      <w:r w:rsidR="00586EFE" w:rsidRPr="00746617">
        <w:rPr>
          <w:rFonts w:ascii="Arial" w:hAnsi="Arial" w:cs="Arial"/>
        </w:rPr>
        <w:br/>
      </w:r>
      <w:r w:rsidR="006A1D8E" w:rsidRPr="00746617">
        <w:rPr>
          <w:rFonts w:ascii="Arial" w:hAnsi="Arial" w:cs="Arial"/>
        </w:rPr>
        <w:t xml:space="preserve">se tímto navýšením úvazků nemění. </w:t>
      </w:r>
    </w:p>
    <w:p w14:paraId="7B173B78" w14:textId="77777777" w:rsidR="009660E7" w:rsidRPr="009660E7" w:rsidRDefault="009660E7" w:rsidP="009660E7">
      <w:pPr>
        <w:pStyle w:val="Odstavecseseznamem"/>
        <w:rPr>
          <w:b/>
        </w:rPr>
      </w:pPr>
    </w:p>
    <w:p w14:paraId="07C71D40" w14:textId="77777777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48CEFF89" w:rsidR="00035667" w:rsidRPr="002A43DF" w:rsidRDefault="00746617" w:rsidP="00746617">
      <w:pPr>
        <w:pStyle w:val="text"/>
        <w:numPr>
          <w:ilvl w:val="1"/>
          <w:numId w:val="23"/>
        </w:numPr>
        <w:spacing w:after="0"/>
      </w:pPr>
      <w:r w:rsidRPr="00A648C2">
        <w:rPr>
          <w:b/>
          <w:u w:val="single"/>
        </w:rPr>
        <w:t>Pečovatelská služba</w:t>
      </w:r>
      <w:r w:rsidRPr="00A648C2">
        <w:rPr>
          <w:b/>
        </w:rPr>
        <w:t xml:space="preserve">, ID: 2369185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644.280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746617">
        <w:t>šest set čtyřicet čtyři tisíc dvě stě osmdesát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6A71DBBB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2D079117" w14:textId="77777777" w:rsidR="00746617" w:rsidRDefault="00746617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73438DDB" w:rsidR="002018F6" w:rsidRDefault="00746617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 </w:t>
      </w:r>
      <w:r w:rsidR="009660E7">
        <w:t xml:space="preserve"> </w:t>
      </w:r>
      <w:r>
        <w:rPr>
          <w:rFonts w:ascii="Arial" w:hAnsi="Arial" w:cs="Arial"/>
        </w:rPr>
        <w:t>Ing. Václav Jarošík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01632018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</w:t>
      </w:r>
      <w:r w:rsidR="009660E7">
        <w:rPr>
          <w:rFonts w:ascii="Arial" w:hAnsi="Arial" w:cs="Arial"/>
        </w:rPr>
        <w:t xml:space="preserve">  </w:t>
      </w:r>
      <w:r w:rsidR="00746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46617" w:rsidRPr="00060CDB"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2EE40D71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671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1F2D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6617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BE66D-BB96-434B-A69E-132B2AD7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2050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2022-12-14T15:24:00Z</dcterms:created>
  <dcterms:modified xsi:type="dcterms:W3CDTF">2022-12-19T11:09:00Z</dcterms:modified>
</cp:coreProperties>
</file>