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417869">
        <w:rPr>
          <w:rFonts w:asciiTheme="minorHAnsi" w:hAnsiTheme="minorHAnsi"/>
          <w:b/>
          <w:sz w:val="28"/>
          <w:szCs w:val="28"/>
        </w:rPr>
        <w:t>00029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062E5C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062E5C">
        <w:rPr>
          <w:rFonts w:asciiTheme="minorHAnsi" w:hAnsiTheme="minorHAnsi"/>
          <w:sz w:val="22"/>
          <w:szCs w:val="22"/>
        </w:rPr>
        <w:t>Poskytovatel dotace:</w:t>
      </w:r>
    </w:p>
    <w:p w:rsidR="000A0147" w:rsidRPr="00062E5C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062E5C">
        <w:rPr>
          <w:rFonts w:asciiTheme="minorHAnsi" w:hAnsiTheme="minorHAnsi"/>
          <w:b/>
          <w:sz w:val="22"/>
          <w:szCs w:val="22"/>
        </w:rPr>
        <w:t>Statutární město Pardubice,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proofErr w:type="gramStart"/>
      <w:r w:rsidR="00EE1818">
        <w:rPr>
          <w:rFonts w:asciiTheme="minorHAnsi" w:hAnsiTheme="minorHAnsi"/>
          <w:sz w:val="22"/>
          <w:szCs w:val="22"/>
        </w:rPr>
        <w:t>Magistrátu  města</w:t>
      </w:r>
      <w:proofErr w:type="gramEnd"/>
      <w:r w:rsidR="00EE1818">
        <w:rPr>
          <w:rFonts w:asciiTheme="minorHAnsi" w:hAnsiTheme="minorHAnsi"/>
          <w:sz w:val="22"/>
          <w:szCs w:val="22"/>
        </w:rPr>
        <w:t xml:space="preserve">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062E5C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62E5C">
        <w:rPr>
          <w:rFonts w:asciiTheme="minorHAnsi" w:hAnsiTheme="minorHAnsi"/>
          <w:sz w:val="22"/>
          <w:szCs w:val="22"/>
        </w:rPr>
        <w:t>Příjemce dotace:</w:t>
      </w:r>
    </w:p>
    <w:p w:rsidR="00EB5E74" w:rsidRPr="00062E5C" w:rsidRDefault="006C45E4" w:rsidP="007A01F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Rodinné centrum </w:t>
      </w:r>
      <w:proofErr w:type="spellStart"/>
      <w:proofErr w:type="gramStart"/>
      <w:r>
        <w:rPr>
          <w:rFonts w:asciiTheme="minorHAnsi" w:hAnsiTheme="minorHAnsi"/>
          <w:b/>
          <w:sz w:val="22"/>
          <w:szCs w:val="22"/>
        </w:rPr>
        <w:t>Kulihrášek</w:t>
      </w:r>
      <w:proofErr w:type="spellEnd"/>
      <w:r>
        <w:rPr>
          <w:rFonts w:asciiTheme="minorHAnsi" w:hAnsiTheme="minorHAnsi"/>
          <w:b/>
          <w:sz w:val="22"/>
          <w:szCs w:val="22"/>
        </w:rPr>
        <w:t>, z.s.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</w:t>
      </w:r>
      <w:r w:rsidR="00FE03BD">
        <w:rPr>
          <w:rFonts w:asciiTheme="minorHAnsi" w:hAnsiTheme="minorHAnsi"/>
          <w:b/>
          <w:sz w:val="22"/>
          <w:szCs w:val="22"/>
        </w:rPr>
        <w:t xml:space="preserve"> 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6C45E4">
        <w:rPr>
          <w:rFonts w:asciiTheme="minorHAnsi" w:hAnsiTheme="minorHAnsi"/>
          <w:sz w:val="22"/>
          <w:szCs w:val="22"/>
        </w:rPr>
        <w:t>Mandysova 335, Pardubice, 530 03,</w:t>
      </w:r>
      <w:r w:rsidR="00FE03BD">
        <w:rPr>
          <w:rFonts w:asciiTheme="minorHAnsi" w:hAnsiTheme="minorHAnsi"/>
          <w:sz w:val="22"/>
          <w:szCs w:val="22"/>
        </w:rPr>
        <w:t xml:space="preserve"> 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6C45E4">
        <w:rPr>
          <w:rFonts w:asciiTheme="minorHAnsi" w:hAnsiTheme="minorHAnsi"/>
          <w:sz w:val="22"/>
          <w:szCs w:val="22"/>
        </w:rPr>
        <w:t>28551541</w:t>
      </w:r>
      <w:r w:rsidR="00A973F6">
        <w:rPr>
          <w:rFonts w:asciiTheme="minorHAnsi" w:hAnsiTheme="minorHAnsi"/>
          <w:sz w:val="22"/>
          <w:szCs w:val="22"/>
        </w:rPr>
        <w:t>,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2A5DCE"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 w:rsidR="002A5DCE"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6C45E4">
        <w:rPr>
          <w:rFonts w:asciiTheme="minorHAnsi" w:hAnsiTheme="minorHAnsi"/>
          <w:sz w:val="22"/>
          <w:szCs w:val="22"/>
        </w:rPr>
        <w:t>2900534226/2010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zastoupen</w:t>
      </w:r>
      <w:r w:rsidR="006C45E4">
        <w:rPr>
          <w:rFonts w:asciiTheme="minorHAnsi" w:hAnsiTheme="minorHAnsi"/>
          <w:sz w:val="22"/>
          <w:szCs w:val="22"/>
        </w:rPr>
        <w:t>ý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5835D6">
        <w:rPr>
          <w:rFonts w:asciiTheme="minorHAnsi" w:hAnsiTheme="minorHAnsi"/>
          <w:sz w:val="22"/>
          <w:szCs w:val="22"/>
        </w:rPr>
        <w:t xml:space="preserve"> </w:t>
      </w:r>
      <w:r w:rsidR="006C45E4">
        <w:rPr>
          <w:rFonts w:asciiTheme="minorHAnsi" w:hAnsiTheme="minorHAnsi"/>
          <w:sz w:val="22"/>
          <w:szCs w:val="22"/>
        </w:rPr>
        <w:t>Mgr. Táňou Pipkovou, Ph.D., předsedkyní rady spolku,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</w:t>
      </w:r>
      <w:r w:rsidR="002E686C">
        <w:rPr>
          <w:rFonts w:asciiTheme="minorHAnsi" w:hAnsiTheme="minorHAnsi"/>
          <w:sz w:val="22"/>
          <w:szCs w:val="22"/>
        </w:rPr>
        <w:t xml:space="preserve"> 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6C45E4">
        <w:rPr>
          <w:rFonts w:asciiTheme="minorHAnsi" w:hAnsiTheme="minorHAnsi"/>
          <w:sz w:val="22"/>
          <w:szCs w:val="22"/>
        </w:rPr>
        <w:t xml:space="preserve">volného času </w:t>
      </w:r>
      <w:r>
        <w:rPr>
          <w:rFonts w:asciiTheme="minorHAnsi" w:hAnsiTheme="minorHAnsi"/>
          <w:sz w:val="22"/>
          <w:szCs w:val="22"/>
        </w:rPr>
        <w:t>pro rok 201</w:t>
      </w:r>
      <w:r w:rsidR="00B7536D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r w:rsidR="00DA3B85">
        <w:rPr>
          <w:rFonts w:asciiTheme="minorHAnsi" w:hAnsiTheme="minorHAnsi"/>
          <w:sz w:val="22"/>
          <w:szCs w:val="22"/>
        </w:rPr>
        <w:t>1</w:t>
      </w:r>
      <w:r w:rsidR="00B7536D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1</w:t>
      </w:r>
      <w:r w:rsidR="00322DD6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201</w:t>
      </w:r>
      <w:r w:rsidR="00B7536D">
        <w:rPr>
          <w:rFonts w:asciiTheme="minorHAnsi" w:hAnsiTheme="minorHAnsi"/>
          <w:sz w:val="22"/>
          <w:szCs w:val="22"/>
        </w:rPr>
        <w:t>6</w:t>
      </w:r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2E686C">
        <w:rPr>
          <w:rFonts w:asciiTheme="minorHAnsi" w:hAnsiTheme="minorHAnsi"/>
          <w:sz w:val="22"/>
          <w:szCs w:val="22"/>
        </w:rPr>
        <w:t xml:space="preserve"> R/451</w:t>
      </w:r>
      <w:r w:rsidR="00CB0EB0">
        <w:rPr>
          <w:rFonts w:asciiTheme="minorHAnsi" w:hAnsiTheme="minorHAnsi"/>
          <w:sz w:val="22"/>
          <w:szCs w:val="22"/>
        </w:rPr>
        <w:t>1</w:t>
      </w:r>
      <w:r w:rsidR="002E686C">
        <w:rPr>
          <w:rFonts w:asciiTheme="minorHAnsi" w:hAnsiTheme="minorHAnsi"/>
          <w:sz w:val="22"/>
          <w:szCs w:val="22"/>
        </w:rPr>
        <w:t>/2016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</w:t>
      </w:r>
      <w:r w:rsidR="00FC2095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Zastupitelstvem města Pardubic dne 29. 1. 2015 usnesením č. </w:t>
      </w:r>
      <w:r w:rsidR="00DA3B85">
        <w:rPr>
          <w:rFonts w:asciiTheme="minorHAnsi" w:hAnsiTheme="minorHAnsi"/>
          <w:sz w:val="22"/>
          <w:szCs w:val="22"/>
        </w:rPr>
        <w:t>117 Z/2015</w:t>
      </w:r>
      <w:r>
        <w:rPr>
          <w:rFonts w:asciiTheme="minorHAnsi" w:hAnsiTheme="minorHAnsi"/>
          <w:sz w:val="22"/>
          <w:szCs w:val="22"/>
        </w:rPr>
        <w:t xml:space="preserve"> (Směrnice č. 2/2015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9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306B03">
        <w:rPr>
          <w:rFonts w:asciiTheme="minorHAnsi" w:hAnsiTheme="minorHAnsi"/>
          <w:sz w:val="22"/>
          <w:szCs w:val="22"/>
        </w:rPr>
        <w:t xml:space="preserve"> Programu podpory </w:t>
      </w:r>
      <w:r w:rsidR="00CB0EB0">
        <w:rPr>
          <w:rFonts w:asciiTheme="minorHAnsi" w:hAnsiTheme="minorHAnsi"/>
          <w:sz w:val="22"/>
          <w:szCs w:val="22"/>
        </w:rPr>
        <w:t>volného času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 xml:space="preserve">ve </w:t>
      </w:r>
      <w:r w:rsidR="00772A39" w:rsidRPr="00D5347D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CB0EB0">
        <w:rPr>
          <w:rFonts w:asciiTheme="minorHAnsi" w:hAnsiTheme="minorHAnsi"/>
          <w:b/>
          <w:sz w:val="22"/>
          <w:szCs w:val="22"/>
        </w:rPr>
        <w:t>70</w:t>
      </w:r>
      <w:r w:rsidR="002E686C">
        <w:rPr>
          <w:rFonts w:asciiTheme="minorHAnsi" w:hAnsiTheme="minorHAnsi"/>
          <w:b/>
          <w:sz w:val="22"/>
          <w:szCs w:val="22"/>
        </w:rPr>
        <w:t>.000</w:t>
      </w:r>
      <w:r w:rsidRPr="00BC41E3">
        <w:rPr>
          <w:rFonts w:asciiTheme="minorHAnsi" w:hAnsiTheme="minorHAnsi"/>
          <w:b/>
          <w:sz w:val="22"/>
          <w:szCs w:val="22"/>
        </w:rPr>
        <w:t xml:space="preserve"> Kč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FA2CBA" w:rsidRPr="002B39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B0EB0">
        <w:rPr>
          <w:rFonts w:asciiTheme="minorHAnsi" w:hAnsiTheme="minorHAnsi"/>
          <w:sz w:val="22"/>
          <w:szCs w:val="22"/>
        </w:rPr>
        <w:t>Sedmdesátt</w:t>
      </w:r>
      <w:r w:rsidR="00EC510D" w:rsidRPr="002B3971">
        <w:rPr>
          <w:rFonts w:asciiTheme="minorHAnsi" w:hAnsiTheme="minorHAnsi"/>
          <w:sz w:val="22"/>
          <w:szCs w:val="22"/>
        </w:rPr>
        <w:t>isíc</w:t>
      </w:r>
      <w:r w:rsidR="008D7FF1" w:rsidRPr="002B3971">
        <w:rPr>
          <w:rFonts w:asciiTheme="minorHAnsi" w:hAnsiTheme="minorHAnsi"/>
          <w:sz w:val="22"/>
          <w:szCs w:val="22"/>
        </w:rPr>
        <w:t>korunče</w:t>
      </w:r>
      <w:r w:rsidRPr="002B3971">
        <w:rPr>
          <w:rFonts w:asciiTheme="minorHAnsi" w:hAnsiTheme="minorHAnsi"/>
          <w:sz w:val="22"/>
          <w:szCs w:val="22"/>
        </w:rPr>
        <w:t>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2B3971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CB0EB0" w:rsidRPr="00CB0EB0">
        <w:rPr>
          <w:rFonts w:asciiTheme="minorHAnsi" w:hAnsiTheme="minorHAnsi"/>
          <w:b/>
          <w:sz w:val="22"/>
          <w:szCs w:val="22"/>
        </w:rPr>
        <w:t xml:space="preserve">Šťastná rodina s </w:t>
      </w:r>
      <w:proofErr w:type="spellStart"/>
      <w:r w:rsidR="00CB0EB0" w:rsidRPr="00CB0EB0">
        <w:rPr>
          <w:rFonts w:asciiTheme="minorHAnsi" w:hAnsiTheme="minorHAnsi"/>
          <w:b/>
          <w:sz w:val="22"/>
          <w:szCs w:val="22"/>
        </w:rPr>
        <w:t>Kulihráškem</w:t>
      </w:r>
      <w:proofErr w:type="spellEnd"/>
      <w:r w:rsidR="00FE03BD">
        <w:rPr>
          <w:rFonts w:asciiTheme="minorHAnsi" w:hAnsiTheme="minorHAnsi"/>
          <w:sz w:val="22"/>
          <w:szCs w:val="22"/>
        </w:rPr>
        <w:t>“</w:t>
      </w:r>
      <w:r w:rsidR="00346869">
        <w:rPr>
          <w:rFonts w:asciiTheme="minorHAnsi" w:hAnsiTheme="minorHAnsi"/>
          <w:sz w:val="22"/>
          <w:szCs w:val="22"/>
        </w:rPr>
        <w:t xml:space="preserve">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Pr="00E21A6E" w:rsidRDefault="00126D25" w:rsidP="00126D25">
      <w:pPr>
        <w:jc w:val="both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2B3971">
        <w:rPr>
          <w:rFonts w:asciiTheme="minorHAnsi" w:hAnsiTheme="minorHAnsi"/>
          <w:sz w:val="22"/>
          <w:szCs w:val="22"/>
        </w:rPr>
        <w:t xml:space="preserve">31. </w:t>
      </w:r>
      <w:r w:rsidR="002E686C">
        <w:rPr>
          <w:rFonts w:asciiTheme="minorHAnsi" w:hAnsiTheme="minorHAnsi"/>
          <w:sz w:val="22"/>
          <w:szCs w:val="22"/>
        </w:rPr>
        <w:t>12</w:t>
      </w:r>
      <w:r w:rsidR="002B3971">
        <w:rPr>
          <w:rFonts w:asciiTheme="minorHAnsi" w:hAnsiTheme="minorHAnsi"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CB0EB0">
        <w:rPr>
          <w:rFonts w:asciiTheme="minorHAnsi" w:hAnsiTheme="minorHAnsi"/>
          <w:sz w:val="22"/>
          <w:szCs w:val="22"/>
        </w:rPr>
        <w:t>1. 2.</w:t>
      </w:r>
      <w:r w:rsidR="002E686C">
        <w:rPr>
          <w:rFonts w:asciiTheme="minorHAnsi" w:hAnsiTheme="minorHAnsi"/>
          <w:sz w:val="22"/>
          <w:szCs w:val="22"/>
        </w:rPr>
        <w:t xml:space="preserve"> 2017</w:t>
      </w:r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686C">
        <w:rPr>
          <w:rFonts w:asciiTheme="minorHAnsi" w:hAnsiTheme="minorHAnsi"/>
          <w:sz w:val="22"/>
          <w:szCs w:val="22"/>
        </w:rPr>
        <w:t>MmP</w:t>
      </w:r>
      <w:proofErr w:type="spellEnd"/>
      <w:r w:rsidR="002E686C">
        <w:rPr>
          <w:rFonts w:asciiTheme="minorHAnsi" w:hAnsiTheme="minorHAnsi"/>
          <w:sz w:val="22"/>
          <w:szCs w:val="22"/>
        </w:rPr>
        <w:t xml:space="preserve"> </w:t>
      </w:r>
      <w:r w:rsidR="00CB0EB0">
        <w:rPr>
          <w:rFonts w:asciiTheme="minorHAnsi" w:hAnsiTheme="minorHAnsi"/>
          <w:sz w:val="22"/>
          <w:szCs w:val="22"/>
        </w:rPr>
        <w:t>8353</w:t>
      </w:r>
      <w:r w:rsidR="002E686C">
        <w:rPr>
          <w:rFonts w:asciiTheme="minorHAnsi" w:hAnsiTheme="minorHAnsi"/>
          <w:sz w:val="22"/>
          <w:szCs w:val="22"/>
        </w:rPr>
        <w:t>/2017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 w:rsidR="00FA2CBA"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CB0EB0">
        <w:rPr>
          <w:rFonts w:asciiTheme="minorHAnsi" w:hAnsiTheme="minorHAnsi"/>
          <w:sz w:val="22"/>
          <w:szCs w:val="22"/>
        </w:rPr>
        <w:t>75</w:t>
      </w:r>
      <w:r w:rsidRPr="0077759E">
        <w:rPr>
          <w:rFonts w:asciiTheme="minorHAnsi" w:hAnsiTheme="minorHAnsi"/>
          <w:sz w:val="22"/>
          <w:szCs w:val="22"/>
        </w:rPr>
        <w:t xml:space="preserve"> % z celkových vyúčtovaných uznatelných nákladů projektu,</w:t>
      </w:r>
    </w:p>
    <w:p w:rsidR="000A0147" w:rsidRPr="0077759E" w:rsidRDefault="000A0147" w:rsidP="00985DD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Pr="0077759E">
        <w:rPr>
          <w:rFonts w:asciiTheme="minorHAnsi" w:hAnsiTheme="minorHAnsi"/>
          <w:sz w:val="22"/>
          <w:szCs w:val="22"/>
        </w:rPr>
        <w:t xml:space="preserve"> 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C5300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</w:t>
      </w:r>
      <w:r w:rsidRPr="00062E5C">
        <w:rPr>
          <w:rFonts w:ascii="Calibri" w:hAnsi="Calibri"/>
          <w:b/>
          <w:sz w:val="22"/>
          <w:szCs w:val="22"/>
        </w:rPr>
        <w:t>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>podpisem oprávněné osoby</w:t>
      </w:r>
      <w:r w:rsidR="001001C1" w:rsidRPr="00306B03">
        <w:rPr>
          <w:rFonts w:ascii="Calibri" w:hAnsi="Calibri"/>
          <w:sz w:val="22"/>
          <w:szCs w:val="22"/>
        </w:rPr>
        <w:t>,</w:t>
      </w:r>
      <w:r w:rsidRPr="00306B03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F874A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poskytnout potřebnou součinnost při akcích pořádaných statutárním městem Pardubice, </w:t>
      </w:r>
    </w:p>
    <w:p w:rsidR="000A014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nepropagovat žádné politické strany a hnutí, jejich program, a vyvinout veškeré úsilí k eliminaci obdobných projevů v průběhu pořádané akce. </w:t>
      </w:r>
    </w:p>
    <w:p w:rsidR="0064363E" w:rsidRDefault="0064363E" w:rsidP="0064363E">
      <w:pPr>
        <w:pStyle w:val="Odstavecseseznamem"/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62BD3" w:rsidRPr="00662BD3" w:rsidRDefault="000A0147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  <w:r w:rsidR="00571C32"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0A0147" w:rsidRPr="00662BD3" w:rsidRDefault="00BC20D4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</w:t>
      </w:r>
      <w:r w:rsidR="00D67640" w:rsidRPr="00662BD3">
        <w:rPr>
          <w:rFonts w:ascii="Calibri" w:hAnsi="Calibri"/>
          <w:sz w:val="22"/>
          <w:szCs w:val="22"/>
        </w:rPr>
        <w:t>provedení</w:t>
      </w:r>
      <w:r w:rsidRPr="00662BD3">
        <w:rPr>
          <w:rFonts w:ascii="Calibri" w:hAnsi="Calibri"/>
          <w:sz w:val="22"/>
          <w:szCs w:val="22"/>
        </w:rPr>
        <w:t xml:space="preserve"> kontrol</w:t>
      </w:r>
      <w:r w:rsidR="00D67640" w:rsidRPr="00662BD3">
        <w:rPr>
          <w:rFonts w:ascii="Calibri" w:hAnsi="Calibri"/>
          <w:sz w:val="22"/>
          <w:szCs w:val="22"/>
        </w:rPr>
        <w:t>y</w:t>
      </w:r>
      <w:r w:rsidRPr="00662BD3">
        <w:rPr>
          <w:rFonts w:ascii="Calibri" w:hAnsi="Calibri"/>
          <w:sz w:val="22"/>
          <w:szCs w:val="22"/>
        </w:rPr>
        <w:t xml:space="preserve"> v místě a  čase konání</w:t>
      </w:r>
      <w:r w:rsidR="00D67640" w:rsidRPr="00662BD3">
        <w:rPr>
          <w:rFonts w:ascii="Calibri" w:hAnsi="Calibri"/>
          <w:sz w:val="22"/>
          <w:szCs w:val="22"/>
        </w:rPr>
        <w:t xml:space="preserve"> akcí</w:t>
      </w:r>
      <w:r w:rsidR="00B075D7" w:rsidRPr="00662BD3">
        <w:rPr>
          <w:rFonts w:ascii="Calibri" w:hAnsi="Calibri"/>
          <w:sz w:val="22"/>
          <w:szCs w:val="22"/>
        </w:rPr>
        <w:t xml:space="preserve"> realizovaných v rámci dotovaného projektu</w:t>
      </w:r>
      <w:r w:rsidRPr="00662BD3">
        <w:rPr>
          <w:rFonts w:ascii="Calibri" w:hAnsi="Calibri"/>
          <w:sz w:val="22"/>
          <w:szCs w:val="22"/>
        </w:rPr>
        <w:t xml:space="preserve">. 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C5300">
        <w:rPr>
          <w:rFonts w:asciiTheme="minorHAnsi" w:hAnsiTheme="minorHAnsi"/>
          <w:b/>
          <w:sz w:val="22"/>
          <w:szCs w:val="22"/>
        </w:rPr>
        <w:t>1. 12.</w:t>
      </w:r>
      <w:r w:rsidR="00420D16">
        <w:rPr>
          <w:rFonts w:asciiTheme="minorHAnsi" w:hAnsiTheme="minorHAnsi"/>
          <w:b/>
          <w:sz w:val="22"/>
          <w:szCs w:val="22"/>
        </w:rPr>
        <w:t xml:space="preserve">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C5300">
        <w:rPr>
          <w:rFonts w:asciiTheme="minorHAnsi" w:hAnsiTheme="minorHAnsi"/>
          <w:b/>
          <w:sz w:val="22"/>
          <w:szCs w:val="22"/>
        </w:rPr>
        <w:t>. 12.</w:t>
      </w:r>
      <w:r w:rsidR="00420D16">
        <w:rPr>
          <w:rFonts w:asciiTheme="minorHAnsi" w:hAnsiTheme="minorHAnsi"/>
          <w:b/>
          <w:sz w:val="22"/>
          <w:szCs w:val="22"/>
        </w:rPr>
        <w:t xml:space="preserve">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C5300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CB0EB0">
        <w:rPr>
          <w:rFonts w:asciiTheme="minorHAnsi" w:hAnsiTheme="minorHAnsi"/>
          <w:sz w:val="22"/>
          <w:szCs w:val="22"/>
        </w:rPr>
        <w:t>75</w:t>
      </w:r>
      <w:r>
        <w:rPr>
          <w:rFonts w:asciiTheme="minorHAnsi" w:hAnsiTheme="minorHAnsi"/>
          <w:sz w:val="22"/>
          <w:szCs w:val="22"/>
        </w:rPr>
        <w:t xml:space="preserve"> % z celkových vyúčtovaných uznatelných nákladů na projekt, je příjemce dotace povinen vrátit část poskytnuté dotace převyšující maximální stanovenou výši.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D37FC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37FCA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D37FCA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306B0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lastRenderedPageBreak/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6037C6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AC65E8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D6764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6D384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C5300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 w:rsidR="00EC5300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EC5300">
        <w:rPr>
          <w:rFonts w:asciiTheme="minorHAnsi" w:hAnsiTheme="minorHAnsi"/>
          <w:sz w:val="22"/>
          <w:szCs w:val="22"/>
        </w:rPr>
        <w:t>y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D31897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D31897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ind w:left="426"/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:rsidR="00062E5C" w:rsidRDefault="00062E5C" w:rsidP="002E6D8D">
      <w:pPr>
        <w:jc w:val="both"/>
        <w:rPr>
          <w:rFonts w:asciiTheme="minorHAnsi" w:hAnsiTheme="minorHAnsi"/>
          <w:sz w:val="22"/>
          <w:szCs w:val="22"/>
        </w:rPr>
      </w:pPr>
    </w:p>
    <w:p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projektu</w:t>
      </w: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7E4F62">
        <w:rPr>
          <w:rFonts w:asciiTheme="minorHAnsi" w:hAnsiTheme="minorHAnsi"/>
          <w:sz w:val="22"/>
          <w:szCs w:val="22"/>
        </w:rPr>
        <w:t xml:space="preserve"> 30. 5. 2017 </w:t>
      </w:r>
      <w:bookmarkStart w:id="0" w:name="_GoBack"/>
      <w:bookmarkEnd w:id="0"/>
    </w:p>
    <w:p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844BB2">
        <w:rPr>
          <w:rFonts w:asciiTheme="minorHAnsi" w:hAnsiTheme="minorHAnsi"/>
          <w:sz w:val="22"/>
          <w:szCs w:val="22"/>
        </w:rPr>
        <w:t>Liedermanová</w:t>
      </w:r>
      <w:proofErr w:type="spellEnd"/>
      <w:r w:rsidR="00FA2CBA">
        <w:rPr>
          <w:rFonts w:asciiTheme="minorHAnsi" w:hAnsiTheme="minorHAnsi"/>
          <w:sz w:val="22"/>
          <w:szCs w:val="22"/>
        </w:rPr>
        <w:tab/>
      </w:r>
      <w:r w:rsidR="00CB0EB0">
        <w:rPr>
          <w:rFonts w:asciiTheme="minorHAnsi" w:hAnsiTheme="minorHAnsi"/>
          <w:sz w:val="22"/>
          <w:szCs w:val="22"/>
        </w:rPr>
        <w:t>Mgr. Táňa Pipková, Ph.D.</w:t>
      </w:r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306B03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417869">
        <w:rPr>
          <w:rFonts w:asciiTheme="minorHAnsi" w:hAnsiTheme="minorHAnsi"/>
          <w:sz w:val="20"/>
          <w:szCs w:val="20"/>
        </w:rPr>
        <w:t>Z/1670/2017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306B03">
        <w:rPr>
          <w:rFonts w:asciiTheme="minorHAnsi" w:hAnsiTheme="minorHAnsi"/>
          <w:sz w:val="20"/>
          <w:szCs w:val="20"/>
        </w:rPr>
        <w:t>30. 3. 2017</w:t>
      </w:r>
    </w:p>
    <w:p w:rsidR="00D64D3F" w:rsidRDefault="00306B03" w:rsidP="00306B03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Bc. Petra Šnejdrová</w:t>
      </w:r>
      <w:r w:rsidR="000A0147" w:rsidRPr="009840BC">
        <w:rPr>
          <w:rFonts w:asciiTheme="minorHAnsi" w:hAnsiTheme="minorHAnsi"/>
          <w:sz w:val="20"/>
          <w:szCs w:val="20"/>
        </w:rPr>
        <w:t>, ekonomické odd</w:t>
      </w:r>
      <w:r>
        <w:rPr>
          <w:rFonts w:asciiTheme="minorHAnsi" w:hAnsiTheme="minorHAnsi"/>
          <w:sz w:val="20"/>
          <w:szCs w:val="20"/>
        </w:rPr>
        <w:t>ělení</w:t>
      </w:r>
      <w:r w:rsidR="000A0147" w:rsidRPr="009840BC">
        <w:rPr>
          <w:rFonts w:asciiTheme="minorHAnsi" w:hAnsiTheme="minorHAnsi"/>
          <w:sz w:val="20"/>
          <w:szCs w:val="20"/>
        </w:rPr>
        <w:t xml:space="preserve"> </w:t>
      </w:r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 školství, kultury a sportu Magistrátu</w:t>
      </w:r>
      <w:r w:rsidR="00417869">
        <w:rPr>
          <w:rFonts w:asciiTheme="minorHAnsi" w:hAnsiTheme="minorHAnsi"/>
          <w:sz w:val="20"/>
          <w:szCs w:val="20"/>
        </w:rPr>
        <w:t xml:space="preserve"> </w:t>
      </w:r>
      <w:r w:rsidR="000A0147" w:rsidRPr="009840BC">
        <w:rPr>
          <w:rFonts w:asciiTheme="minorHAnsi" w:hAnsiTheme="minorHAnsi"/>
          <w:sz w:val="20"/>
          <w:szCs w:val="20"/>
        </w:rPr>
        <w:t>města Pardubic</w:t>
      </w:r>
    </w:p>
    <w:p w:rsidR="00D64D3F" w:rsidRDefault="00D64D3F" w:rsidP="005629B3">
      <w:pPr>
        <w:jc w:val="both"/>
        <w:rPr>
          <w:rFonts w:asciiTheme="minorHAnsi" w:hAnsiTheme="minorHAnsi"/>
          <w:sz w:val="20"/>
          <w:szCs w:val="20"/>
        </w:rPr>
      </w:pPr>
    </w:p>
    <w:p w:rsidR="005B05DD" w:rsidRDefault="005B05DD" w:rsidP="00EC5300">
      <w:pPr>
        <w:rPr>
          <w:rFonts w:asciiTheme="minorHAnsi" w:hAnsiTheme="minorHAnsi"/>
          <w:b/>
          <w:sz w:val="22"/>
          <w:szCs w:val="22"/>
        </w:rPr>
      </w:pPr>
    </w:p>
    <w:p w:rsidR="005B05DD" w:rsidRDefault="005B05DD" w:rsidP="00EC5300">
      <w:pPr>
        <w:rPr>
          <w:rFonts w:asciiTheme="minorHAnsi" w:hAnsiTheme="minorHAnsi"/>
          <w:b/>
          <w:sz w:val="22"/>
          <w:szCs w:val="22"/>
        </w:rPr>
      </w:pPr>
    </w:p>
    <w:p w:rsidR="00D64D3F" w:rsidRDefault="00322DD6" w:rsidP="00EC5300">
      <w:pPr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lastRenderedPageBreak/>
        <w:t xml:space="preserve">Příloha č. 1 ke smlouvě o poskytnutí dotace </w:t>
      </w:r>
    </w:p>
    <w:p w:rsidR="007B27AF" w:rsidRDefault="007B27AF" w:rsidP="00EC5300">
      <w:pPr>
        <w:rPr>
          <w:rFonts w:asciiTheme="minorHAnsi" w:hAnsiTheme="minorHAnsi"/>
          <w:noProof/>
          <w:sz w:val="20"/>
          <w:szCs w:val="20"/>
        </w:rPr>
      </w:pPr>
    </w:p>
    <w:tbl>
      <w:tblPr>
        <w:tblW w:w="93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1"/>
        <w:gridCol w:w="1746"/>
        <w:gridCol w:w="1732"/>
      </w:tblGrid>
      <w:tr w:rsidR="00CB0EB0" w:rsidRPr="00CB0EB0" w:rsidTr="00CB0EB0">
        <w:trPr>
          <w:trHeight w:val="69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bookmarkStart w:id="1" w:name="RANGE!A1:C29"/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Název subjektu</w:t>
            </w:r>
            <w:bookmarkEnd w:id="1"/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 xml:space="preserve">Rodinné centrum </w:t>
            </w:r>
            <w:proofErr w:type="spellStart"/>
            <w:proofErr w:type="gramStart"/>
            <w:r w:rsidRPr="00CB0EB0">
              <w:rPr>
                <w:rFonts w:asciiTheme="minorHAnsi" w:hAnsiTheme="minorHAnsi"/>
                <w:sz w:val="20"/>
                <w:szCs w:val="20"/>
              </w:rPr>
              <w:t>Kulihrášek</w:t>
            </w:r>
            <w:proofErr w:type="spellEnd"/>
            <w:r w:rsidRPr="00CB0EB0">
              <w:rPr>
                <w:rFonts w:asciiTheme="minorHAnsi" w:hAnsiTheme="minorHAnsi"/>
                <w:sz w:val="20"/>
                <w:szCs w:val="20"/>
              </w:rPr>
              <w:t>, z.s.</w:t>
            </w:r>
            <w:proofErr w:type="gramEnd"/>
          </w:p>
        </w:tc>
      </w:tr>
      <w:tr w:rsidR="00CB0EB0" w:rsidRPr="00CB0EB0" w:rsidTr="00CB0EB0">
        <w:trPr>
          <w:trHeight w:val="66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Rozpočet činnosti/projektu 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Šťastná rodina s </w:t>
            </w:r>
            <w:proofErr w:type="spellStart"/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Kulihráškem</w:t>
            </w:r>
            <w:proofErr w:type="spellEnd"/>
          </w:p>
        </w:tc>
      </w:tr>
      <w:tr w:rsidR="00CB0EB0" w:rsidRPr="00CB0EB0" w:rsidTr="00CB0EB0">
        <w:trPr>
          <w:trHeight w:val="660"/>
        </w:trPr>
        <w:tc>
          <w:tcPr>
            <w:tcW w:w="93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i/>
                <w:iCs/>
                <w:sz w:val="20"/>
                <w:szCs w:val="20"/>
              </w:rPr>
              <w:t>Sestavování rozpočtu věnujte, prosím, zvýšenou pozornost. Jednotlivé nákladové položky a jejich výše jsou závazné pro vyúčtování poskytnuté dotace.</w:t>
            </w: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Náklady na činnost/projekt</w:t>
            </w:r>
          </w:p>
        </w:tc>
        <w:tc>
          <w:tcPr>
            <w:tcW w:w="1765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Schválená dotace </w:t>
            </w:r>
          </w:p>
        </w:tc>
      </w:tr>
      <w:tr w:rsidR="00CB0EB0" w:rsidRPr="00CB0EB0" w:rsidTr="00CB0EB0">
        <w:trPr>
          <w:trHeight w:val="600"/>
        </w:trPr>
        <w:tc>
          <w:tcPr>
            <w:tcW w:w="582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(všechny nákladové položky související s dotovanou činností/projektem)</w:t>
            </w:r>
          </w:p>
        </w:tc>
        <w:tc>
          <w:tcPr>
            <w:tcW w:w="1765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3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943600" cy="9525"/>
                      <wp:effectExtent l="0" t="0" r="19050" b="28575"/>
                      <wp:wrapNone/>
                      <wp:docPr id="3" name="Obdélní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450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3" o:spid="_x0000_s1026" style="position:absolute;margin-left:0;margin-top:0;width:468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" fill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31"/>
            </w:tblGrid>
            <w:tr w:rsidR="00CB0EB0" w:rsidRPr="00CB0EB0">
              <w:trPr>
                <w:trHeight w:val="330"/>
                <w:tblCellSpacing w:w="0" w:type="dxa"/>
              </w:trPr>
              <w:tc>
                <w:tcPr>
                  <w:tcW w:w="576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B0EB0" w:rsidRPr="00CB0EB0" w:rsidRDefault="00CB0EB0" w:rsidP="00CB0EB0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B0EB0">
                    <w:rPr>
                      <w:rFonts w:asciiTheme="minorHAnsi" w:hAnsiTheme="minorHAnsi"/>
                      <w:sz w:val="20"/>
                      <w:szCs w:val="20"/>
                    </w:rPr>
                    <w:t>Mzdové výdaje</w:t>
                  </w:r>
                </w:p>
              </w:tc>
            </w:tr>
          </w:tbl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330 000,00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Materiálové výdaje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55 000,00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Majetkové výdaje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25 000,00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Další provozní výdaje (zejména nájem)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232 250,00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60 000,00</w:t>
            </w: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 xml:space="preserve">Ostatní výdaje (zejména </w:t>
            </w:r>
            <w:proofErr w:type="spellStart"/>
            <w:r w:rsidRPr="00CB0EB0">
              <w:rPr>
                <w:rFonts w:asciiTheme="minorHAnsi" w:hAnsiTheme="minorHAnsi"/>
                <w:sz w:val="20"/>
                <w:szCs w:val="20"/>
              </w:rPr>
              <w:t>lektorné</w:t>
            </w:r>
            <w:proofErr w:type="spellEnd"/>
            <w:r w:rsidRPr="00CB0EB0">
              <w:rPr>
                <w:rFonts w:asciiTheme="minorHAnsi" w:hAnsiTheme="minorHAnsi"/>
                <w:sz w:val="20"/>
                <w:szCs w:val="20"/>
              </w:rPr>
              <w:t xml:space="preserve">, cestovné, </w:t>
            </w:r>
            <w:proofErr w:type="gramStart"/>
            <w:r w:rsidRPr="00CB0EB0">
              <w:rPr>
                <w:rFonts w:asciiTheme="minorHAnsi" w:hAnsiTheme="minorHAnsi"/>
                <w:sz w:val="20"/>
                <w:szCs w:val="20"/>
              </w:rPr>
              <w:t>služby..)</w:t>
            </w:r>
            <w:proofErr w:type="gram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90 000,00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10 000,00</w:t>
            </w:r>
          </w:p>
        </w:tc>
      </w:tr>
      <w:tr w:rsidR="00CB0EB0" w:rsidRPr="00CB0EB0" w:rsidTr="00CB0EB0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CB0EB0" w:rsidRPr="00CB0EB0" w:rsidTr="00CB0EB0">
        <w:trPr>
          <w:trHeight w:val="600"/>
        </w:trPr>
        <w:tc>
          <w:tcPr>
            <w:tcW w:w="5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Celkové náklady na činnost/projekt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732 250 Kč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70 000 Kč</w:t>
            </w:r>
          </w:p>
        </w:tc>
      </w:tr>
      <w:tr w:rsidR="00CB0EB0" w:rsidRPr="00CB0EB0" w:rsidTr="00CB0EB0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CB0EB0" w:rsidRPr="00CB0EB0" w:rsidTr="00CB0EB0">
        <w:trPr>
          <w:trHeight w:val="33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765"/>
        </w:trPr>
        <w:tc>
          <w:tcPr>
            <w:tcW w:w="58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Zdroje příjmů na činnost/projekt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Dotace Statutárního města Pardubice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70 000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Příspěvky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20 000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Vstupné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184 841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Sponzorské dary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5 000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Další dotace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447 409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Jiné zdroje (vypište):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30"/>
        </w:trPr>
        <w:tc>
          <w:tcPr>
            <w:tcW w:w="5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jiná vlastní činnost</w:t>
            </w:r>
          </w:p>
        </w:tc>
        <w:tc>
          <w:tcPr>
            <w:tcW w:w="17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sz w:val="20"/>
                <w:szCs w:val="20"/>
              </w:rPr>
            </w:pPr>
            <w:r w:rsidRPr="00CB0EB0">
              <w:rPr>
                <w:rFonts w:asciiTheme="minorHAnsi" w:hAnsiTheme="minorHAnsi"/>
                <w:sz w:val="20"/>
                <w:szCs w:val="20"/>
              </w:rPr>
              <w:t>5 000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540"/>
        </w:trPr>
        <w:tc>
          <w:tcPr>
            <w:tcW w:w="5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732 250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600"/>
        </w:trPr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Rozdíl mezi příjmy a výdaji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Příjmy 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732 250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15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732 250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375"/>
        </w:trPr>
        <w:tc>
          <w:tcPr>
            <w:tcW w:w="5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+ (zisk)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0 Kč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CB0EB0" w:rsidRPr="00CB0EB0" w:rsidTr="00CB0EB0">
        <w:trPr>
          <w:trHeight w:val="660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B0EB0">
              <w:rPr>
                <w:rFonts w:asciiTheme="minorHAnsi" w:hAnsiTheme="minorHAnsi"/>
                <w:b/>
                <w:bCs/>
                <w:sz w:val="20"/>
                <w:szCs w:val="20"/>
              </w:rPr>
              <w:t>- ( ztráta, tj. úhrada z vlastních zdrojů)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0EB0" w:rsidRPr="00CB0EB0" w:rsidRDefault="00CB0EB0" w:rsidP="00CB0EB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:rsidR="00AE3C9D" w:rsidRPr="00EC5300" w:rsidRDefault="00AE3C9D" w:rsidP="00EC5300">
      <w:pPr>
        <w:rPr>
          <w:rFonts w:asciiTheme="minorHAnsi" w:hAnsiTheme="minorHAnsi"/>
          <w:sz w:val="20"/>
          <w:szCs w:val="20"/>
        </w:rPr>
      </w:pPr>
    </w:p>
    <w:sectPr w:rsidR="00AE3C9D" w:rsidRPr="00EC5300" w:rsidSect="00306B03">
      <w:headerReference w:type="default" r:id="rId10"/>
      <w:footerReference w:type="even" r:id="rId11"/>
      <w:footerReference w:type="default" r:id="rId12"/>
      <w:pgSz w:w="11907" w:h="16840" w:code="9"/>
      <w:pgMar w:top="851" w:right="1304" w:bottom="567" w:left="1304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7E4F6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79588"/>
      <w:docPartObj>
        <w:docPartGallery w:val="Page Numbers (Bottom of Page)"/>
        <w:docPartUnique/>
      </w:docPartObj>
    </w:sdtPr>
    <w:sdtEndPr/>
    <w:sdtContent>
      <w:p w:rsidR="00306B03" w:rsidRDefault="00306B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F62">
          <w:rPr>
            <w:noProof/>
          </w:rPr>
          <w:t>5</w:t>
        </w:r>
        <w:r>
          <w:fldChar w:fldCharType="end"/>
        </w:r>
      </w:p>
    </w:sdtContent>
  </w:sdt>
  <w:p w:rsidR="00241A8F" w:rsidRDefault="007E4F6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AC" w:rsidRDefault="007B50AC">
    <w:pPr>
      <w:pStyle w:val="Zhlav"/>
      <w:rPr>
        <w:i/>
      </w:rPr>
    </w:pPr>
  </w:p>
  <w:p w:rsidR="007B50AC" w:rsidRDefault="007B50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6B154860"/>
    <w:multiLevelType w:val="hybridMultilevel"/>
    <w:tmpl w:val="17186D4E"/>
    <w:lvl w:ilvl="0" w:tplc="A10CB5DE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4"/>
  </w:num>
  <w:num w:numId="5">
    <w:abstractNumId w:val="4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62E5C"/>
    <w:rsid w:val="00080349"/>
    <w:rsid w:val="000A0147"/>
    <w:rsid w:val="000C5054"/>
    <w:rsid w:val="001001C1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E686C"/>
    <w:rsid w:val="002E6D8D"/>
    <w:rsid w:val="002F00F9"/>
    <w:rsid w:val="00306B03"/>
    <w:rsid w:val="00310AEF"/>
    <w:rsid w:val="00322DD6"/>
    <w:rsid w:val="00346869"/>
    <w:rsid w:val="00347987"/>
    <w:rsid w:val="003B5C4F"/>
    <w:rsid w:val="003E591D"/>
    <w:rsid w:val="003F7AC8"/>
    <w:rsid w:val="00417869"/>
    <w:rsid w:val="00420D16"/>
    <w:rsid w:val="00484E8E"/>
    <w:rsid w:val="004B190A"/>
    <w:rsid w:val="004C2811"/>
    <w:rsid w:val="005501FD"/>
    <w:rsid w:val="005629B3"/>
    <w:rsid w:val="00571C32"/>
    <w:rsid w:val="005835D6"/>
    <w:rsid w:val="005A0A3E"/>
    <w:rsid w:val="005A0E57"/>
    <w:rsid w:val="005B05DD"/>
    <w:rsid w:val="005F7BF3"/>
    <w:rsid w:val="006021C0"/>
    <w:rsid w:val="006037C6"/>
    <w:rsid w:val="00604D57"/>
    <w:rsid w:val="00621543"/>
    <w:rsid w:val="0064363E"/>
    <w:rsid w:val="00662BD3"/>
    <w:rsid w:val="00696A0E"/>
    <w:rsid w:val="006B1844"/>
    <w:rsid w:val="006C45E4"/>
    <w:rsid w:val="006D3843"/>
    <w:rsid w:val="006D5456"/>
    <w:rsid w:val="007109EF"/>
    <w:rsid w:val="00714C9F"/>
    <w:rsid w:val="00724CAC"/>
    <w:rsid w:val="00772A39"/>
    <w:rsid w:val="00775EB1"/>
    <w:rsid w:val="007A01F4"/>
    <w:rsid w:val="007B27AF"/>
    <w:rsid w:val="007B50AC"/>
    <w:rsid w:val="007B70EC"/>
    <w:rsid w:val="007C648F"/>
    <w:rsid w:val="007E4F62"/>
    <w:rsid w:val="007F765A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AE3C9D"/>
    <w:rsid w:val="00B075D7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C8265D"/>
    <w:rsid w:val="00CB0EB0"/>
    <w:rsid w:val="00CD34B4"/>
    <w:rsid w:val="00CF2BB9"/>
    <w:rsid w:val="00D31897"/>
    <w:rsid w:val="00D330DD"/>
    <w:rsid w:val="00D33593"/>
    <w:rsid w:val="00D37FCA"/>
    <w:rsid w:val="00D46FC5"/>
    <w:rsid w:val="00D5347D"/>
    <w:rsid w:val="00D57654"/>
    <w:rsid w:val="00D64D3F"/>
    <w:rsid w:val="00D67640"/>
    <w:rsid w:val="00D76457"/>
    <w:rsid w:val="00DA3B85"/>
    <w:rsid w:val="00DB16DF"/>
    <w:rsid w:val="00DE74F5"/>
    <w:rsid w:val="00E10816"/>
    <w:rsid w:val="00E21A6E"/>
    <w:rsid w:val="00E77A44"/>
    <w:rsid w:val="00E85EBF"/>
    <w:rsid w:val="00EB5E74"/>
    <w:rsid w:val="00EC510D"/>
    <w:rsid w:val="00EC5300"/>
    <w:rsid w:val="00ED2D4B"/>
    <w:rsid w:val="00EE1818"/>
    <w:rsid w:val="00EF4BE6"/>
    <w:rsid w:val="00F53D8A"/>
    <w:rsid w:val="00F5783E"/>
    <w:rsid w:val="00F63730"/>
    <w:rsid w:val="00F874AD"/>
    <w:rsid w:val="00FA2CBA"/>
    <w:rsid w:val="00FC2095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ardubic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94F6-7D4D-4166-9223-775F9C08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2275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Šnejdrová Petra</cp:lastModifiedBy>
  <cp:revision>3</cp:revision>
  <cp:lastPrinted>2016-02-10T15:10:00Z</cp:lastPrinted>
  <dcterms:created xsi:type="dcterms:W3CDTF">2017-04-13T07:01:00Z</dcterms:created>
  <dcterms:modified xsi:type="dcterms:W3CDTF">2017-05-30T07:30:00Z</dcterms:modified>
</cp:coreProperties>
</file>