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1FD32255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E0714B">
        <w:rPr>
          <w:rFonts w:ascii="Arial" w:hAnsi="Arial" w:cs="Arial"/>
        </w:rPr>
        <w:t>58402022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03A7D3A6" w14:textId="77777777" w:rsidR="0071289E" w:rsidRPr="00B90303" w:rsidRDefault="0071289E" w:rsidP="0071289E">
      <w:pPr>
        <w:pStyle w:val="Nadpis1"/>
        <w:jc w:val="both"/>
        <w:rPr>
          <w:rFonts w:ascii="Arial" w:hAnsi="Arial" w:cs="Arial"/>
          <w:sz w:val="24"/>
        </w:rPr>
      </w:pPr>
      <w:r w:rsidRPr="00B90303">
        <w:rPr>
          <w:rFonts w:ascii="Arial" w:hAnsi="Arial" w:cs="Arial"/>
          <w:sz w:val="24"/>
        </w:rPr>
        <w:t>Město Nýrsko</w:t>
      </w:r>
    </w:p>
    <w:p w14:paraId="586F324E" w14:textId="77777777" w:rsidR="0071289E" w:rsidRPr="00B90303" w:rsidRDefault="0071289E" w:rsidP="0071289E">
      <w:pPr>
        <w:ind w:left="3544" w:hanging="3544"/>
        <w:rPr>
          <w:rFonts w:ascii="Arial" w:hAnsi="Arial" w:cs="Arial"/>
        </w:rPr>
      </w:pPr>
      <w:r w:rsidRPr="00B90303">
        <w:rPr>
          <w:rFonts w:ascii="Arial" w:hAnsi="Arial" w:cs="Arial"/>
        </w:rPr>
        <w:t>Sídlo:</w:t>
      </w:r>
      <w:r w:rsidRPr="00B903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90303">
        <w:rPr>
          <w:rFonts w:ascii="Arial" w:hAnsi="Arial" w:cs="Arial"/>
        </w:rPr>
        <w:tab/>
      </w:r>
      <w:r w:rsidRPr="00B90303">
        <w:rPr>
          <w:rFonts w:ascii="Arial" w:hAnsi="Arial" w:cs="Arial"/>
        </w:rPr>
        <w:tab/>
        <w:t>Náměstí 122, 340 22</w:t>
      </w:r>
      <w:r>
        <w:rPr>
          <w:rFonts w:ascii="Arial" w:hAnsi="Arial" w:cs="Arial"/>
        </w:rPr>
        <w:t xml:space="preserve">  </w:t>
      </w:r>
      <w:r w:rsidRPr="00B90303">
        <w:rPr>
          <w:rFonts w:ascii="Arial" w:hAnsi="Arial" w:cs="Arial"/>
        </w:rPr>
        <w:t>Nýrsko</w:t>
      </w:r>
    </w:p>
    <w:p w14:paraId="3CE9AEF5" w14:textId="77777777" w:rsidR="0071289E" w:rsidRPr="00B90303" w:rsidRDefault="0071289E" w:rsidP="0071289E">
      <w:pPr>
        <w:ind w:left="2126" w:hanging="2126"/>
        <w:rPr>
          <w:rFonts w:ascii="Arial" w:hAnsi="Arial" w:cs="Arial"/>
        </w:rPr>
      </w:pPr>
      <w:r w:rsidRPr="00B90303">
        <w:rPr>
          <w:rFonts w:ascii="Arial" w:hAnsi="Arial" w:cs="Arial"/>
        </w:rPr>
        <w:t>Osoba oprávněná k podpisu:        Ing. Miloslav Rubáš, starosta</w:t>
      </w:r>
    </w:p>
    <w:p w14:paraId="6BE9D108" w14:textId="77777777" w:rsidR="0071289E" w:rsidRDefault="0071289E" w:rsidP="0071289E">
      <w:pPr>
        <w:jc w:val="both"/>
        <w:rPr>
          <w:rFonts w:ascii="Arial" w:hAnsi="Arial" w:cs="Arial"/>
        </w:rPr>
      </w:pPr>
      <w:r w:rsidRPr="00B90303">
        <w:rPr>
          <w:rFonts w:ascii="Arial" w:hAnsi="Arial" w:cs="Arial"/>
        </w:rPr>
        <w:t>IČO:</w:t>
      </w:r>
      <w:r w:rsidRPr="00B90303">
        <w:rPr>
          <w:rFonts w:ascii="Arial" w:hAnsi="Arial" w:cs="Arial"/>
        </w:rPr>
        <w:tab/>
        <w:t xml:space="preserve">                      </w:t>
      </w:r>
      <w:r w:rsidRPr="00B90303">
        <w:rPr>
          <w:rFonts w:ascii="Arial" w:hAnsi="Arial" w:cs="Arial"/>
        </w:rPr>
        <w:tab/>
      </w:r>
      <w:r w:rsidRPr="00B903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</w:t>
      </w:r>
      <w:r w:rsidRPr="00B90303">
        <w:rPr>
          <w:rFonts w:ascii="Arial" w:hAnsi="Arial" w:cs="Arial"/>
        </w:rPr>
        <w:t>00255921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lastRenderedPageBreak/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179830A1" w:rsidR="00C9133D" w:rsidRDefault="00C9133D" w:rsidP="00440E82">
      <w:pPr>
        <w:pStyle w:val="text"/>
      </w:pPr>
    </w:p>
    <w:p w14:paraId="448E50B4" w14:textId="77777777" w:rsidR="0071289E" w:rsidRDefault="0071289E" w:rsidP="00440E82">
      <w:pPr>
        <w:pStyle w:val="text"/>
      </w:pPr>
    </w:p>
    <w:p w14:paraId="09995DE5" w14:textId="77777777" w:rsidR="0071289E" w:rsidRPr="00895569" w:rsidRDefault="0071289E" w:rsidP="0071289E">
      <w:pPr>
        <w:pStyle w:val="text"/>
        <w:numPr>
          <w:ilvl w:val="1"/>
          <w:numId w:val="2"/>
        </w:numPr>
      </w:pPr>
      <w:r w:rsidRPr="00895569">
        <w:rPr>
          <w:b/>
          <w:u w:val="single"/>
        </w:rPr>
        <w:t>Pečovatelská služba</w:t>
      </w:r>
      <w:r w:rsidRPr="00895569">
        <w:rPr>
          <w:b/>
          <w:i/>
        </w:rPr>
        <w:t xml:space="preserve"> </w:t>
      </w:r>
      <w:r w:rsidRPr="00895569">
        <w:t>v tomto rozsahu:</w:t>
      </w:r>
    </w:p>
    <w:p w14:paraId="5BB3DB74" w14:textId="77777777" w:rsidR="0071289E" w:rsidRPr="00895569" w:rsidRDefault="0071289E" w:rsidP="0071289E">
      <w:pPr>
        <w:pStyle w:val="text"/>
        <w:ind w:left="792"/>
        <w:rPr>
          <w:b/>
          <w:i/>
        </w:rPr>
      </w:pPr>
    </w:p>
    <w:p w14:paraId="1DF6D300" w14:textId="77777777" w:rsidR="0071289E" w:rsidRPr="00895569" w:rsidRDefault="0071289E" w:rsidP="0071289E">
      <w:pPr>
        <w:pStyle w:val="text"/>
        <w:numPr>
          <w:ilvl w:val="2"/>
          <w:numId w:val="2"/>
        </w:numPr>
        <w:ind w:left="1214"/>
        <w:rPr>
          <w:b/>
        </w:rPr>
      </w:pPr>
      <w:r w:rsidRPr="00895569">
        <w:t xml:space="preserve"> Forma poskytování služby: </w:t>
      </w:r>
      <w:r w:rsidRPr="00895569">
        <w:rPr>
          <w:b/>
        </w:rPr>
        <w:t>terénní</w:t>
      </w:r>
    </w:p>
    <w:p w14:paraId="21096305" w14:textId="77777777" w:rsidR="0071289E" w:rsidRPr="00895569" w:rsidRDefault="0071289E" w:rsidP="0071289E">
      <w:pPr>
        <w:pStyle w:val="text"/>
        <w:ind w:left="1224"/>
        <w:rPr>
          <w:b/>
        </w:rPr>
      </w:pPr>
    </w:p>
    <w:p w14:paraId="00287D41" w14:textId="77777777" w:rsidR="0071289E" w:rsidRPr="00895569" w:rsidRDefault="0071289E" w:rsidP="0071289E">
      <w:pPr>
        <w:pStyle w:val="text"/>
        <w:numPr>
          <w:ilvl w:val="2"/>
          <w:numId w:val="2"/>
        </w:numPr>
        <w:ind w:left="1214"/>
      </w:pPr>
      <w:r w:rsidRPr="00895569">
        <w:t xml:space="preserve"> Identifikátor služby: </w:t>
      </w:r>
      <w:r w:rsidRPr="00895569">
        <w:rPr>
          <w:b/>
        </w:rPr>
        <w:t>2336543</w:t>
      </w:r>
    </w:p>
    <w:p w14:paraId="2C59D033" w14:textId="77777777" w:rsidR="0071289E" w:rsidRPr="00895569" w:rsidRDefault="0071289E" w:rsidP="0071289E">
      <w:pPr>
        <w:pStyle w:val="text"/>
      </w:pPr>
    </w:p>
    <w:p w14:paraId="0C95071A" w14:textId="77777777" w:rsidR="0071289E" w:rsidRPr="00895569" w:rsidRDefault="0071289E" w:rsidP="0071289E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895569">
        <w:t xml:space="preserve"> Územní působnost služby: </w:t>
      </w:r>
      <w:r w:rsidRPr="00895569">
        <w:rPr>
          <w:b/>
        </w:rPr>
        <w:t>Plzeňský kraj</w:t>
      </w:r>
    </w:p>
    <w:p w14:paraId="4C3E38C0" w14:textId="77777777" w:rsidR="0071289E" w:rsidRPr="00895569" w:rsidRDefault="0071289E" w:rsidP="0071289E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895569">
        <w:rPr>
          <w:b/>
        </w:rPr>
        <w:t xml:space="preserve">dle údajů uvedených v registru poskytovatelů sociálních služeb </w:t>
      </w:r>
      <w:r w:rsidRPr="00895569">
        <w:rPr>
          <w:b/>
        </w:rPr>
        <w:br/>
        <w:t>a ve střednědobém plánu rozvoje sociálních služeb Plzeňského kraje v platném znění</w:t>
      </w:r>
    </w:p>
    <w:p w14:paraId="0A140275" w14:textId="77777777" w:rsidR="0071289E" w:rsidRPr="00895569" w:rsidRDefault="0071289E" w:rsidP="0071289E">
      <w:pPr>
        <w:pStyle w:val="text"/>
        <w:ind w:left="1224"/>
      </w:pPr>
    </w:p>
    <w:p w14:paraId="3CAEFAC7" w14:textId="77777777" w:rsidR="0071289E" w:rsidRPr="00895569" w:rsidRDefault="0071289E" w:rsidP="0071289E">
      <w:pPr>
        <w:pStyle w:val="text"/>
        <w:numPr>
          <w:ilvl w:val="2"/>
          <w:numId w:val="2"/>
        </w:numPr>
        <w:ind w:left="1214"/>
        <w:rPr>
          <w:b/>
        </w:rPr>
      </w:pPr>
      <w:r w:rsidRPr="00895569">
        <w:t xml:space="preserve"> Kapacita služby: </w:t>
      </w:r>
      <w:r w:rsidRPr="00895569">
        <w:rPr>
          <w:b/>
        </w:rPr>
        <w:t>Okamžitá</w:t>
      </w:r>
    </w:p>
    <w:p w14:paraId="1FD76795" w14:textId="77777777" w:rsidR="0071289E" w:rsidRPr="00895569" w:rsidRDefault="0071289E" w:rsidP="0071289E">
      <w:pPr>
        <w:pStyle w:val="text"/>
        <w:ind w:firstLine="1134"/>
        <w:rPr>
          <w:b/>
        </w:rPr>
      </w:pPr>
      <w:r w:rsidRPr="00895569">
        <w:rPr>
          <w:b/>
        </w:rPr>
        <w:t xml:space="preserve">    Terénní forma – 4 klienti</w:t>
      </w:r>
    </w:p>
    <w:p w14:paraId="25AD76F4" w14:textId="77777777" w:rsidR="0071289E" w:rsidRPr="00895569" w:rsidRDefault="0071289E" w:rsidP="0071289E">
      <w:pPr>
        <w:pStyle w:val="text"/>
        <w:ind w:firstLine="1134"/>
        <w:rPr>
          <w:b/>
        </w:rPr>
      </w:pPr>
    </w:p>
    <w:p w14:paraId="0AB92E7C" w14:textId="77777777" w:rsidR="0071289E" w:rsidRPr="00895569" w:rsidRDefault="0071289E" w:rsidP="0071289E">
      <w:pPr>
        <w:pStyle w:val="text"/>
        <w:numPr>
          <w:ilvl w:val="2"/>
          <w:numId w:val="2"/>
        </w:numPr>
        <w:ind w:left="1418" w:hanging="708"/>
        <w:rPr>
          <w:b/>
        </w:rPr>
      </w:pPr>
      <w:r w:rsidRPr="00895569">
        <w:t>Personální zajištění služby:</w:t>
      </w:r>
    </w:p>
    <w:p w14:paraId="7D38F53A" w14:textId="77777777" w:rsidR="0071289E" w:rsidRPr="00895569" w:rsidRDefault="0071289E" w:rsidP="0071289E">
      <w:pPr>
        <w:pStyle w:val="text"/>
        <w:ind w:left="1224" w:hanging="90"/>
        <w:rPr>
          <w:b/>
        </w:rPr>
      </w:pPr>
      <w:r w:rsidRPr="00895569">
        <w:rPr>
          <w:b/>
        </w:rPr>
        <w:t xml:space="preserve">    Počet úvazků – 4,9</w:t>
      </w:r>
    </w:p>
    <w:p w14:paraId="0D24BC64" w14:textId="77777777" w:rsidR="0071289E" w:rsidRPr="00C058BB" w:rsidRDefault="0071289E" w:rsidP="0071289E">
      <w:pPr>
        <w:pStyle w:val="text"/>
        <w:ind w:left="426"/>
        <w:rPr>
          <w:b/>
        </w:rPr>
      </w:pPr>
      <w:r w:rsidRPr="00895569">
        <w:rPr>
          <w:b/>
        </w:rPr>
        <w:t xml:space="preserve">               Počet úvazků v přímé péči </w:t>
      </w:r>
      <w:r w:rsidRPr="00895569">
        <w:t>(pracovníci v sociálních službách)</w:t>
      </w:r>
      <w:r w:rsidRPr="00895569">
        <w:rPr>
          <w:b/>
        </w:rPr>
        <w:t xml:space="preserve"> – 4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0AC5E6D4" w:rsidR="00AB6CE2" w:rsidRPr="0071289E" w:rsidRDefault="001555C5" w:rsidP="00710FB3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BF285B">
        <w:rPr>
          <w:rFonts w:ascii="Arial" w:hAnsi="Arial" w:cs="Arial"/>
        </w:rPr>
        <w:t>Výše úvazku stanovená v tomto pověření u konkrétní sociální služby může být</w:t>
      </w:r>
      <w:r w:rsidRPr="00431A46">
        <w:rPr>
          <w:rFonts w:ascii="Arial" w:hAnsi="Arial" w:cs="Arial"/>
        </w:rPr>
        <w:t xml:space="preserve"> navýšena maximálně o 20 %, </w:t>
      </w:r>
      <w:r w:rsidR="00F37F77" w:rsidRPr="00431A46">
        <w:rPr>
          <w:rFonts w:ascii="Arial" w:hAnsi="Arial" w:cs="Arial"/>
        </w:rPr>
        <w:t>v případě takového navýšení j</w:t>
      </w:r>
      <w:r w:rsidRPr="00431A46">
        <w:rPr>
          <w:rFonts w:ascii="Arial" w:hAnsi="Arial" w:cs="Arial"/>
        </w:rPr>
        <w:t>e sociální služba poskytována v souladu s</w:t>
      </w:r>
      <w:r w:rsidR="00431A46" w:rsidRPr="00431A46">
        <w:rPr>
          <w:rFonts w:ascii="Arial" w:hAnsi="Arial" w:cs="Arial"/>
        </w:rPr>
        <w:t xml:space="preserve"> tímto</w:t>
      </w:r>
      <w:r w:rsidRPr="00431A46">
        <w:rPr>
          <w:rFonts w:ascii="Arial" w:hAnsi="Arial" w:cs="Arial"/>
        </w:rPr>
        <w:t xml:space="preserve"> </w:t>
      </w:r>
      <w:r w:rsidR="00D33981" w:rsidRPr="00431A46">
        <w:rPr>
          <w:rFonts w:ascii="Arial" w:hAnsi="Arial" w:cs="Arial"/>
        </w:rPr>
        <w:t>p</w:t>
      </w:r>
      <w:r w:rsidRPr="00431A46">
        <w:rPr>
          <w:rFonts w:ascii="Arial" w:hAnsi="Arial" w:cs="Arial"/>
        </w:rPr>
        <w:t xml:space="preserve">ověřením. </w:t>
      </w:r>
      <w:r w:rsidR="006A1D8E" w:rsidRPr="00431A46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>
        <w:rPr>
          <w:rFonts w:ascii="Arial" w:hAnsi="Arial" w:cs="Arial"/>
        </w:rPr>
        <w:t>IV.</w:t>
      </w:r>
      <w:r w:rsidR="006A1D8E" w:rsidRPr="00431A46">
        <w:rPr>
          <w:rFonts w:ascii="Arial" w:hAnsi="Arial" w:cs="Arial"/>
        </w:rPr>
        <w:t xml:space="preserve"> tohoto pověření ani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>
        <w:rPr>
          <w:rFonts w:ascii="Arial" w:hAnsi="Arial" w:cs="Arial"/>
        </w:rPr>
        <w:t>s</w:t>
      </w:r>
      <w:r w:rsidR="006A1D8E" w:rsidRPr="00431A46">
        <w:rPr>
          <w:rFonts w:ascii="Arial" w:hAnsi="Arial" w:cs="Arial"/>
        </w:rPr>
        <w:t xml:space="preserve">třednědobém plánu rozvoje sociálních služeb v Plzeňském kraji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se tímto navýšením úvazků nemění. </w:t>
      </w:r>
    </w:p>
    <w:p w14:paraId="1B9F5C56" w14:textId="77777777" w:rsidR="0071289E" w:rsidRPr="0071289E" w:rsidRDefault="0071289E" w:rsidP="0071289E">
      <w:pPr>
        <w:pStyle w:val="Odstavecseseznamem"/>
        <w:rPr>
          <w:b/>
        </w:rPr>
      </w:pPr>
    </w:p>
    <w:p w14:paraId="65350750" w14:textId="77777777" w:rsidR="0071289E" w:rsidRPr="0071289E" w:rsidRDefault="0071289E" w:rsidP="0071289E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235B71B" w:rsidR="00035667" w:rsidRDefault="00035667" w:rsidP="00035667">
      <w:pPr>
        <w:pStyle w:val="text"/>
        <w:ind w:left="360"/>
      </w:pPr>
    </w:p>
    <w:p w14:paraId="61BE37CF" w14:textId="77777777" w:rsidR="0071289E" w:rsidRDefault="0071289E" w:rsidP="00035667">
      <w:pPr>
        <w:pStyle w:val="text"/>
        <w:ind w:left="360"/>
      </w:pPr>
    </w:p>
    <w:p w14:paraId="2F908E03" w14:textId="34E18512" w:rsidR="00035667" w:rsidRPr="002A43DF" w:rsidRDefault="0071289E" w:rsidP="0071289E">
      <w:pPr>
        <w:pStyle w:val="text"/>
        <w:numPr>
          <w:ilvl w:val="1"/>
          <w:numId w:val="23"/>
        </w:numPr>
        <w:spacing w:after="0"/>
      </w:pPr>
      <w:r w:rsidRPr="00895569">
        <w:rPr>
          <w:b/>
          <w:u w:val="single"/>
        </w:rPr>
        <w:t>Pečovatelská služba</w:t>
      </w:r>
      <w:r w:rsidRPr="00895569">
        <w:rPr>
          <w:b/>
        </w:rPr>
        <w:t xml:space="preserve">, ID: 2336543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3.247.920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71289E">
        <w:t>tři miliony dvě stě čtyřicet sedm tisíc devět set dvacet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7223E18F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5912C33" w14:textId="77777777" w:rsidR="0071289E" w:rsidRDefault="0071289E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6F22C015" w:rsidR="002018F6" w:rsidRDefault="0071289E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</w:t>
      </w:r>
      <w:r w:rsidR="002018F6">
        <w:t xml:space="preserve"> </w:t>
      </w:r>
      <w:r>
        <w:rPr>
          <w:rFonts w:ascii="Arial" w:hAnsi="Arial" w:cs="Arial"/>
        </w:rPr>
        <w:t>Ing. Miloslav Rubáš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56AA8223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7128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71289E" w:rsidRPr="00B90303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4E2F1657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E071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E826BFE4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289E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0714B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5E0A-426F-450E-B088-B94D2E2B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2055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2022-12-13T13:55:00Z</dcterms:created>
  <dcterms:modified xsi:type="dcterms:W3CDTF">2022-12-16T14:14:00Z</dcterms:modified>
</cp:coreProperties>
</file>