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519F9860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6E2988">
        <w:rPr>
          <w:rFonts w:ascii="Arial" w:hAnsi="Arial" w:cs="Arial"/>
        </w:rPr>
        <w:t>58142022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3BD8EC03" w:rsidR="00C9133D" w:rsidRDefault="00C9133D" w:rsidP="00E72BF6"/>
    <w:p w14:paraId="0BE2FA2C" w14:textId="77777777" w:rsidR="003D4BA7" w:rsidRPr="00E72BF6" w:rsidRDefault="003D4BA7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AC49F50" w14:textId="77777777" w:rsidR="00A51ACC" w:rsidRPr="0029343F" w:rsidRDefault="00A51ACC" w:rsidP="00A51ACC">
      <w:pPr>
        <w:jc w:val="both"/>
        <w:rPr>
          <w:rFonts w:ascii="Arial" w:hAnsi="Arial" w:cs="Arial"/>
          <w:b/>
        </w:rPr>
      </w:pPr>
      <w:r w:rsidRPr="0029343F">
        <w:rPr>
          <w:rFonts w:ascii="Arial" w:hAnsi="Arial" w:cs="Arial"/>
          <w:b/>
        </w:rPr>
        <w:t>Domov pro osoby se zdravotním postižením Milíře, příspěvková organizace</w:t>
      </w:r>
    </w:p>
    <w:p w14:paraId="4420A9A3" w14:textId="77777777" w:rsidR="00A51ACC" w:rsidRPr="0029343F" w:rsidRDefault="00A51ACC" w:rsidP="00A51ACC">
      <w:pPr>
        <w:tabs>
          <w:tab w:val="left" w:pos="709"/>
        </w:tabs>
        <w:ind w:left="3402" w:hanging="3402"/>
        <w:jc w:val="both"/>
        <w:rPr>
          <w:rFonts w:ascii="Arial" w:hAnsi="Arial" w:cs="Arial"/>
        </w:rPr>
      </w:pPr>
      <w:r w:rsidRPr="0029343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Milíře 193, 347 01  Milíře</w:t>
      </w:r>
    </w:p>
    <w:p w14:paraId="3418A96F" w14:textId="77777777" w:rsidR="00A51ACC" w:rsidRPr="0029343F" w:rsidRDefault="00A51ACC" w:rsidP="00A51ACC">
      <w:pPr>
        <w:ind w:left="3402" w:hanging="3402"/>
        <w:jc w:val="both"/>
        <w:rPr>
          <w:rFonts w:ascii="Arial" w:hAnsi="Arial" w:cs="Arial"/>
        </w:rPr>
      </w:pPr>
      <w:r w:rsidRPr="0029343F">
        <w:rPr>
          <w:rFonts w:ascii="Arial" w:hAnsi="Arial" w:cs="Arial"/>
        </w:rPr>
        <w:t>Osoba oprávněná k podpisu:</w:t>
      </w:r>
      <w:r w:rsidRPr="002934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Blanka </w:t>
      </w:r>
      <w:proofErr w:type="spellStart"/>
      <w:r>
        <w:rPr>
          <w:rFonts w:ascii="Arial" w:hAnsi="Arial" w:cs="Arial"/>
        </w:rPr>
        <w:t>Šmichová</w:t>
      </w:r>
      <w:proofErr w:type="spellEnd"/>
      <w:r w:rsidRPr="002934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</w:t>
      </w:r>
    </w:p>
    <w:p w14:paraId="3128CB49" w14:textId="77777777" w:rsidR="00A51ACC" w:rsidRPr="0029343F" w:rsidRDefault="00A51ACC" w:rsidP="00A51ACC">
      <w:pPr>
        <w:ind w:left="3402" w:hanging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 w:rsidRPr="0029343F">
        <w:rPr>
          <w:rFonts w:ascii="Arial" w:hAnsi="Arial" w:cs="Arial"/>
        </w:rPr>
        <w:t>48329771</w:t>
      </w:r>
    </w:p>
    <w:p w14:paraId="050B7FB2" w14:textId="77777777" w:rsidR="00A51ACC" w:rsidRDefault="00A51ACC" w:rsidP="00A51ACC">
      <w:pPr>
        <w:jc w:val="both"/>
        <w:rPr>
          <w:rFonts w:ascii="Arial" w:hAnsi="Arial" w:cs="Arial"/>
        </w:rPr>
      </w:pPr>
    </w:p>
    <w:p w14:paraId="252E90C7" w14:textId="77777777" w:rsidR="00A51ACC" w:rsidRPr="00C058BB" w:rsidRDefault="00A51ACC" w:rsidP="00A51ACC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</w:t>
      </w:r>
      <w:r w:rsidRPr="0029343F">
        <w:rPr>
          <w:rFonts w:ascii="Arial" w:hAnsi="Arial" w:cs="Arial"/>
        </w:rPr>
        <w:t xml:space="preserve"> vedeném Krajským soudem v Plzni oddíl </w:t>
      </w:r>
      <w:proofErr w:type="spellStart"/>
      <w:r w:rsidRPr="0029343F">
        <w:rPr>
          <w:rFonts w:ascii="Arial" w:hAnsi="Arial" w:cs="Arial"/>
        </w:rPr>
        <w:t>Pr</w:t>
      </w:r>
      <w:proofErr w:type="spellEnd"/>
      <w:r w:rsidRPr="0029343F">
        <w:rPr>
          <w:rFonts w:ascii="Arial" w:hAnsi="Arial" w:cs="Arial"/>
        </w:rPr>
        <w:t>, vložka 655.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4F74BB42" w14:textId="7DD19022" w:rsidR="002018F6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5C4A861" w14:textId="24FDD671" w:rsidR="002018F6" w:rsidRDefault="002018F6" w:rsidP="00440E82">
      <w:pPr>
        <w:jc w:val="both"/>
        <w:rPr>
          <w:rFonts w:ascii="Arial" w:hAnsi="Arial" w:cs="Arial"/>
        </w:rPr>
      </w:pPr>
    </w:p>
    <w:p w14:paraId="39187CDA" w14:textId="77777777" w:rsidR="003D4BA7" w:rsidRPr="00440E82" w:rsidRDefault="003D4BA7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3E94F757" w:rsidR="00C9133D" w:rsidRDefault="00C9133D" w:rsidP="00440E82">
      <w:pPr>
        <w:pStyle w:val="text"/>
      </w:pPr>
    </w:p>
    <w:p w14:paraId="73E18950" w14:textId="77777777" w:rsidR="003D4BA7" w:rsidRDefault="003D4BA7" w:rsidP="00440E82">
      <w:pPr>
        <w:pStyle w:val="text"/>
      </w:pPr>
    </w:p>
    <w:p w14:paraId="736B713F" w14:textId="77777777" w:rsidR="003D4BA7" w:rsidRPr="0029343F" w:rsidRDefault="003D4BA7" w:rsidP="003D4BA7">
      <w:pPr>
        <w:pStyle w:val="text"/>
        <w:numPr>
          <w:ilvl w:val="1"/>
          <w:numId w:val="2"/>
        </w:numPr>
      </w:pPr>
      <w:r w:rsidRPr="0029343F">
        <w:rPr>
          <w:b/>
          <w:u w:val="single"/>
        </w:rPr>
        <w:t>Domovy pro osoby se zdravotním postižením</w:t>
      </w:r>
      <w:r w:rsidRPr="0029343F">
        <w:rPr>
          <w:b/>
        </w:rPr>
        <w:t xml:space="preserve"> </w:t>
      </w:r>
      <w:r w:rsidRPr="0029343F">
        <w:t>v tomto rozsahu:</w:t>
      </w:r>
    </w:p>
    <w:p w14:paraId="7BE47ADD" w14:textId="77777777" w:rsidR="003D4BA7" w:rsidRPr="0029343F" w:rsidRDefault="003D4BA7" w:rsidP="003D4BA7">
      <w:pPr>
        <w:pStyle w:val="text"/>
        <w:ind w:left="792"/>
        <w:rPr>
          <w:b/>
          <w:i/>
        </w:rPr>
      </w:pPr>
    </w:p>
    <w:p w14:paraId="074A6F98" w14:textId="77777777" w:rsidR="003D4BA7" w:rsidRPr="0029343F" w:rsidRDefault="003D4BA7" w:rsidP="003D4BA7">
      <w:pPr>
        <w:pStyle w:val="text"/>
        <w:numPr>
          <w:ilvl w:val="2"/>
          <w:numId w:val="2"/>
        </w:numPr>
        <w:ind w:left="1214"/>
      </w:pPr>
      <w:r w:rsidRPr="0029343F">
        <w:t xml:space="preserve"> Forma poskytování služby: </w:t>
      </w:r>
      <w:r w:rsidRPr="0029343F">
        <w:rPr>
          <w:b/>
        </w:rPr>
        <w:t>pobytová</w:t>
      </w:r>
    </w:p>
    <w:p w14:paraId="4DA7BEB5" w14:textId="77777777" w:rsidR="003D4BA7" w:rsidRPr="0029343F" w:rsidRDefault="003D4BA7" w:rsidP="003D4BA7">
      <w:pPr>
        <w:pStyle w:val="text"/>
        <w:ind w:left="1224"/>
      </w:pPr>
    </w:p>
    <w:p w14:paraId="374C1134" w14:textId="77777777" w:rsidR="003D4BA7" w:rsidRPr="006D02BA" w:rsidRDefault="003D4BA7" w:rsidP="003D4BA7">
      <w:pPr>
        <w:pStyle w:val="text"/>
        <w:numPr>
          <w:ilvl w:val="2"/>
          <w:numId w:val="2"/>
        </w:numPr>
        <w:ind w:left="1214"/>
      </w:pPr>
      <w:r w:rsidRPr="0029343F">
        <w:t xml:space="preserve"> Identifikátor služby: </w:t>
      </w:r>
      <w:r w:rsidRPr="0029343F">
        <w:rPr>
          <w:b/>
        </w:rPr>
        <w:t>4088938</w:t>
      </w:r>
    </w:p>
    <w:p w14:paraId="7C3CBD7F" w14:textId="77777777" w:rsidR="003D4BA7" w:rsidRDefault="003D4BA7" w:rsidP="003D4BA7">
      <w:pPr>
        <w:pStyle w:val="text"/>
      </w:pPr>
    </w:p>
    <w:p w14:paraId="413EA786" w14:textId="77777777" w:rsidR="003D4BA7" w:rsidRDefault="003D4BA7" w:rsidP="003D4BA7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1BAD9939" w14:textId="77777777" w:rsidR="003D4BA7" w:rsidRDefault="003D4BA7" w:rsidP="003D4BA7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6DDBD581" w14:textId="77777777" w:rsidR="003D4BA7" w:rsidRDefault="003D4BA7" w:rsidP="003D4BA7">
      <w:pPr>
        <w:pStyle w:val="text"/>
        <w:ind w:left="1224"/>
      </w:pPr>
    </w:p>
    <w:p w14:paraId="259A9FBD" w14:textId="77777777" w:rsidR="003D4BA7" w:rsidRPr="0029343F" w:rsidRDefault="003D4BA7" w:rsidP="003D4BA7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</w:t>
      </w:r>
      <w:r w:rsidRPr="0029343F">
        <w:t xml:space="preserve">Kapacita služby: </w:t>
      </w:r>
      <w:r w:rsidRPr="0029343F">
        <w:rPr>
          <w:b/>
        </w:rPr>
        <w:t>Okamžitá</w:t>
      </w:r>
    </w:p>
    <w:p w14:paraId="37EEE276" w14:textId="77777777" w:rsidR="003D4BA7" w:rsidRDefault="003D4BA7" w:rsidP="003D4BA7">
      <w:pPr>
        <w:pStyle w:val="text"/>
        <w:tabs>
          <w:tab w:val="clear" w:pos="539"/>
        </w:tabs>
        <w:ind w:left="1418"/>
        <w:rPr>
          <w:b/>
        </w:rPr>
      </w:pPr>
      <w:r w:rsidRPr="004C5847">
        <w:rPr>
          <w:b/>
        </w:rPr>
        <w:t>Pobytová forma – 65 lůžek</w:t>
      </w:r>
      <w:r w:rsidRPr="004C5847">
        <w:t xml:space="preserve"> z toho: </w:t>
      </w:r>
      <w:r>
        <w:rPr>
          <w:b/>
        </w:rPr>
        <w:t xml:space="preserve">počet lůžek </w:t>
      </w:r>
      <w:r w:rsidRPr="008B3605">
        <w:rPr>
          <w:b/>
        </w:rPr>
        <w:t>obsazených osobami</w:t>
      </w:r>
      <w:r>
        <w:rPr>
          <w:b/>
        </w:rPr>
        <w:t xml:space="preserve"> s poruchami autistického spektra – 12 lůžek      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7C13C5CB" w14:textId="01D0DB86" w:rsidR="00AB6CE2" w:rsidRDefault="00AB6CE2" w:rsidP="00431A46">
      <w:pPr>
        <w:pStyle w:val="text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61E70257" w:rsidR="00035667" w:rsidRDefault="00035667" w:rsidP="00035667">
      <w:pPr>
        <w:pStyle w:val="text"/>
        <w:ind w:left="360"/>
      </w:pPr>
    </w:p>
    <w:p w14:paraId="7651A2B0" w14:textId="77777777" w:rsidR="003D4BA7" w:rsidRDefault="003D4BA7" w:rsidP="00035667">
      <w:pPr>
        <w:pStyle w:val="text"/>
        <w:ind w:left="360"/>
      </w:pPr>
    </w:p>
    <w:p w14:paraId="2F908E03" w14:textId="606817A3" w:rsidR="00035667" w:rsidRPr="002A43DF" w:rsidRDefault="003D4BA7" w:rsidP="003D4BA7">
      <w:pPr>
        <w:pStyle w:val="text"/>
        <w:numPr>
          <w:ilvl w:val="1"/>
          <w:numId w:val="23"/>
        </w:numPr>
        <w:spacing w:after="0"/>
      </w:pPr>
      <w:r w:rsidRPr="0075608D">
        <w:rPr>
          <w:b/>
          <w:u w:val="single"/>
        </w:rPr>
        <w:t>Domovy pro osoby se zdravotním postižením</w:t>
      </w:r>
      <w:r w:rsidRPr="0075608D">
        <w:rPr>
          <w:b/>
        </w:rPr>
        <w:t xml:space="preserve">, ID: 4088938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24.108.980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3D4BA7">
        <w:t>dvacet čtyři milionů jedno sto osm tisíc devět set osmdesát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5DABEEE9" w14:textId="1B6A8DFF" w:rsidR="00096AA9" w:rsidRPr="003D4BA7" w:rsidRDefault="00CE775C" w:rsidP="002018F6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6492159A" w14:textId="77777777" w:rsidR="003D4BA7" w:rsidRDefault="003D4BA7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</w:p>
    <w:p w14:paraId="2B79D975" w14:textId="53043C81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2FEDC39A" w:rsidR="00C9133D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4F75BA25" w14:textId="2D8E7C76" w:rsidR="003D4BA7" w:rsidRDefault="003D4BA7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4E497F6D" w14:textId="77777777" w:rsidR="003D4BA7" w:rsidRPr="001162C0" w:rsidRDefault="003D4BA7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5A0475BA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78255947" w14:textId="77777777" w:rsidR="003D4BA7" w:rsidRDefault="003D4BA7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B294B0C" w14:textId="77777777" w:rsidR="003D4BA7" w:rsidRDefault="003D4BA7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671DC3F4" w:rsidR="002018F6" w:rsidRDefault="003D4BA7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  </w:t>
      </w:r>
      <w:r>
        <w:rPr>
          <w:rFonts w:ascii="Arial" w:hAnsi="Arial" w:cs="Arial"/>
        </w:rPr>
        <w:t xml:space="preserve">Blanka </w:t>
      </w:r>
      <w:proofErr w:type="spellStart"/>
      <w:r>
        <w:rPr>
          <w:rFonts w:ascii="Arial" w:hAnsi="Arial" w:cs="Arial"/>
        </w:rPr>
        <w:t>Šmichová</w:t>
      </w:r>
      <w:proofErr w:type="spellEnd"/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48B9816F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3D4B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3D4BA7"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60526EEC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6E29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85A0D8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4BA7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298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1ACC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AAA0A-4EBA-4AF7-A889-3231E99F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2022-12-08T13:53:00Z</dcterms:created>
  <dcterms:modified xsi:type="dcterms:W3CDTF">2022-12-16T12:47:00Z</dcterms:modified>
</cp:coreProperties>
</file>