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3DD3" w14:textId="295362D5" w:rsidR="00B7025F" w:rsidRDefault="00B7025F" w:rsidP="00F45C79">
      <w:pPr>
        <w:pStyle w:val="smlouvabodytextbold"/>
        <w:jc w:val="center"/>
      </w:pPr>
      <w:r w:rsidRPr="003477E0">
        <w:t>Smlouva o poskytování poradenských služeb</w:t>
      </w:r>
    </w:p>
    <w:p w14:paraId="0DF3BB23" w14:textId="6BF5AF20" w:rsidR="00632942" w:rsidRPr="00E9393B" w:rsidRDefault="00E9393B" w:rsidP="0038762D">
      <w:pPr>
        <w:jc w:val="center"/>
      </w:pPr>
      <w:r>
        <w:rPr>
          <w:lang w:val="cs-CZ"/>
        </w:rPr>
        <w:t>TČB č.: 20</w:t>
      </w:r>
      <w:r w:rsidR="00632942">
        <w:rPr>
          <w:lang w:val="cs-CZ"/>
        </w:rPr>
        <w:t>23/0024/1000</w:t>
      </w:r>
    </w:p>
    <w:p w14:paraId="17F6BE31" w14:textId="77777777" w:rsidR="00B7025F" w:rsidRPr="003477E0" w:rsidRDefault="00B7025F" w:rsidP="00F45C79">
      <w:pPr>
        <w:pStyle w:val="smlouvabodytext"/>
        <w:spacing w:after="120"/>
        <w:jc w:val="center"/>
      </w:pPr>
      <w:r w:rsidRPr="003477E0">
        <w:t>uzavřená v souladu s ustanovením § 1746 odst. 2. zák. č. 89/2012 Sb., občanský zákoník, ve znění pozdějších předpisů (dále jen „</w:t>
      </w:r>
      <w:r w:rsidRPr="003477E0">
        <w:rPr>
          <w:b/>
        </w:rPr>
        <w:t>občanský zákoník</w:t>
      </w:r>
      <w:r w:rsidRPr="003477E0">
        <w:t>“)</w:t>
      </w:r>
    </w:p>
    <w:p w14:paraId="6FEB1F10" w14:textId="77777777" w:rsidR="00B7025F" w:rsidRPr="003477E0" w:rsidRDefault="00B7025F" w:rsidP="00B7025F">
      <w:pPr>
        <w:pStyle w:val="smlouvabodytext"/>
        <w:spacing w:after="120"/>
        <w:jc w:val="left"/>
      </w:pPr>
    </w:p>
    <w:p w14:paraId="2A138AAC" w14:textId="77777777" w:rsidR="00B7025F" w:rsidRPr="003477E0" w:rsidRDefault="00B7025F" w:rsidP="00B7025F">
      <w:pPr>
        <w:pStyle w:val="smlouvabodytext"/>
        <w:spacing w:after="120"/>
        <w:jc w:val="left"/>
      </w:pPr>
      <w:r w:rsidRPr="003477E0">
        <w:t xml:space="preserve">mezi </w:t>
      </w:r>
    </w:p>
    <w:p w14:paraId="4ABBA4A7" w14:textId="77777777" w:rsidR="00B7025F" w:rsidRPr="003477E0" w:rsidRDefault="00B7025F" w:rsidP="00B7025F">
      <w:pPr>
        <w:pStyle w:val="smlouvabodytext"/>
        <w:spacing w:after="120"/>
        <w:jc w:val="left"/>
      </w:pPr>
    </w:p>
    <w:p w14:paraId="1BA86F0A" w14:textId="77777777" w:rsidR="00B7025F" w:rsidRPr="003477E0" w:rsidRDefault="00B7025F" w:rsidP="00B7025F">
      <w:pPr>
        <w:pStyle w:val="smlouvabodytext"/>
        <w:spacing w:after="120"/>
        <w:jc w:val="left"/>
        <w:rPr>
          <w:b/>
        </w:rPr>
      </w:pPr>
      <w:r w:rsidRPr="003477E0">
        <w:t>společností</w:t>
      </w:r>
      <w:r w:rsidRPr="003477E0">
        <w:rPr>
          <w:b/>
        </w:rPr>
        <w:t xml:space="preserve"> Deloitte Advisory s.r.o.</w:t>
      </w:r>
    </w:p>
    <w:p w14:paraId="27B89A57" w14:textId="77777777" w:rsidR="00B7025F" w:rsidRPr="003477E0" w:rsidRDefault="00B7025F" w:rsidP="00B7025F">
      <w:pPr>
        <w:pStyle w:val="smlouvabodytext"/>
        <w:spacing w:after="120"/>
        <w:jc w:val="left"/>
      </w:pPr>
      <w:r w:rsidRPr="003477E0">
        <w:t xml:space="preserve">se sídlem </w:t>
      </w:r>
      <w:r w:rsidR="005408F9" w:rsidRPr="003477E0">
        <w:t>Italská 2581/67, Praha 2, 120 00, Česká republika</w:t>
      </w:r>
      <w:r w:rsidRPr="003477E0">
        <w:t>,</w:t>
      </w:r>
    </w:p>
    <w:p w14:paraId="7005CEEC" w14:textId="77777777" w:rsidR="00B7025F" w:rsidRPr="003477E0" w:rsidRDefault="00B7025F" w:rsidP="00B7025F">
      <w:pPr>
        <w:pStyle w:val="smlouvabodytext"/>
        <w:spacing w:after="120"/>
        <w:jc w:val="left"/>
      </w:pPr>
      <w:r w:rsidRPr="003477E0">
        <w:t>zapsanou v obchodním rejstříku vedeném Městským soudem v Praze, oddíle C, vložce 113225,</w:t>
      </w:r>
    </w:p>
    <w:p w14:paraId="29E03357" w14:textId="77777777" w:rsidR="00B7025F" w:rsidRPr="003477E0" w:rsidRDefault="00B7025F" w:rsidP="00B7025F">
      <w:pPr>
        <w:pStyle w:val="smlouvabodytext"/>
        <w:spacing w:after="120"/>
        <w:jc w:val="left"/>
      </w:pPr>
    </w:p>
    <w:p w14:paraId="191E50F9" w14:textId="12589225" w:rsidR="00B7025F" w:rsidRPr="003477E0" w:rsidRDefault="00B7025F" w:rsidP="00B7025F">
      <w:pPr>
        <w:pStyle w:val="smlouvabodytext"/>
        <w:spacing w:after="120"/>
        <w:jc w:val="left"/>
      </w:pPr>
      <w:r w:rsidRPr="003477E0">
        <w:t>zastoupenou</w:t>
      </w:r>
      <w:r w:rsidR="00F41AD7" w:rsidRPr="003477E0">
        <w:t xml:space="preserve"> </w:t>
      </w:r>
      <w:bookmarkStart w:id="0" w:name="Partner1"/>
      <w:bookmarkEnd w:id="0"/>
      <w:r w:rsidR="00706DD8">
        <w:t>xxx</w:t>
      </w:r>
      <w:r w:rsidRPr="003477E0">
        <w:t xml:space="preserve">, </w:t>
      </w:r>
      <w:r w:rsidR="00D55929" w:rsidRPr="003477E0">
        <w:t>na základě plné moci</w:t>
      </w:r>
    </w:p>
    <w:p w14:paraId="3B15150F" w14:textId="77777777" w:rsidR="00B7025F" w:rsidRPr="003477E0" w:rsidRDefault="00B7025F" w:rsidP="00B7025F">
      <w:pPr>
        <w:pStyle w:val="smlouvabodytext"/>
        <w:spacing w:after="120"/>
        <w:jc w:val="left"/>
      </w:pPr>
    </w:p>
    <w:p w14:paraId="32D5A78F" w14:textId="77777777" w:rsidR="00B7025F" w:rsidRPr="003477E0" w:rsidRDefault="00B7025F" w:rsidP="00B7025F">
      <w:pPr>
        <w:pStyle w:val="smlouvabodytext"/>
        <w:spacing w:after="120"/>
        <w:jc w:val="left"/>
      </w:pPr>
      <w:r w:rsidRPr="003477E0">
        <w:t>IČO: 27582167, DIČ: CZ27582167</w:t>
      </w:r>
    </w:p>
    <w:p w14:paraId="4989DAE3" w14:textId="77777777" w:rsidR="00B7025F" w:rsidRPr="003477E0" w:rsidRDefault="00B7025F" w:rsidP="00B7025F">
      <w:pPr>
        <w:pStyle w:val="smlouvabodytext"/>
        <w:spacing w:after="120"/>
        <w:jc w:val="left"/>
      </w:pPr>
      <w:r w:rsidRPr="003477E0">
        <w:t>bankovní spojení: ING Bank N.V., Českomoravská 2420/15, 190 00 Praha 9</w:t>
      </w:r>
      <w:r w:rsidR="00F41AD7" w:rsidRPr="003477E0">
        <w:t xml:space="preserve"> </w:t>
      </w:r>
    </w:p>
    <w:p w14:paraId="489F0A4F" w14:textId="77777777" w:rsidR="00B7025F" w:rsidRPr="003477E0" w:rsidRDefault="00B7025F" w:rsidP="00B7025F">
      <w:pPr>
        <w:pStyle w:val="smlouvabodytext"/>
        <w:spacing w:after="120"/>
        <w:jc w:val="left"/>
      </w:pPr>
      <w:r w:rsidRPr="003477E0">
        <w:t xml:space="preserve">číslo účtu CZK: 1000037000/3500, IBAN: CZ31 3500 0000 0010 0003 7000 </w:t>
      </w:r>
    </w:p>
    <w:p w14:paraId="185B5C5B" w14:textId="77777777" w:rsidR="00B7025F" w:rsidRPr="003477E0" w:rsidRDefault="00B7025F" w:rsidP="00B7025F">
      <w:pPr>
        <w:pStyle w:val="smlouvabodytext"/>
        <w:spacing w:after="120"/>
        <w:jc w:val="left"/>
      </w:pPr>
      <w:r w:rsidRPr="003477E0">
        <w:t>číslo účtu EUR: 1330037003/3500, IBAN: CZ37 3500 0000 0013 3003 7003</w:t>
      </w:r>
    </w:p>
    <w:p w14:paraId="03F2D8DE" w14:textId="77777777" w:rsidR="00B7025F" w:rsidRPr="003477E0" w:rsidRDefault="00B7025F" w:rsidP="00B7025F">
      <w:pPr>
        <w:pStyle w:val="smlouvabodytext"/>
        <w:spacing w:after="120"/>
        <w:jc w:val="left"/>
      </w:pPr>
    </w:p>
    <w:p w14:paraId="16766CE8" w14:textId="77777777" w:rsidR="00B7025F" w:rsidRPr="003477E0" w:rsidRDefault="00B7025F" w:rsidP="00B7025F">
      <w:pPr>
        <w:pStyle w:val="smlouvabodytext"/>
        <w:spacing w:after="120"/>
        <w:jc w:val="left"/>
      </w:pPr>
      <w:r w:rsidRPr="003477E0">
        <w:t>(dále jen „</w:t>
      </w:r>
      <w:r w:rsidRPr="003477E0">
        <w:rPr>
          <w:b/>
        </w:rPr>
        <w:t>Deloitte</w:t>
      </w:r>
      <w:r w:rsidRPr="003477E0">
        <w:t>“)</w:t>
      </w:r>
    </w:p>
    <w:p w14:paraId="583CB2DB" w14:textId="77777777" w:rsidR="00B7025F" w:rsidRPr="003477E0" w:rsidRDefault="00B7025F" w:rsidP="00B7025F">
      <w:pPr>
        <w:pStyle w:val="smlouvabodytext"/>
        <w:spacing w:after="120"/>
        <w:jc w:val="left"/>
      </w:pPr>
    </w:p>
    <w:p w14:paraId="2BA66CB4" w14:textId="77777777" w:rsidR="00B7025F" w:rsidRPr="003477E0" w:rsidRDefault="00B7025F" w:rsidP="00B7025F">
      <w:pPr>
        <w:pStyle w:val="smlouvabodytext"/>
        <w:spacing w:after="120"/>
        <w:jc w:val="left"/>
      </w:pPr>
      <w:r w:rsidRPr="003477E0">
        <w:t xml:space="preserve">a </w:t>
      </w:r>
    </w:p>
    <w:p w14:paraId="2AA4F382" w14:textId="77777777" w:rsidR="00B7025F" w:rsidRPr="003477E0" w:rsidRDefault="00B7025F" w:rsidP="00B7025F">
      <w:pPr>
        <w:pStyle w:val="smlouvabodytext"/>
        <w:spacing w:after="120"/>
        <w:jc w:val="left"/>
      </w:pPr>
    </w:p>
    <w:p w14:paraId="151E8BF5" w14:textId="3FE97320" w:rsidR="00B7025F" w:rsidRPr="003477E0" w:rsidRDefault="00B7025F" w:rsidP="00B7025F">
      <w:pPr>
        <w:pStyle w:val="smlouvabodytext"/>
        <w:spacing w:after="120"/>
        <w:jc w:val="left"/>
        <w:rPr>
          <w:b/>
        </w:rPr>
      </w:pPr>
      <w:bookmarkStart w:id="1" w:name="DNazev"/>
      <w:bookmarkEnd w:id="1"/>
      <w:r w:rsidRPr="003477E0">
        <w:t xml:space="preserve">společností </w:t>
      </w:r>
      <w:r w:rsidR="005008F0">
        <w:rPr>
          <w:b/>
        </w:rPr>
        <w:t>Teplárna České Budějovice, a.s.</w:t>
      </w:r>
    </w:p>
    <w:p w14:paraId="4FEC05A7" w14:textId="45A61EBB" w:rsidR="00B7025F" w:rsidRPr="003477E0" w:rsidRDefault="00B7025F" w:rsidP="00B7025F">
      <w:pPr>
        <w:pStyle w:val="smlouvabodytext"/>
        <w:spacing w:after="120"/>
        <w:jc w:val="left"/>
      </w:pPr>
      <w:r w:rsidRPr="003477E0">
        <w:t xml:space="preserve">se sídlem </w:t>
      </w:r>
      <w:bookmarkStart w:id="2" w:name="AdresaKl"/>
      <w:bookmarkEnd w:id="2"/>
      <w:r w:rsidR="005008F0" w:rsidRPr="005008F0">
        <w:t>Novohradská 398/32</w:t>
      </w:r>
      <w:r w:rsidR="005008F0">
        <w:t>, 370 01 České Budějovice</w:t>
      </w:r>
    </w:p>
    <w:p w14:paraId="2CA1B4BB" w14:textId="42D8EACC" w:rsidR="00B7025F" w:rsidRPr="003477E0" w:rsidRDefault="00B7025F" w:rsidP="00B7025F">
      <w:pPr>
        <w:pStyle w:val="smlouvabodytext"/>
        <w:spacing w:after="120"/>
        <w:jc w:val="left"/>
      </w:pPr>
      <w:r w:rsidRPr="005008F0">
        <w:t xml:space="preserve">zapsanou </w:t>
      </w:r>
      <w:r w:rsidR="00D55929" w:rsidRPr="005008F0">
        <w:t xml:space="preserve">v obchodním rejstříku </w:t>
      </w:r>
      <w:r w:rsidR="005008F0" w:rsidRPr="005008F0">
        <w:t>oddíl B vložka 637</w:t>
      </w:r>
      <w:r w:rsidR="00D55929" w:rsidRPr="005008F0">
        <w:t xml:space="preserve"> </w:t>
      </w:r>
      <w:r w:rsidRPr="005008F0">
        <w:t xml:space="preserve">vedeném </w:t>
      </w:r>
      <w:r w:rsidR="00D55929" w:rsidRPr="005008F0">
        <w:t xml:space="preserve">u </w:t>
      </w:r>
      <w:r w:rsidR="005008F0" w:rsidRPr="005008F0">
        <w:t>Krajského</w:t>
      </w:r>
      <w:r w:rsidR="00D55929" w:rsidRPr="005008F0">
        <w:t xml:space="preserve"> soudu </w:t>
      </w:r>
      <w:r w:rsidR="005008F0" w:rsidRPr="005008F0">
        <w:t>v Českých Budějovicích</w:t>
      </w:r>
    </w:p>
    <w:p w14:paraId="529F3456" w14:textId="77777777" w:rsidR="00B7025F" w:rsidRPr="003477E0" w:rsidRDefault="00B7025F" w:rsidP="00B7025F">
      <w:pPr>
        <w:pStyle w:val="smlouvabodytext"/>
        <w:spacing w:after="120"/>
        <w:jc w:val="left"/>
      </w:pPr>
    </w:p>
    <w:p w14:paraId="40A7AF3E" w14:textId="6A1E255B" w:rsidR="00B7025F" w:rsidRDefault="00B7025F" w:rsidP="00B7025F">
      <w:pPr>
        <w:pStyle w:val="smlouvabodytext"/>
        <w:spacing w:after="120"/>
        <w:jc w:val="left"/>
      </w:pPr>
      <w:r w:rsidRPr="003477E0">
        <w:t>zastoupenou</w:t>
      </w:r>
      <w:r w:rsidR="00632942">
        <w:tab/>
        <w:t>Ing. Václavem Krále</w:t>
      </w:r>
      <w:r w:rsidR="00222392">
        <w:t>m</w:t>
      </w:r>
      <w:r w:rsidR="00CE17B8" w:rsidRPr="003477E0">
        <w:t>,</w:t>
      </w:r>
      <w:r w:rsidR="00EE6E4F" w:rsidRPr="003477E0">
        <w:t xml:space="preserve"> </w:t>
      </w:r>
      <w:r w:rsidR="00632942">
        <w:t>předsedou představenstva a</w:t>
      </w:r>
    </w:p>
    <w:p w14:paraId="40130F1C" w14:textId="6DF02A10" w:rsidR="00632942" w:rsidRPr="003477E0" w:rsidRDefault="00632942" w:rsidP="00B7025F">
      <w:pPr>
        <w:pStyle w:val="smlouvabodytext"/>
        <w:spacing w:after="120"/>
        <w:jc w:val="left"/>
      </w:pPr>
      <w:r>
        <w:tab/>
      </w:r>
      <w:r>
        <w:tab/>
        <w:t>Ing. Tomášem Kollarczykem, MBA, místopředsedou představenstva</w:t>
      </w:r>
    </w:p>
    <w:p w14:paraId="5D05B4B2" w14:textId="77777777" w:rsidR="00B7025F" w:rsidRPr="003477E0" w:rsidRDefault="00B7025F" w:rsidP="00B7025F">
      <w:pPr>
        <w:pStyle w:val="smlouvabodytext"/>
        <w:spacing w:after="120"/>
        <w:jc w:val="left"/>
      </w:pPr>
    </w:p>
    <w:p w14:paraId="3EF1FF7C" w14:textId="5E76599B" w:rsidR="00B7025F" w:rsidRPr="003477E0" w:rsidRDefault="00B7025F" w:rsidP="00B7025F">
      <w:pPr>
        <w:pStyle w:val="smlouvabodytext"/>
        <w:spacing w:after="120"/>
        <w:jc w:val="left"/>
      </w:pPr>
      <w:r w:rsidRPr="003477E0">
        <w:t>IČO:</w:t>
      </w:r>
      <w:r w:rsidR="00EE6E4F" w:rsidRPr="003477E0">
        <w:rPr>
          <w:rFonts w:ascii="Garamond" w:eastAsia="Times New Roman" w:hAnsi="Garamond"/>
          <w:noProof w:val="0"/>
          <w:sz w:val="22"/>
          <w:szCs w:val="22"/>
        </w:rPr>
        <w:t xml:space="preserve"> </w:t>
      </w:r>
      <w:r w:rsidR="005008F0" w:rsidRPr="005008F0">
        <w:t>60826835</w:t>
      </w:r>
      <w:r w:rsidRPr="003477E0">
        <w:t>, DIČ:</w:t>
      </w:r>
      <w:r w:rsidR="00F41AD7" w:rsidRPr="003477E0">
        <w:t xml:space="preserve"> </w:t>
      </w:r>
      <w:r w:rsidR="00EE6E4F" w:rsidRPr="00A02D95">
        <w:t>CZ</w:t>
      </w:r>
      <w:r w:rsidR="005008F0" w:rsidRPr="005008F0">
        <w:t>60826835</w:t>
      </w:r>
    </w:p>
    <w:p w14:paraId="49A4034D" w14:textId="69D238D6" w:rsidR="00C432E4" w:rsidRPr="00C432E4" w:rsidRDefault="00B7025F" w:rsidP="00C432E4">
      <w:pPr>
        <w:pStyle w:val="smlouvabodytext"/>
        <w:spacing w:after="120"/>
      </w:pPr>
      <w:r w:rsidRPr="003477E0">
        <w:t xml:space="preserve">bankovní spojení: </w:t>
      </w:r>
      <w:bookmarkStart w:id="3" w:name="BankSpoj"/>
      <w:bookmarkEnd w:id="3"/>
      <w:r w:rsidR="005008F0">
        <w:t>Komerční banka</w:t>
      </w:r>
      <w:r w:rsidR="00C432E4" w:rsidRPr="00C432E4">
        <w:t xml:space="preserve">, č. účtu </w:t>
      </w:r>
      <w:r w:rsidR="005008F0" w:rsidRPr="005008F0">
        <w:t>91605231</w:t>
      </w:r>
      <w:r w:rsidR="00C432E4" w:rsidRPr="00C432E4">
        <w:t>/</w:t>
      </w:r>
      <w:r w:rsidR="005008F0">
        <w:t>01</w:t>
      </w:r>
      <w:r w:rsidR="00C432E4" w:rsidRPr="00C432E4">
        <w:t>00</w:t>
      </w:r>
    </w:p>
    <w:p w14:paraId="64E30452" w14:textId="05007708" w:rsidR="00B7025F" w:rsidRPr="003477E0" w:rsidRDefault="00B7025F" w:rsidP="00B7025F">
      <w:pPr>
        <w:pStyle w:val="smlouvabodytext"/>
        <w:spacing w:after="120"/>
        <w:jc w:val="left"/>
      </w:pPr>
    </w:p>
    <w:p w14:paraId="7429BA8B" w14:textId="77777777" w:rsidR="00B7025F" w:rsidRPr="003477E0" w:rsidRDefault="00B7025F" w:rsidP="00B7025F">
      <w:pPr>
        <w:pStyle w:val="smlouvabodytext"/>
        <w:spacing w:after="120"/>
        <w:jc w:val="left"/>
      </w:pPr>
      <w:r w:rsidRPr="003477E0">
        <w:t xml:space="preserve">(dále jen </w:t>
      </w:r>
      <w:bookmarkStart w:id="4" w:name="ZN1"/>
      <w:bookmarkEnd w:id="4"/>
      <w:r w:rsidRPr="003477E0">
        <w:t>„</w:t>
      </w:r>
      <w:r w:rsidRPr="003477E0">
        <w:rPr>
          <w:b/>
        </w:rPr>
        <w:t>Klient</w:t>
      </w:r>
      <w:r w:rsidRPr="003477E0">
        <w:t>“)</w:t>
      </w:r>
    </w:p>
    <w:p w14:paraId="7FE650E4" w14:textId="77777777" w:rsidR="00B7025F" w:rsidRPr="003477E0" w:rsidRDefault="00B7025F" w:rsidP="00B7025F">
      <w:pPr>
        <w:pStyle w:val="smlouvabodytext"/>
        <w:spacing w:after="120"/>
        <w:jc w:val="left"/>
      </w:pPr>
    </w:p>
    <w:p w14:paraId="1FB5C9F7" w14:textId="10B3F11D" w:rsidR="00C56476" w:rsidRPr="00632942" w:rsidRDefault="00B7025F" w:rsidP="00632942">
      <w:pPr>
        <w:pStyle w:val="smlouvabodytext"/>
        <w:spacing w:after="120"/>
        <w:jc w:val="left"/>
        <w:sectPr w:rsidR="00C56476" w:rsidRPr="00632942" w:rsidSect="00D80BA0">
          <w:headerReference w:type="default" r:id="rId11"/>
          <w:footerReference w:type="default" r:id="rId12"/>
          <w:footerReference w:type="first" r:id="rId13"/>
          <w:pgSz w:w="11906" w:h="16838" w:code="9"/>
          <w:pgMar w:top="1417" w:right="1417" w:bottom="1276" w:left="1417" w:header="680" w:footer="567" w:gutter="0"/>
          <w:cols w:space="284"/>
          <w:docGrid w:linePitch="360"/>
        </w:sectPr>
      </w:pPr>
      <w:r w:rsidRPr="003477E0">
        <w:t>Na Deloitte a Klienta je dále odkazováno jednotlivě jako na „</w:t>
      </w:r>
      <w:r w:rsidRPr="003477E0">
        <w:rPr>
          <w:b/>
        </w:rPr>
        <w:t>smluvní stranu</w:t>
      </w:r>
      <w:r w:rsidRPr="003477E0">
        <w:t>“, případně dohromady jako na „</w:t>
      </w:r>
      <w:r w:rsidRPr="003477E0">
        <w:rPr>
          <w:b/>
        </w:rPr>
        <w:t>smluvní strany</w:t>
      </w:r>
      <w:r w:rsidRPr="003477E0">
        <w:t>“.</w:t>
      </w:r>
    </w:p>
    <w:p w14:paraId="1C11C55A" w14:textId="3606EACE" w:rsidR="00B7025F" w:rsidRDefault="00B7025F" w:rsidP="003E572E">
      <w:pPr>
        <w:pStyle w:val="Zkladntext"/>
        <w:rPr>
          <w:lang w:val="cs-CZ"/>
        </w:rPr>
      </w:pPr>
      <w:r w:rsidRPr="003477E0">
        <w:rPr>
          <w:lang w:val="cs-CZ"/>
        </w:rPr>
        <w:lastRenderedPageBreak/>
        <w:t>Obě smluvní strany se dohodly, že budou vázány následujícím zněním této Smlouvy o poskytování poradenských služeb, která je definována v Obchodních podmínkách jako Smluvní dopis (dále jen „</w:t>
      </w:r>
      <w:r w:rsidRPr="003477E0">
        <w:rPr>
          <w:b/>
          <w:lang w:val="cs-CZ"/>
        </w:rPr>
        <w:t>Smluvní dopis</w:t>
      </w:r>
      <w:r w:rsidRPr="003477E0">
        <w:rPr>
          <w:lang w:val="cs-CZ"/>
        </w:rPr>
        <w:t>“).</w:t>
      </w:r>
    </w:p>
    <w:p w14:paraId="426AA7CB" w14:textId="77777777" w:rsidR="00D80BA0" w:rsidRPr="003477E0" w:rsidRDefault="00D80BA0" w:rsidP="003E572E">
      <w:pPr>
        <w:pStyle w:val="Zkladntext"/>
        <w:rPr>
          <w:lang w:val="cs-CZ"/>
        </w:rPr>
      </w:pPr>
    </w:p>
    <w:p w14:paraId="70CCBF25" w14:textId="77777777" w:rsidR="00B7025F" w:rsidRPr="00A02D95" w:rsidRDefault="00B7025F" w:rsidP="003E572E">
      <w:pPr>
        <w:pStyle w:val="Smlouvaheading1"/>
        <w:rPr>
          <w:lang w:val="cs-CZ"/>
        </w:rPr>
      </w:pPr>
      <w:r w:rsidRPr="00A02D95">
        <w:rPr>
          <w:lang w:val="cs-CZ"/>
        </w:rPr>
        <w:t xml:space="preserve">Úvodní ustanovení </w:t>
      </w:r>
    </w:p>
    <w:p w14:paraId="79CDEA25" w14:textId="62B2C95B" w:rsidR="00B7025F" w:rsidRPr="00A02D95" w:rsidRDefault="00B7025F" w:rsidP="003E572E">
      <w:pPr>
        <w:pStyle w:val="Smlouvaheading2"/>
        <w:rPr>
          <w:lang w:val="cs-CZ"/>
        </w:rPr>
      </w:pPr>
      <w:r w:rsidRPr="00A02D95">
        <w:rPr>
          <w:lang w:val="cs-CZ"/>
        </w:rPr>
        <w:t xml:space="preserve">Účelem tohoto Smluvního dopisu je stanovit podmínky a pravidla pro poskytování odborných služeb v oblasti </w:t>
      </w:r>
      <w:r w:rsidR="005008F0" w:rsidRPr="005008F0">
        <w:rPr>
          <w:b/>
          <w:lang w:val="cs-CZ"/>
        </w:rPr>
        <w:t>Studie k vývoji na energetických trzích</w:t>
      </w:r>
      <w:r w:rsidRPr="00A02D95">
        <w:rPr>
          <w:lang w:val="cs-CZ"/>
        </w:rPr>
        <w:t xml:space="preserve"> (dále jen „</w:t>
      </w:r>
      <w:r w:rsidRPr="00A02D95">
        <w:rPr>
          <w:b/>
          <w:lang w:val="cs-CZ"/>
        </w:rPr>
        <w:t>Služby</w:t>
      </w:r>
      <w:r w:rsidRPr="00A02D95">
        <w:rPr>
          <w:lang w:val="cs-CZ"/>
        </w:rPr>
        <w:t xml:space="preserve">“) společností Deloitte Klientovi. </w:t>
      </w:r>
    </w:p>
    <w:p w14:paraId="6B9C8972" w14:textId="77777777" w:rsidR="00B7025F" w:rsidRPr="00A02D95" w:rsidRDefault="00B7025F" w:rsidP="003E572E">
      <w:pPr>
        <w:pStyle w:val="Smlouvaheading2"/>
        <w:rPr>
          <w:lang w:val="cs-CZ"/>
        </w:rPr>
      </w:pPr>
      <w:r w:rsidRPr="00A02D95">
        <w:rPr>
          <w:lang w:val="cs-CZ"/>
        </w:rPr>
        <w:t>Služby budou poskytovány v souladu s tímto Smluvním dopisem, jeho přílohami, včetně Přílohy č. 3 Obchodní podmínky Deloitte CE (dále jen „</w:t>
      </w:r>
      <w:r w:rsidRPr="00A02D95">
        <w:rPr>
          <w:b/>
          <w:lang w:val="cs-CZ"/>
        </w:rPr>
        <w:t>Obchodní podmínky</w:t>
      </w:r>
      <w:r w:rsidRPr="00A02D95">
        <w:rPr>
          <w:lang w:val="cs-CZ"/>
        </w:rPr>
        <w:t xml:space="preserve">“), přičemž všechny přílohy tvoří nedílnou součást Smluvního dopisu. </w:t>
      </w:r>
    </w:p>
    <w:p w14:paraId="6F51CBEE" w14:textId="77777777" w:rsidR="00B7025F" w:rsidRPr="00A02D95" w:rsidRDefault="00B7025F" w:rsidP="003E572E">
      <w:pPr>
        <w:pStyle w:val="Smlouvaheading2"/>
        <w:rPr>
          <w:lang w:val="cs-CZ"/>
        </w:rPr>
      </w:pPr>
      <w:r w:rsidRPr="00A02D95">
        <w:rPr>
          <w:lang w:val="cs-CZ"/>
        </w:rPr>
        <w:t xml:space="preserve">Rozsah Služeb je podrobněji vymezen v Příloze č. 1 tohoto Smluvního dopisu. </w:t>
      </w:r>
    </w:p>
    <w:p w14:paraId="30094A7F" w14:textId="77777777" w:rsidR="00B7025F" w:rsidRPr="00A02D95" w:rsidRDefault="00B7025F" w:rsidP="003E572E">
      <w:pPr>
        <w:pStyle w:val="Smlouvaheading2"/>
        <w:rPr>
          <w:lang w:val="cs-CZ"/>
        </w:rPr>
      </w:pPr>
      <w:r w:rsidRPr="00A02D95">
        <w:rPr>
          <w:lang w:val="cs-CZ"/>
        </w:rPr>
        <w:t>Smluvní dopis včetně příloh je podle tohoto Smluvního dopisu označován jako „</w:t>
      </w:r>
      <w:r w:rsidRPr="00A02D95">
        <w:rPr>
          <w:b/>
          <w:lang w:val="cs-CZ"/>
        </w:rPr>
        <w:t>Smlouva</w:t>
      </w:r>
      <w:r w:rsidRPr="00A02D95">
        <w:rPr>
          <w:lang w:val="cs-CZ"/>
        </w:rPr>
        <w:t xml:space="preserve">“. Termíny nedefinované v tomto Smluvním dopise mají význam specifikovaný v Obchodních podmínkách. V případě rozporu mezi tímto Smluvním dopisem a jeho přílohami mají Smluvní dopis a Přílohy č. 1 a 2 v příslušném rozsahu přednost před Obchodními podmínkami. </w:t>
      </w:r>
    </w:p>
    <w:p w14:paraId="6F7BA64D" w14:textId="77777777" w:rsidR="00B7025F" w:rsidRPr="00A02D95" w:rsidRDefault="00B7025F" w:rsidP="003E572E">
      <w:pPr>
        <w:pStyle w:val="Smlouvaheading1"/>
        <w:rPr>
          <w:lang w:val="cs-CZ"/>
        </w:rPr>
      </w:pPr>
      <w:r w:rsidRPr="00A02D95">
        <w:rPr>
          <w:lang w:val="cs-CZ"/>
        </w:rPr>
        <w:t xml:space="preserve">Předmět Smlouvy </w:t>
      </w:r>
    </w:p>
    <w:p w14:paraId="75A7D2B4" w14:textId="77777777" w:rsidR="00B7025F" w:rsidRPr="00A02D95" w:rsidRDefault="00B7025F" w:rsidP="000445D6">
      <w:pPr>
        <w:pStyle w:val="Smlouvaheading2"/>
        <w:rPr>
          <w:lang w:val="cs-CZ"/>
        </w:rPr>
      </w:pPr>
      <w:r w:rsidRPr="00A02D95">
        <w:rPr>
          <w:lang w:val="cs-CZ"/>
        </w:rPr>
        <w:t xml:space="preserve">Předmětem této Smlouvy je závazek Deloitte poskytovat Služby, jejichž rozsah je vymezen v Příloze č. 1, a tomu odpovídající závazek Klienta uhradit za tyto Služby odměnu způsobem v této Smlouvě dále stanoveným. </w:t>
      </w:r>
    </w:p>
    <w:p w14:paraId="424B319C" w14:textId="77777777" w:rsidR="00B7025F" w:rsidRPr="00A02D95" w:rsidRDefault="00B7025F" w:rsidP="000445D6">
      <w:pPr>
        <w:pStyle w:val="Smlouvaheading2"/>
        <w:rPr>
          <w:lang w:val="cs-CZ"/>
        </w:rPr>
      </w:pPr>
      <w:r w:rsidRPr="00A02D95">
        <w:rPr>
          <w:lang w:val="cs-CZ"/>
        </w:rPr>
        <w:t xml:space="preserve">Dohodnou-li se Klient a Deloitte na dalších službách neuvedených v Příloze č. 1, tyto služby (včetně jejich očekávaného rozsahu, náplně a obchodních podmínek Deloitte) budou smluvními stranami specifikovány a dohodnuty v dalších samostatných dodatcích k této Smlouvě. </w:t>
      </w:r>
    </w:p>
    <w:p w14:paraId="59BB0F01" w14:textId="77777777" w:rsidR="00B7025F" w:rsidRPr="00A02D95" w:rsidRDefault="00B7025F" w:rsidP="003E572E">
      <w:pPr>
        <w:pStyle w:val="Smlouvaheading1"/>
        <w:rPr>
          <w:lang w:val="cs-CZ"/>
        </w:rPr>
      </w:pPr>
      <w:bookmarkStart w:id="5" w:name="ZN5"/>
      <w:bookmarkStart w:id="6" w:name="ZN6"/>
      <w:bookmarkStart w:id="7" w:name="ZN7"/>
      <w:bookmarkStart w:id="8" w:name="ZN8"/>
      <w:bookmarkStart w:id="9" w:name="ZN9"/>
      <w:bookmarkStart w:id="10" w:name="ZN10"/>
      <w:bookmarkStart w:id="11" w:name="ZN11"/>
      <w:bookmarkStart w:id="12" w:name="ZN12"/>
      <w:bookmarkStart w:id="13" w:name="ZN13"/>
      <w:bookmarkStart w:id="14" w:name="ZN14"/>
      <w:bookmarkEnd w:id="5"/>
      <w:bookmarkEnd w:id="6"/>
      <w:bookmarkEnd w:id="7"/>
      <w:bookmarkEnd w:id="8"/>
      <w:bookmarkEnd w:id="9"/>
      <w:bookmarkEnd w:id="10"/>
      <w:bookmarkEnd w:id="11"/>
      <w:bookmarkEnd w:id="12"/>
      <w:bookmarkEnd w:id="13"/>
      <w:bookmarkEnd w:id="14"/>
      <w:r w:rsidRPr="00A02D95">
        <w:rPr>
          <w:lang w:val="cs-CZ"/>
        </w:rPr>
        <w:t xml:space="preserve">Cena za Služby a platební podmínky </w:t>
      </w:r>
    </w:p>
    <w:p w14:paraId="783B7153" w14:textId="77777777" w:rsidR="00B7025F" w:rsidRPr="00A02D95" w:rsidRDefault="00B7025F" w:rsidP="003E572E">
      <w:pPr>
        <w:pStyle w:val="Smlouvaheading2"/>
        <w:rPr>
          <w:lang w:val="cs-CZ"/>
        </w:rPr>
      </w:pPr>
      <w:bookmarkStart w:id="15" w:name="ZN15"/>
      <w:bookmarkEnd w:id="15"/>
      <w:r w:rsidRPr="00A02D95">
        <w:rPr>
          <w:lang w:val="cs-CZ"/>
        </w:rPr>
        <w:t>Klient se zavazuje platit Deloitte za plnění provedená na základě této Smlouvy cenu uvedenou v Příloze č. 2 (dále jen „</w:t>
      </w:r>
      <w:r w:rsidRPr="00A02D95">
        <w:rPr>
          <w:b/>
          <w:lang w:val="cs-CZ"/>
        </w:rPr>
        <w:t>Cena za Služby</w:t>
      </w:r>
      <w:r w:rsidRPr="00A02D95">
        <w:rPr>
          <w:lang w:val="cs-CZ"/>
        </w:rPr>
        <w:t xml:space="preserve">“). </w:t>
      </w:r>
    </w:p>
    <w:p w14:paraId="1B7786CC" w14:textId="1FCD98FA" w:rsidR="00B7025F" w:rsidRPr="00A02D95" w:rsidRDefault="00B7025F" w:rsidP="003E572E">
      <w:pPr>
        <w:pStyle w:val="Smlouvaheading2"/>
        <w:rPr>
          <w:lang w:val="cs-CZ"/>
        </w:rPr>
      </w:pPr>
      <w:bookmarkStart w:id="16" w:name="Mena17"/>
      <w:bookmarkStart w:id="17" w:name="ZN16"/>
      <w:bookmarkStart w:id="18" w:name="ZN17"/>
      <w:bookmarkStart w:id="19" w:name="ZN20"/>
      <w:bookmarkStart w:id="20" w:name="Mena16"/>
      <w:bookmarkStart w:id="21" w:name="ZN59"/>
      <w:bookmarkStart w:id="22" w:name="ZNemployees"/>
      <w:bookmarkStart w:id="23" w:name="ZN27"/>
      <w:bookmarkStart w:id="24" w:name="ZN28"/>
      <w:bookmarkStart w:id="25" w:name="ZN29"/>
      <w:bookmarkStart w:id="26" w:name="ZN30"/>
      <w:bookmarkStart w:id="27" w:name="ZN31"/>
      <w:bookmarkStart w:id="28" w:name="ZN66"/>
      <w:bookmarkStart w:id="29" w:name="ZN32"/>
      <w:bookmarkStart w:id="30" w:name="ZN33"/>
      <w:bookmarkStart w:id="31" w:name="ZN34"/>
      <w:bookmarkStart w:id="32" w:name="ZN35"/>
      <w:bookmarkStart w:id="33" w:name="ZN36"/>
      <w:bookmarkStart w:id="34" w:name="ZN37"/>
      <w:bookmarkStart w:id="35" w:name="ZN67"/>
      <w:bookmarkStart w:id="36" w:name="ZN38"/>
      <w:bookmarkStart w:id="37" w:name="ZN39"/>
      <w:bookmarkStart w:id="38" w:name="ZN40"/>
      <w:bookmarkStart w:id="39" w:name="ZN41"/>
      <w:bookmarkStart w:id="40" w:name="ZN42"/>
      <w:bookmarkStart w:id="41" w:name="Zn61"/>
      <w:bookmarkStart w:id="42" w:name="ZN60"/>
      <w:bookmarkStart w:id="43" w:name="ZN43"/>
      <w:bookmarkStart w:id="44" w:name="ZN44"/>
      <w:bookmarkStart w:id="45" w:name="ZN46"/>
      <w:bookmarkStart w:id="46" w:name="ZN47"/>
      <w:bookmarkStart w:id="47" w:name="ZN48"/>
      <w:bookmarkStart w:id="48" w:name="ZN50"/>
      <w:bookmarkStart w:id="49" w:name="ZN51"/>
      <w:bookmarkStart w:id="50" w:name="ZN52"/>
      <w:bookmarkStart w:id="51" w:name="ZN53"/>
      <w:bookmarkStart w:id="52" w:name="ZN54"/>
      <w:bookmarkStart w:id="53" w:name="ZN55"/>
      <w:bookmarkStart w:id="54" w:name="ZN56"/>
      <w:bookmarkStart w:id="55" w:name="ZN57"/>
      <w:bookmarkStart w:id="56" w:name="ZN58"/>
      <w:bookmarkStart w:id="57" w:name="ZN6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02D95">
        <w:rPr>
          <w:lang w:val="cs-CZ"/>
        </w:rPr>
        <w:t>Klient výslovně souhlasí s možností elektronické formy fakturace za podmínek stanovených touto Smlouvou a platnými právními předpisy. Faktura společnosti Deloitte bude považována za doručenou okamžikem zaslání na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jakoby byla úspěšně doručena Klientovi prostřednictvím e</w:t>
      </w:r>
      <w:r w:rsidR="00C432E4">
        <w:rPr>
          <w:lang w:val="cs-CZ"/>
        </w:rPr>
        <w:t>-</w:t>
      </w:r>
      <w:r w:rsidRPr="00A02D95">
        <w:rPr>
          <w:lang w:val="cs-CZ"/>
        </w:rPr>
        <w:t>mailu.</w:t>
      </w:r>
      <w:r w:rsidR="00D80BA0">
        <w:rPr>
          <w:lang w:val="cs-CZ"/>
        </w:rPr>
        <w:t xml:space="preserve"> F</w:t>
      </w:r>
      <w:r w:rsidR="00D80BA0" w:rsidRPr="00D80BA0">
        <w:rPr>
          <w:lang w:val="cs-CZ"/>
        </w:rPr>
        <w:t xml:space="preserve">aktura musí mít veškeré náležitosti daňového dokladu dle zákona č. 235/2004 Sb., o dani z přidané hodnoty, ve znění pozdějších předpisů, a obchodní listiny podle § 435, občanský zákoník. Dále musí obsahovat určení </w:t>
      </w:r>
      <w:r w:rsidR="00D80BA0">
        <w:rPr>
          <w:lang w:val="cs-CZ"/>
        </w:rPr>
        <w:t>smluvních stran</w:t>
      </w:r>
      <w:r w:rsidR="00D80BA0" w:rsidRPr="00D80BA0">
        <w:rPr>
          <w:lang w:val="cs-CZ"/>
        </w:rPr>
        <w:t>, včetně jejich IČO, DIČ, datum vystavení, datum splatnosti, datum uskutečnění zdanite</w:t>
      </w:r>
      <w:r w:rsidR="00D80BA0">
        <w:rPr>
          <w:lang w:val="cs-CZ"/>
        </w:rPr>
        <w:t>lného plnění, bankovní spojení s</w:t>
      </w:r>
      <w:r w:rsidR="00D80BA0" w:rsidRPr="00D80BA0">
        <w:rPr>
          <w:lang w:val="cs-CZ"/>
        </w:rPr>
        <w:t>mluvních stran, předm</w:t>
      </w:r>
      <w:r w:rsidR="00D80BA0">
        <w:rPr>
          <w:lang w:val="cs-CZ"/>
        </w:rPr>
        <w:t>ět plnění, název a číslo stavby a</w:t>
      </w:r>
      <w:r w:rsidR="00D80BA0" w:rsidRPr="00D80BA0">
        <w:rPr>
          <w:lang w:val="cs-CZ"/>
        </w:rPr>
        <w:t xml:space="preserve"> číslo Smlouvy </w:t>
      </w:r>
      <w:r w:rsidR="00D80BA0">
        <w:rPr>
          <w:lang w:val="cs-CZ"/>
        </w:rPr>
        <w:t>TČB</w:t>
      </w:r>
      <w:r w:rsidR="00D80BA0" w:rsidRPr="00D80BA0">
        <w:rPr>
          <w:lang w:val="cs-CZ"/>
        </w:rPr>
        <w:t>, celkovou cenu bez DPH, celkovou částku k úhradě a ostatní náležitosti dle zákona o dani z přidané hodnoty a zákona o účetnictví.</w:t>
      </w:r>
    </w:p>
    <w:p w14:paraId="537B0D82" w14:textId="77777777" w:rsidR="00B7025F" w:rsidRPr="003477E0" w:rsidRDefault="00B7025F" w:rsidP="000445D6">
      <w:pPr>
        <w:pStyle w:val="smlouvabodytext"/>
        <w:ind w:left="425"/>
        <w:rPr>
          <w:b/>
        </w:rPr>
      </w:pPr>
      <w:r w:rsidRPr="003477E0">
        <w:t>Pro účely elektronické fakturace se stanovuje níže uvedená emailová adresa pro zasílání faktur:</w:t>
      </w:r>
    </w:p>
    <w:p w14:paraId="43C0A352" w14:textId="73E4A390" w:rsidR="00D80BA0" w:rsidRPr="00D80BA0" w:rsidRDefault="00B7025F" w:rsidP="00D80BA0">
      <w:pPr>
        <w:pStyle w:val="smlouvabodytext"/>
        <w:ind w:left="425"/>
      </w:pPr>
      <w:r w:rsidRPr="00D80BA0">
        <w:rPr>
          <w:b/>
        </w:rPr>
        <w:t>E-mail:</w:t>
      </w:r>
      <w:r w:rsidRPr="00D80BA0">
        <w:t xml:space="preserve"> </w:t>
      </w:r>
      <w:hyperlink r:id="rId14" w:history="1">
        <w:r w:rsidR="00D80BA0" w:rsidRPr="00D80BA0">
          <w:rPr>
            <w:rStyle w:val="Hypertextovodkaz"/>
          </w:rPr>
          <w:t>podatelna@teplarna-cb.cz</w:t>
        </w:r>
      </w:hyperlink>
    </w:p>
    <w:p w14:paraId="5D48A9D1" w14:textId="579D2A31" w:rsidR="00B7025F" w:rsidRPr="00A02D95" w:rsidRDefault="00B7025F" w:rsidP="00D80BA0">
      <w:pPr>
        <w:pStyle w:val="smlouvabodytext"/>
        <w:ind w:left="425"/>
        <w:rPr>
          <w:b/>
        </w:rPr>
      </w:pPr>
      <w:r w:rsidRPr="00A02D95">
        <w:t xml:space="preserve">Trvání Smlouvy </w:t>
      </w:r>
    </w:p>
    <w:p w14:paraId="02D99BD6" w14:textId="1ACCD95F" w:rsidR="00B7025F" w:rsidRPr="00A02D95" w:rsidRDefault="00B7025F" w:rsidP="00A02D95">
      <w:pPr>
        <w:pStyle w:val="Smlouvaheading2"/>
        <w:tabs>
          <w:tab w:val="clear" w:pos="426"/>
          <w:tab w:val="num" w:pos="851"/>
        </w:tabs>
        <w:ind w:left="425" w:hanging="425"/>
      </w:pPr>
      <w:r w:rsidRPr="00A02D95">
        <w:rPr>
          <w:lang w:val="cs-CZ"/>
        </w:rPr>
        <w:t>Smlouva je uzavřena na dobu určitou, a to do okamžiku řádného splnění všech povinností vyplývajících z této Smlouvy oběma smluvními stranami, tj. do poskytnutí Služeb dle časového harmonogramu uvedeného v Příloze č. 1 a do úplného uhrazení veškerých odměn definovaných v této Smlouvě ze strany Klienta. Ujednání 11 (a) Obchodních podmínek tímto není dotčeno.</w:t>
      </w:r>
    </w:p>
    <w:p w14:paraId="713C0C7F" w14:textId="01329A62" w:rsidR="00D55929" w:rsidRPr="003477E0" w:rsidRDefault="00B7025F" w:rsidP="00A02D95">
      <w:pPr>
        <w:pStyle w:val="Smlouvaheading2"/>
        <w:tabs>
          <w:tab w:val="clear" w:pos="426"/>
          <w:tab w:val="num" w:pos="851"/>
        </w:tabs>
        <w:ind w:left="425" w:hanging="425"/>
        <w:rPr>
          <w:lang w:val="cs-CZ"/>
        </w:rPr>
      </w:pPr>
      <w:r w:rsidRPr="003477E0">
        <w:rPr>
          <w:lang w:val="cs-CZ"/>
        </w:rPr>
        <w:lastRenderedPageBreak/>
        <w:t>Smlouva nabývá platnosti dnem jejího podpisu oprávněnými zástupci obou smluvních stran.</w:t>
      </w:r>
    </w:p>
    <w:p w14:paraId="6861411B" w14:textId="23415B69" w:rsidR="00B7025F" w:rsidRPr="00A02D95" w:rsidRDefault="00B7025F" w:rsidP="00A02D95">
      <w:pPr>
        <w:pStyle w:val="Smlouvaheading1"/>
        <w:rPr>
          <w:lang w:val="cs-CZ"/>
        </w:rPr>
      </w:pPr>
      <w:bookmarkStart w:id="58" w:name="ZN63"/>
      <w:bookmarkEnd w:id="58"/>
      <w:r w:rsidRPr="00A02D95">
        <w:rPr>
          <w:lang w:val="cs-CZ"/>
        </w:rPr>
        <w:t xml:space="preserve">Oznámení </w:t>
      </w:r>
    </w:p>
    <w:p w14:paraId="760B941A" w14:textId="1D5C8777" w:rsidR="00B7025F" w:rsidRPr="00A02D95" w:rsidRDefault="00B7025F" w:rsidP="00A02D95">
      <w:pPr>
        <w:pStyle w:val="Smlouvaheading2"/>
        <w:tabs>
          <w:tab w:val="clear" w:pos="426"/>
          <w:tab w:val="num" w:pos="851"/>
        </w:tabs>
        <w:ind w:left="425" w:hanging="425"/>
        <w:rPr>
          <w:lang w:val="cs-CZ"/>
        </w:rPr>
      </w:pPr>
      <w:r w:rsidRPr="00A02D95">
        <w:rPr>
          <w:lang w:val="cs-CZ"/>
        </w:rPr>
        <w:t>Adresy, telefonní čísla, faxová čísla a e-maily smluvních stran pro účely této Smlouvy budou následující:</w:t>
      </w:r>
    </w:p>
    <w:p w14:paraId="353DADD8" w14:textId="77777777" w:rsidR="00B7025F" w:rsidRPr="003477E0" w:rsidRDefault="00B7025F" w:rsidP="000445D6">
      <w:pPr>
        <w:pStyle w:val="smlouvabodytext"/>
        <w:ind w:left="425"/>
      </w:pPr>
      <w:r w:rsidRPr="003477E0">
        <w:t>Deloitte: Adresa uvedená na titulní straně Smlouvy</w:t>
      </w:r>
    </w:p>
    <w:p w14:paraId="1A430FD0" w14:textId="0D903ADB" w:rsidR="00B7025F" w:rsidRPr="003477E0" w:rsidRDefault="00B7025F" w:rsidP="000445D6">
      <w:pPr>
        <w:pStyle w:val="smlouvabodytext"/>
        <w:ind w:left="425"/>
      </w:pPr>
      <w:r w:rsidRPr="003477E0">
        <w:t xml:space="preserve">Tel.: </w:t>
      </w:r>
      <w:r w:rsidR="00D55929" w:rsidRPr="003477E0">
        <w:t xml:space="preserve">+420 </w:t>
      </w:r>
      <w:r w:rsidR="00706DD8">
        <w:t>xxx</w:t>
      </w:r>
    </w:p>
    <w:p w14:paraId="19C257F6" w14:textId="25C0AAC9" w:rsidR="00B7025F" w:rsidRPr="003477E0" w:rsidRDefault="00B7025F" w:rsidP="000445D6">
      <w:pPr>
        <w:pStyle w:val="smlouvabodytext"/>
        <w:ind w:left="425"/>
      </w:pPr>
      <w:r w:rsidRPr="003477E0">
        <w:t xml:space="preserve">e-mail: </w:t>
      </w:r>
      <w:r w:rsidR="00706DD8">
        <w:t>xxx</w:t>
      </w:r>
      <w:r w:rsidR="00D55929" w:rsidRPr="003477E0">
        <w:t>@deloittece.com</w:t>
      </w:r>
    </w:p>
    <w:p w14:paraId="4FB53116" w14:textId="77777777" w:rsidR="00B7025F" w:rsidRPr="003477E0" w:rsidRDefault="00B7025F" w:rsidP="000445D6">
      <w:pPr>
        <w:pStyle w:val="smlouvabodytext"/>
        <w:ind w:left="425"/>
      </w:pPr>
      <w:bookmarkStart w:id="59" w:name="ZN64"/>
      <w:bookmarkEnd w:id="59"/>
      <w:r w:rsidRPr="003477E0">
        <w:t xml:space="preserve">Klient: Adresa uvedené na titulní straně Smlouvy </w:t>
      </w:r>
    </w:p>
    <w:p w14:paraId="75290616" w14:textId="0F1A015C" w:rsidR="00B7025F" w:rsidRPr="003477E0" w:rsidRDefault="00B7025F" w:rsidP="000445D6">
      <w:pPr>
        <w:pStyle w:val="smlouvabodytext"/>
        <w:ind w:left="425"/>
      </w:pPr>
      <w:r w:rsidRPr="003477E0">
        <w:t xml:space="preserve">Tel.: </w:t>
      </w:r>
      <w:bookmarkStart w:id="60" w:name="Tel"/>
      <w:bookmarkEnd w:id="60"/>
      <w:r w:rsidR="00C6718E" w:rsidRPr="00C6718E">
        <w:fldChar w:fldCharType="begin"/>
      </w:r>
      <w:r w:rsidR="00C6718E" w:rsidRPr="00C6718E">
        <w:instrText xml:space="preserve"> HYPERLINK "wtai://wp/mc;723%20773%20261" </w:instrText>
      </w:r>
      <w:r w:rsidR="00C6718E" w:rsidRPr="00C6718E">
        <w:fldChar w:fldCharType="separate"/>
      </w:r>
      <w:r w:rsidR="00C6718E" w:rsidRPr="00C6718E">
        <w:t>+420</w:t>
      </w:r>
      <w:r w:rsidR="00C6718E" w:rsidRPr="00C6718E">
        <w:fldChar w:fldCharType="end"/>
      </w:r>
      <w:r w:rsidR="00C6718E">
        <w:t> </w:t>
      </w:r>
      <w:r w:rsidR="00706DD8">
        <w:t>xxx</w:t>
      </w:r>
    </w:p>
    <w:p w14:paraId="18DDC517" w14:textId="316F066F" w:rsidR="00CE17B8" w:rsidRPr="003477E0" w:rsidRDefault="00B7025F" w:rsidP="00E76F4E">
      <w:pPr>
        <w:pStyle w:val="smlouvabodytext"/>
        <w:ind w:left="425"/>
      </w:pPr>
      <w:r w:rsidRPr="003477E0">
        <w:t xml:space="preserve">e- mail: </w:t>
      </w:r>
      <w:r w:rsidR="00706DD8">
        <w:rPr>
          <w:rStyle w:val="Hypertextovodkaz"/>
        </w:rPr>
        <w:t>xxx</w:t>
      </w:r>
      <w:r w:rsidR="00222392">
        <w:rPr>
          <w:rStyle w:val="Hypertextovodkaz"/>
        </w:rPr>
        <w:t>@teplarna</w:t>
      </w:r>
      <w:r w:rsidR="00C6718E" w:rsidRPr="00C6718E">
        <w:rPr>
          <w:rStyle w:val="Hypertextovodkaz"/>
        </w:rPr>
        <w:t>-</w:t>
      </w:r>
      <w:r w:rsidR="00C6718E">
        <w:rPr>
          <w:rStyle w:val="Hypertextovodkaz"/>
        </w:rPr>
        <w:t>cb.cz</w:t>
      </w:r>
    </w:p>
    <w:p w14:paraId="0EDEC5BF" w14:textId="01C59C2D" w:rsidR="00B7025F" w:rsidRPr="00A02D95" w:rsidRDefault="00B7025F" w:rsidP="00A02D95">
      <w:pPr>
        <w:pStyle w:val="Smlouvaheading1"/>
        <w:rPr>
          <w:b w:val="0"/>
        </w:rPr>
      </w:pPr>
      <w:r w:rsidRPr="00A02D95">
        <w:rPr>
          <w:lang w:val="cs-CZ"/>
        </w:rPr>
        <w:t xml:space="preserve">Všeobecné podmínky </w:t>
      </w:r>
    </w:p>
    <w:p w14:paraId="1354E151" w14:textId="53605FCB" w:rsidR="00B7025F" w:rsidRPr="00A02D95" w:rsidRDefault="00B7025F" w:rsidP="00A02D95">
      <w:pPr>
        <w:pStyle w:val="Smlouvaheading2"/>
        <w:tabs>
          <w:tab w:val="clear" w:pos="426"/>
          <w:tab w:val="num" w:pos="851"/>
        </w:tabs>
        <w:ind w:left="425" w:hanging="425"/>
        <w:rPr>
          <w:lang w:val="cs-CZ"/>
        </w:rPr>
      </w:pPr>
      <w:r w:rsidRPr="00A02D95">
        <w:rPr>
          <w:lang w:val="cs-CZ"/>
        </w:rPr>
        <w:t>Obchodní podmínky tvořící Přílohu č. 3 představují v soula</w:t>
      </w:r>
      <w:r w:rsidR="00222392">
        <w:rPr>
          <w:lang w:val="cs-CZ"/>
        </w:rPr>
        <w:t xml:space="preserve">du s ustanovením § 1751 odst. 1 </w:t>
      </w:r>
      <w:r w:rsidRPr="00A02D95">
        <w:rPr>
          <w:lang w:val="cs-CZ"/>
        </w:rPr>
        <w:t>občanského zákoníku nedílnou součást tohoto Smluvního dopisu.</w:t>
      </w:r>
    </w:p>
    <w:p w14:paraId="3A54AB5B" w14:textId="6855FD1D" w:rsidR="00B7025F" w:rsidRPr="00A02D95" w:rsidRDefault="002E2C8E" w:rsidP="00A02D95">
      <w:pPr>
        <w:pStyle w:val="Smlouvaheading1"/>
        <w:rPr>
          <w:lang w:val="cs-CZ"/>
        </w:rPr>
      </w:pPr>
      <w:r>
        <w:rPr>
          <w:lang w:val="cs-CZ"/>
        </w:rPr>
        <w:t>Závěrečná ujednání</w:t>
      </w:r>
    </w:p>
    <w:p w14:paraId="5D3E8E1C" w14:textId="63B1681D" w:rsidR="00B7025F" w:rsidRDefault="00B7025F" w:rsidP="00A02D95">
      <w:pPr>
        <w:pStyle w:val="Smlouvaheading2"/>
        <w:tabs>
          <w:tab w:val="clear" w:pos="426"/>
          <w:tab w:val="num" w:pos="851"/>
        </w:tabs>
        <w:ind w:left="425" w:hanging="425"/>
        <w:rPr>
          <w:lang w:val="cs-CZ"/>
        </w:rPr>
      </w:pPr>
      <w:r w:rsidRPr="00A02D95">
        <w:rPr>
          <w:lang w:val="cs-CZ"/>
        </w:rPr>
        <w:t xml:space="preserve">Obě smluvní strany se seznámily s obsahem této Smlouvy a souhlasí, že </w:t>
      </w:r>
      <w:r w:rsidR="000C7C7D">
        <w:rPr>
          <w:lang w:val="cs-CZ"/>
        </w:rPr>
        <w:t>budou vázány jejími ujednáními.</w:t>
      </w:r>
    </w:p>
    <w:p w14:paraId="27F40551" w14:textId="6F923DB4" w:rsidR="000C7C7D" w:rsidRPr="000C7C7D" w:rsidRDefault="000C7C7D" w:rsidP="000C7C7D">
      <w:pPr>
        <w:pStyle w:val="Smlouvaheading2"/>
        <w:rPr>
          <w:lang w:val="cs-CZ"/>
        </w:rPr>
      </w:pPr>
      <w:proofErr w:type="spellStart"/>
      <w:r>
        <w:rPr>
          <w:lang w:val="cs-CZ"/>
        </w:rPr>
        <w:t>Deloitte</w:t>
      </w:r>
      <w:proofErr w:type="spellEnd"/>
      <w:r>
        <w:rPr>
          <w:lang w:val="cs-CZ"/>
        </w:rPr>
        <w:t xml:space="preserve"> bere na vědomí, že Klient </w:t>
      </w:r>
      <w:r w:rsidRPr="000C7C7D">
        <w:rPr>
          <w:lang w:val="cs-CZ"/>
        </w:rPr>
        <w:t>je právnickou osobou, v níž má většinovou majetkovou účast územní samosprávný celek, a proto se na tuto Smlouvu</w:t>
      </w:r>
      <w:r>
        <w:rPr>
          <w:lang w:val="cs-CZ"/>
        </w:rPr>
        <w:t xml:space="preserve"> v souladu s § 2 odst. 1 písm. m</w:t>
      </w:r>
      <w:r w:rsidRPr="000C7C7D">
        <w:rPr>
          <w:lang w:val="cs-CZ"/>
        </w:rPr>
        <w:t>)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w:t>
      </w:r>
      <w:r>
        <w:rPr>
          <w:lang w:val="cs-CZ"/>
        </w:rPr>
        <w:t xml:space="preserve"> </w:t>
      </w:r>
      <w:r w:rsidRPr="000C7C7D">
        <w:rPr>
          <w:lang w:val="cs-CZ"/>
        </w:rPr>
        <w:t xml:space="preserve">Smluvní strany se dohodly, že tuto smlouvu uveřejní v Registru Klient, a to ve verzi pro uveřejnění, tj. po znečitelnění informací o výši odměny ve smlouvě i v </w:t>
      </w:r>
      <w:proofErr w:type="spellStart"/>
      <w:r w:rsidRPr="000C7C7D">
        <w:rPr>
          <w:lang w:val="cs-CZ"/>
        </w:rPr>
        <w:t>metadatech</w:t>
      </w:r>
      <w:proofErr w:type="spellEnd"/>
      <w:r w:rsidRPr="000C7C7D">
        <w:rPr>
          <w:lang w:val="cs-CZ"/>
        </w:rPr>
        <w:t xml:space="preserve"> smlouvy, a to do 30 dnů po podpisu této smlouvy.</w:t>
      </w:r>
      <w:r>
        <w:rPr>
          <w:lang w:val="cs-CZ"/>
        </w:rPr>
        <w:t xml:space="preserve"> </w:t>
      </w:r>
      <w:r w:rsidRPr="000C7C7D">
        <w:rPr>
          <w:lang w:val="cs-CZ"/>
        </w:rPr>
        <w:t xml:space="preserve">Tato Smlouva nabývá účinnosti </w:t>
      </w:r>
      <w:r>
        <w:rPr>
          <w:lang w:val="cs-CZ"/>
        </w:rPr>
        <w:t>dnem</w:t>
      </w:r>
      <w:r w:rsidRPr="000C7C7D">
        <w:rPr>
          <w:lang w:val="cs-CZ"/>
        </w:rPr>
        <w:t xml:space="preserve"> uveřejněním v</w:t>
      </w:r>
      <w:r>
        <w:rPr>
          <w:lang w:val="cs-CZ"/>
        </w:rPr>
        <w:t> </w:t>
      </w:r>
      <w:r w:rsidRPr="000C7C7D">
        <w:rPr>
          <w:lang w:val="cs-CZ"/>
        </w:rPr>
        <w:t>Registru</w:t>
      </w:r>
      <w:r>
        <w:rPr>
          <w:lang w:val="cs-CZ"/>
        </w:rPr>
        <w:t>.</w:t>
      </w:r>
    </w:p>
    <w:p w14:paraId="43DEB006" w14:textId="2A305D8A" w:rsidR="00B7025F" w:rsidRPr="00A02D95" w:rsidRDefault="00B7025F" w:rsidP="00A02D95">
      <w:pPr>
        <w:pStyle w:val="Smlouvaheading2"/>
        <w:tabs>
          <w:tab w:val="clear" w:pos="426"/>
          <w:tab w:val="num" w:pos="851"/>
        </w:tabs>
        <w:ind w:left="425" w:hanging="425"/>
        <w:rPr>
          <w:lang w:val="cs-CZ"/>
        </w:rPr>
      </w:pPr>
      <w:r w:rsidRPr="00A02D95">
        <w:rPr>
          <w:lang w:val="cs-CZ"/>
        </w:rPr>
        <w:t>Veškeré změny nebo dodatky ke Smlouvě musejí být provedeny písemně. Jakékoliv změny návrhu Smlouvy nebo návrhu dodatku Smlouvy budou Smluvní strany považovat za nový návrh Smlouvy nebo nový návrh dodatku Smlouvy. Smluvní strany použití § 1740 odst. 3, občanského zákoníku, vylučují. Klient bere v potaz a souhlasí s článkem 6 Obchodních podmínek omezujícím odpovědnost za škodu.</w:t>
      </w:r>
      <w:r w:rsidR="0008662A" w:rsidRPr="00A02D95">
        <w:rPr>
          <w:lang w:val="cs-CZ"/>
        </w:rPr>
        <w:t xml:space="preserve"> Strany se dohodly, že se obchodní zvyklosti ve smyslu ustanovení § 558 odst. 2 občanského zákoníku při výkladu této Smlouvy nepoužijí.</w:t>
      </w:r>
    </w:p>
    <w:p w14:paraId="5113A694" w14:textId="16723C5D" w:rsidR="00B7025F" w:rsidRPr="00A02D95" w:rsidRDefault="00B7025F" w:rsidP="00A02D95">
      <w:pPr>
        <w:pStyle w:val="Smlouvaheading2"/>
        <w:tabs>
          <w:tab w:val="clear" w:pos="426"/>
          <w:tab w:val="num" w:pos="851"/>
        </w:tabs>
        <w:ind w:left="425" w:hanging="425"/>
        <w:rPr>
          <w:lang w:val="cs-CZ"/>
        </w:rPr>
      </w:pPr>
      <w:r w:rsidRPr="00A02D95">
        <w:rPr>
          <w:lang w:val="cs-CZ"/>
        </w:rPr>
        <w:t xml:space="preserve">Tato Smlouva bude vyhotovena ve dvou (2) stejnopisech s platností originálu. Každá smluvní strana obdrží jeden stejnopis včetně příloh, které tvoří nedílnou součást Smlouvy. </w:t>
      </w:r>
    </w:p>
    <w:p w14:paraId="2D505394" w14:textId="050B393B" w:rsidR="00B7025F" w:rsidRDefault="00B7025F" w:rsidP="000445D6">
      <w:pPr>
        <w:pStyle w:val="Smlouvaheading2"/>
        <w:tabs>
          <w:tab w:val="clear" w:pos="426"/>
          <w:tab w:val="num" w:pos="851"/>
        </w:tabs>
        <w:ind w:left="425" w:hanging="425"/>
        <w:rPr>
          <w:lang w:val="cs-CZ"/>
        </w:rPr>
      </w:pPr>
      <w:r w:rsidRPr="00A02D95">
        <w:rPr>
          <w:lang w:val="cs-CZ"/>
        </w:rPr>
        <w:t xml:space="preserve">Smluvní strany prohlašují, že text této Smlouvy vzájemně projednaly a že ve věci jejího obsahu i znění dosáhly úplné shody. Na důkaz toho, že text Smlouvy zcela odpovídá vůli smluvních stran a že nebyl podepsán v tísni ani za nápadně nevýhodných podmínek, smluvní strany připojují své podpisy. </w:t>
      </w:r>
    </w:p>
    <w:p w14:paraId="1A9F332D" w14:textId="77777777" w:rsidR="005008F0" w:rsidRPr="00E76F4E" w:rsidRDefault="005008F0" w:rsidP="005008F0">
      <w:pPr>
        <w:pStyle w:val="Smlouvaheading1"/>
        <w:numPr>
          <w:ilvl w:val="0"/>
          <w:numId w:val="0"/>
        </w:numPr>
        <w:ind w:left="1135"/>
        <w:rPr>
          <w:lang w:val="cs-CZ"/>
        </w:rPr>
      </w:pPr>
    </w:p>
    <w:p w14:paraId="7DA31A39" w14:textId="0B08D749" w:rsidR="00B7025F" w:rsidRPr="00A02D95" w:rsidRDefault="00B7025F" w:rsidP="000C7C7D">
      <w:pPr>
        <w:tabs>
          <w:tab w:val="left" w:pos="3828"/>
        </w:tabs>
        <w:rPr>
          <w:lang w:val="cs-CZ"/>
        </w:rPr>
      </w:pPr>
      <w:r w:rsidRPr="00A02D95">
        <w:rPr>
          <w:lang w:val="cs-CZ"/>
        </w:rPr>
        <w:t xml:space="preserve">V </w:t>
      </w:r>
      <w:r w:rsidR="00D55929" w:rsidRPr="00A02D95">
        <w:rPr>
          <w:lang w:val="cs-CZ"/>
        </w:rPr>
        <w:t>Praze</w:t>
      </w:r>
      <w:r w:rsidRPr="00A02D95">
        <w:rPr>
          <w:lang w:val="cs-CZ"/>
        </w:rPr>
        <w:t xml:space="preserve"> dne:</w:t>
      </w:r>
      <w:r w:rsidRPr="00A02D95">
        <w:rPr>
          <w:lang w:val="cs-CZ"/>
        </w:rPr>
        <w:tab/>
        <w:t>V</w:t>
      </w:r>
      <w:r w:rsidR="002E2C8E">
        <w:rPr>
          <w:lang w:val="cs-CZ"/>
        </w:rPr>
        <w:t> Českých Budějovicích</w:t>
      </w:r>
      <w:r w:rsidR="002E2C8E" w:rsidRPr="00A02D95">
        <w:rPr>
          <w:lang w:val="cs-CZ"/>
        </w:rPr>
        <w:t xml:space="preserve"> </w:t>
      </w:r>
      <w:r w:rsidRPr="00A02D95">
        <w:rPr>
          <w:lang w:val="cs-CZ"/>
        </w:rPr>
        <w:t xml:space="preserve">dne: </w:t>
      </w:r>
      <w:r w:rsidR="00706DD8">
        <w:rPr>
          <w:lang w:val="cs-CZ"/>
        </w:rPr>
        <w:t>6. 2. 2023</w:t>
      </w:r>
    </w:p>
    <w:p w14:paraId="16311177" w14:textId="02A9BD0E" w:rsidR="00A76CA0" w:rsidRPr="00C432E4" w:rsidRDefault="00B7025F" w:rsidP="000C7C7D">
      <w:pPr>
        <w:tabs>
          <w:tab w:val="left" w:pos="3828"/>
        </w:tabs>
        <w:rPr>
          <w:b/>
          <w:lang w:val="cs-CZ"/>
        </w:rPr>
      </w:pPr>
      <w:r w:rsidRPr="00A02D95">
        <w:rPr>
          <w:b/>
          <w:lang w:val="cs-CZ"/>
        </w:rPr>
        <w:t>Deloitte Advisory s.r.o.</w:t>
      </w:r>
      <w:r w:rsidRPr="00A02D95">
        <w:rPr>
          <w:lang w:val="cs-CZ"/>
        </w:rPr>
        <w:tab/>
      </w:r>
      <w:r w:rsidR="005008F0">
        <w:rPr>
          <w:b/>
          <w:lang w:val="cs-CZ"/>
        </w:rPr>
        <w:t>Teplárna České Budějovice, a.s.</w:t>
      </w:r>
    </w:p>
    <w:p w14:paraId="1643BA69" w14:textId="77777777" w:rsidR="00E76F4E" w:rsidRDefault="00E76F4E" w:rsidP="000C7C7D">
      <w:pPr>
        <w:tabs>
          <w:tab w:val="left" w:pos="3828"/>
        </w:tabs>
        <w:rPr>
          <w:lang w:val="cs-CZ"/>
        </w:rPr>
      </w:pPr>
    </w:p>
    <w:p w14:paraId="7377C54A" w14:textId="62614E20" w:rsidR="00B7025F" w:rsidRPr="00A02D95" w:rsidRDefault="00706DD8" w:rsidP="000C7C7D">
      <w:pPr>
        <w:tabs>
          <w:tab w:val="left" w:pos="3828"/>
        </w:tabs>
        <w:rPr>
          <w:lang w:val="cs-CZ"/>
        </w:rPr>
      </w:pPr>
      <w:proofErr w:type="spellStart"/>
      <w:r>
        <w:rPr>
          <w:lang w:val="cs-CZ"/>
        </w:rPr>
        <w:t>xxx</w:t>
      </w:r>
      <w:proofErr w:type="spellEnd"/>
      <w:r w:rsidR="00B7025F" w:rsidRPr="00A02D95">
        <w:rPr>
          <w:lang w:val="cs-CZ"/>
        </w:rPr>
        <w:tab/>
      </w:r>
      <w:r w:rsidR="002E2C8E">
        <w:rPr>
          <w:lang w:val="cs-CZ"/>
        </w:rPr>
        <w:t>Ing. Václav Král</w:t>
      </w:r>
      <w:r w:rsidR="000C7C7D">
        <w:rPr>
          <w:lang w:val="cs-CZ"/>
        </w:rPr>
        <w:tab/>
      </w:r>
      <w:r w:rsidR="000C7C7D">
        <w:rPr>
          <w:lang w:val="cs-CZ"/>
        </w:rPr>
        <w:tab/>
        <w:t>Ing. Tomáš Kollarczyk, MBA</w:t>
      </w:r>
    </w:p>
    <w:p w14:paraId="5536AD03" w14:textId="47FA397D" w:rsidR="00614410" w:rsidRDefault="00B7025F" w:rsidP="000C7C7D">
      <w:pPr>
        <w:tabs>
          <w:tab w:val="left" w:pos="3828"/>
        </w:tabs>
        <w:ind w:right="-284"/>
        <w:rPr>
          <w:lang w:val="cs-CZ"/>
        </w:rPr>
      </w:pPr>
      <w:r w:rsidRPr="00A02D95">
        <w:rPr>
          <w:lang w:val="cs-CZ"/>
        </w:rPr>
        <w:t>Partner</w:t>
      </w:r>
      <w:r w:rsidRPr="00A02D95">
        <w:rPr>
          <w:lang w:val="cs-CZ"/>
        </w:rPr>
        <w:tab/>
      </w:r>
      <w:r w:rsidR="002E2C8E">
        <w:rPr>
          <w:lang w:val="cs-CZ"/>
        </w:rPr>
        <w:t>Předseda představenstva</w:t>
      </w:r>
      <w:r w:rsidR="000C7C7D">
        <w:rPr>
          <w:lang w:val="cs-CZ"/>
        </w:rPr>
        <w:tab/>
        <w:t>Místopředseda představenstva</w:t>
      </w:r>
      <w:r w:rsidR="004E3F37" w:rsidRPr="00A02D95">
        <w:rPr>
          <w:lang w:val="cs-CZ"/>
        </w:rPr>
        <w:t xml:space="preserve">                                        </w:t>
      </w:r>
      <w:r w:rsidR="00E76F4E">
        <w:rPr>
          <w:lang w:val="cs-CZ"/>
        </w:rPr>
        <w:t xml:space="preserve">                               </w:t>
      </w:r>
      <w:r w:rsidR="00614410">
        <w:rPr>
          <w:lang w:val="cs-CZ"/>
        </w:rPr>
        <w:t xml:space="preserve"> </w:t>
      </w:r>
    </w:p>
    <w:p w14:paraId="7C551683" w14:textId="77777777" w:rsidR="00B7025F" w:rsidRPr="00A02D95" w:rsidRDefault="004E3F37" w:rsidP="004E3F37">
      <w:pPr>
        <w:tabs>
          <w:tab w:val="left" w:pos="4536"/>
        </w:tabs>
        <w:rPr>
          <w:rFonts w:ascii="Times New Roman" w:hAnsi="Times New Roman"/>
          <w:b/>
          <w:sz w:val="22"/>
          <w:lang w:val="cs-CZ"/>
        </w:rPr>
      </w:pPr>
      <w:r w:rsidRPr="00A02D95">
        <w:rPr>
          <w:rFonts w:ascii="Times New Roman" w:hAnsi="Times New Roman"/>
          <w:b/>
          <w:sz w:val="22"/>
          <w:lang w:val="cs-CZ"/>
        </w:rPr>
        <w:lastRenderedPageBreak/>
        <w:t xml:space="preserve">                                                                  </w:t>
      </w:r>
      <w:r w:rsidR="00B7025F" w:rsidRPr="00A02D95">
        <w:rPr>
          <w:b/>
          <w:lang w:val="cs-CZ"/>
        </w:rPr>
        <w:t>Příloha č. 1</w:t>
      </w:r>
      <w:r w:rsidR="000A5FAE" w:rsidRPr="00A02D95">
        <w:rPr>
          <w:b/>
          <w:lang w:val="cs-CZ"/>
        </w:rPr>
        <w:br/>
      </w:r>
      <w:r w:rsidRPr="00A02D95">
        <w:rPr>
          <w:b/>
          <w:lang w:val="cs-CZ"/>
        </w:rPr>
        <w:t xml:space="preserve">                                                        </w:t>
      </w:r>
      <w:r w:rsidR="00B7025F" w:rsidRPr="00A02D95">
        <w:rPr>
          <w:b/>
          <w:lang w:val="cs-CZ"/>
        </w:rPr>
        <w:t>Rozsah Služeb</w:t>
      </w:r>
    </w:p>
    <w:p w14:paraId="674DA5C9" w14:textId="6D688BE1" w:rsidR="00B7025F" w:rsidRPr="00A02D95" w:rsidRDefault="007D0560" w:rsidP="000A5FAE">
      <w:pPr>
        <w:pStyle w:val="Zkladntext"/>
        <w:rPr>
          <w:i/>
          <w:lang w:val="cs-CZ"/>
        </w:rPr>
      </w:pPr>
      <w:r>
        <w:rPr>
          <w:lang w:val="cs-CZ"/>
        </w:rPr>
        <w:t xml:space="preserve">Výstupem Služby bude analýza v podobě prezentace PDF. </w:t>
      </w:r>
      <w:r w:rsidR="00B7025F" w:rsidRPr="00A02D95">
        <w:rPr>
          <w:lang w:val="cs-CZ"/>
        </w:rPr>
        <w:t>Služby budou zahrnovat</w:t>
      </w:r>
      <w:r w:rsidR="001B2188" w:rsidRPr="00A02D95">
        <w:rPr>
          <w:i/>
          <w:lang w:val="cs-CZ"/>
        </w:rPr>
        <w:t>:</w:t>
      </w:r>
    </w:p>
    <w:tbl>
      <w:tblPr>
        <w:tblStyle w:val="Mkatabulky"/>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189"/>
      </w:tblGrid>
      <w:tr w:rsidR="00DA4FB2" w14:paraId="7147726A" w14:textId="77777777" w:rsidTr="00DA4FB2">
        <w:trPr>
          <w:cnfStyle w:val="100000000000" w:firstRow="1" w:lastRow="0" w:firstColumn="0" w:lastColumn="0" w:oddVBand="0" w:evenVBand="0" w:oddHBand="0" w:evenHBand="0" w:firstRowFirstColumn="0" w:firstRowLastColumn="0" w:lastRowFirstColumn="0" w:lastRowLastColumn="0"/>
        </w:trPr>
        <w:tc>
          <w:tcPr>
            <w:tcW w:w="3020" w:type="dxa"/>
            <w:tcBorders>
              <w:top w:val="single" w:sz="4" w:space="0" w:color="auto"/>
              <w:left w:val="single" w:sz="4" w:space="0" w:color="auto"/>
              <w:bottom w:val="single" w:sz="4" w:space="0" w:color="auto"/>
              <w:right w:val="single" w:sz="4" w:space="0" w:color="auto"/>
            </w:tcBorders>
          </w:tcPr>
          <w:p w14:paraId="13128221" w14:textId="0FCDEDED" w:rsidR="00DA4FB2" w:rsidRPr="00DA4FB2" w:rsidRDefault="00DA4FB2" w:rsidP="00DA4FB2">
            <w:pPr>
              <w:pStyle w:val="Zkladntext"/>
              <w:rPr>
                <w:sz w:val="24"/>
                <w:szCs w:val="24"/>
                <w:lang w:val="cs-CZ"/>
              </w:rPr>
            </w:pPr>
            <w:proofErr w:type="spellStart"/>
            <w:r w:rsidRPr="00DA4FB2">
              <w:rPr>
                <w:b/>
                <w:bCs/>
                <w:sz w:val="24"/>
                <w:szCs w:val="24"/>
              </w:rPr>
              <w:t>Oblasti</w:t>
            </w:r>
            <w:proofErr w:type="spellEnd"/>
            <w:r w:rsidRPr="00DA4FB2">
              <w:rPr>
                <w:b/>
                <w:bCs/>
                <w:sz w:val="24"/>
                <w:szCs w:val="24"/>
              </w:rPr>
              <w:t xml:space="preserve"> </w:t>
            </w:r>
            <w:proofErr w:type="spellStart"/>
            <w:r w:rsidRPr="00DA4FB2">
              <w:rPr>
                <w:b/>
                <w:bCs/>
                <w:sz w:val="24"/>
                <w:szCs w:val="24"/>
              </w:rPr>
              <w:t>analýzy</w:t>
            </w:r>
            <w:proofErr w:type="spellEnd"/>
          </w:p>
        </w:tc>
        <w:tc>
          <w:tcPr>
            <w:tcW w:w="6189" w:type="dxa"/>
            <w:tcBorders>
              <w:top w:val="single" w:sz="4" w:space="0" w:color="auto"/>
              <w:left w:val="single" w:sz="4" w:space="0" w:color="auto"/>
              <w:bottom w:val="single" w:sz="4" w:space="0" w:color="auto"/>
              <w:right w:val="single" w:sz="4" w:space="0" w:color="auto"/>
            </w:tcBorders>
          </w:tcPr>
          <w:p w14:paraId="4816DF64" w14:textId="6A2D610E" w:rsidR="00DA4FB2" w:rsidRPr="00DA4FB2" w:rsidRDefault="00DA4FB2" w:rsidP="00DA4FB2">
            <w:pPr>
              <w:pStyle w:val="Zkladntext"/>
              <w:rPr>
                <w:sz w:val="24"/>
                <w:szCs w:val="24"/>
                <w:lang w:val="cs-CZ"/>
              </w:rPr>
            </w:pPr>
            <w:proofErr w:type="spellStart"/>
            <w:r w:rsidRPr="00DA4FB2">
              <w:rPr>
                <w:b/>
                <w:bCs/>
                <w:sz w:val="24"/>
                <w:szCs w:val="24"/>
              </w:rPr>
              <w:t>Detaily</w:t>
            </w:r>
            <w:proofErr w:type="spellEnd"/>
            <w:r w:rsidRPr="00DA4FB2">
              <w:rPr>
                <w:b/>
                <w:bCs/>
                <w:sz w:val="24"/>
                <w:szCs w:val="24"/>
              </w:rPr>
              <w:t xml:space="preserve"> </w:t>
            </w:r>
          </w:p>
        </w:tc>
      </w:tr>
      <w:tr w:rsidR="00DA4FB2" w14:paraId="2BA434C1" w14:textId="77777777" w:rsidTr="00DA4FB2">
        <w:tc>
          <w:tcPr>
            <w:tcW w:w="3020" w:type="dxa"/>
            <w:tcBorders>
              <w:top w:val="single" w:sz="4" w:space="0" w:color="auto"/>
            </w:tcBorders>
          </w:tcPr>
          <w:p w14:paraId="5CFD40B8" w14:textId="69F14C9F" w:rsidR="00DA4FB2" w:rsidRPr="00DA4FB2" w:rsidRDefault="00DA4FB2" w:rsidP="00DA4FB2">
            <w:pPr>
              <w:pStyle w:val="Zkladntext"/>
              <w:jc w:val="left"/>
              <w:rPr>
                <w:rFonts w:asciiTheme="majorHAnsi" w:hAnsiTheme="majorHAnsi"/>
                <w:lang w:val="cs-CZ"/>
              </w:rPr>
            </w:pPr>
            <w:proofErr w:type="spellStart"/>
            <w:r w:rsidRPr="00DA4FB2">
              <w:rPr>
                <w:rFonts w:asciiTheme="majorHAnsi" w:hAnsiTheme="majorHAnsi"/>
                <w:b/>
                <w:bCs/>
                <w:sz w:val="22"/>
                <w:szCs w:val="22"/>
              </w:rPr>
              <w:t>Cena</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emisní</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povolenky</w:t>
            </w:r>
            <w:proofErr w:type="spellEnd"/>
          </w:p>
        </w:tc>
        <w:tc>
          <w:tcPr>
            <w:tcW w:w="6189" w:type="dxa"/>
            <w:tcBorders>
              <w:top w:val="single" w:sz="4" w:space="0" w:color="auto"/>
            </w:tcBorders>
          </w:tcPr>
          <w:p w14:paraId="72C09314"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Legislativní analýza probíhající revize evropského systému obchodování emisních povolenek EU ETS, jejich dopadu na cenu povolenky a možné promítnutí do ceny tepla.</w:t>
            </w:r>
          </w:p>
          <w:p w14:paraId="60D750E3"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Zaměření na budoucí systém EU ETS II pokrývající vytápění (předpokládané zavedení od roku 2027) a varianty možného dopadu vývoje energetického trhu na jeho realizaci.</w:t>
            </w:r>
          </w:p>
          <w:p w14:paraId="7AA8C88E" w14:textId="13D9C58C"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Představení faktorů ovlivňujících budoucí cenu povolenky a ukázka možných scénářů budoucího vývoje ceny</w:t>
            </w:r>
          </w:p>
        </w:tc>
      </w:tr>
      <w:tr w:rsidR="00DA4FB2" w14:paraId="44EDFD88" w14:textId="77777777" w:rsidTr="00DA4FB2">
        <w:tc>
          <w:tcPr>
            <w:tcW w:w="3020" w:type="dxa"/>
          </w:tcPr>
          <w:p w14:paraId="55889E30" w14:textId="21EE5874" w:rsidR="00DA4FB2" w:rsidRPr="00DA4FB2" w:rsidRDefault="00DA4FB2" w:rsidP="00DA4FB2">
            <w:pPr>
              <w:pStyle w:val="Zkladntext"/>
              <w:jc w:val="left"/>
              <w:rPr>
                <w:rFonts w:asciiTheme="majorHAnsi" w:hAnsiTheme="majorHAnsi"/>
                <w:lang w:val="cs-CZ"/>
              </w:rPr>
            </w:pPr>
            <w:proofErr w:type="spellStart"/>
            <w:r w:rsidRPr="00DA4FB2">
              <w:rPr>
                <w:rFonts w:asciiTheme="majorHAnsi" w:hAnsiTheme="majorHAnsi"/>
                <w:b/>
                <w:bCs/>
                <w:sz w:val="22"/>
                <w:szCs w:val="22"/>
              </w:rPr>
              <w:t>Cena</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zemního</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plynu</w:t>
            </w:r>
            <w:proofErr w:type="spellEnd"/>
          </w:p>
        </w:tc>
        <w:tc>
          <w:tcPr>
            <w:tcW w:w="6189" w:type="dxa"/>
          </w:tcPr>
          <w:p w14:paraId="33C3449A"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Rešerše faktorů ovlivňujících dostupnost a dodávku zemního plynu do ČR a ukázka varianty možností dlouhodobého vývoje</w:t>
            </w:r>
          </w:p>
          <w:p w14:paraId="652B8469"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Rozbor volatility a možného vývoje cen na světovém trhu a přehled rizikových faktorů vstupujících do ceny</w:t>
            </w:r>
          </w:p>
          <w:p w14:paraId="75297B9D" w14:textId="20022508"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Nastínění scénářů možného vývoje ceny zemního plynu</w:t>
            </w:r>
          </w:p>
        </w:tc>
      </w:tr>
      <w:tr w:rsidR="00DA4FB2" w14:paraId="0FFE3D71" w14:textId="77777777" w:rsidTr="00DA4FB2">
        <w:tc>
          <w:tcPr>
            <w:tcW w:w="3020" w:type="dxa"/>
          </w:tcPr>
          <w:p w14:paraId="792425F7" w14:textId="41ACD38D" w:rsidR="00DA4FB2" w:rsidRPr="00DA4FB2" w:rsidRDefault="00DA4FB2" w:rsidP="00DA4FB2">
            <w:pPr>
              <w:pStyle w:val="Zkladntext"/>
              <w:jc w:val="left"/>
              <w:rPr>
                <w:rFonts w:asciiTheme="majorHAnsi" w:hAnsiTheme="majorHAnsi"/>
                <w:lang w:val="cs-CZ"/>
              </w:rPr>
            </w:pPr>
            <w:proofErr w:type="spellStart"/>
            <w:r w:rsidRPr="00DA4FB2">
              <w:rPr>
                <w:rFonts w:asciiTheme="majorHAnsi" w:hAnsiTheme="majorHAnsi"/>
                <w:b/>
                <w:bCs/>
                <w:sz w:val="22"/>
                <w:szCs w:val="22"/>
              </w:rPr>
              <w:t>Cena</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tepelné</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energie</w:t>
            </w:r>
            <w:proofErr w:type="spellEnd"/>
          </w:p>
        </w:tc>
        <w:tc>
          <w:tcPr>
            <w:tcW w:w="6189" w:type="dxa"/>
          </w:tcPr>
          <w:p w14:paraId="16617A27"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Rešerše faktorů ovlivňujících cenu tepelné energie (systém EU ETS a paliva)</w:t>
            </w:r>
          </w:p>
          <w:p w14:paraId="3497E4C3"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Srovnání dodávek cen centrálních zdrojů (plyn, hnědé uhlí) s decentrální výtopenskou plynovou jednotkou</w:t>
            </w:r>
          </w:p>
          <w:p w14:paraId="422FE854"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Výhled vývoje ceny pro výtopenskou jednotku</w:t>
            </w:r>
          </w:p>
          <w:p w14:paraId="7AD17395" w14:textId="76047E64"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Teplo z jaderných zdrojů</w:t>
            </w:r>
          </w:p>
        </w:tc>
      </w:tr>
      <w:tr w:rsidR="00DA4FB2" w14:paraId="35063B15" w14:textId="77777777" w:rsidTr="00DA4FB2">
        <w:tc>
          <w:tcPr>
            <w:tcW w:w="3020" w:type="dxa"/>
          </w:tcPr>
          <w:p w14:paraId="2787E262" w14:textId="269E3B16" w:rsidR="00DA4FB2" w:rsidRPr="00DA4FB2" w:rsidRDefault="00DA4FB2" w:rsidP="00DA4FB2">
            <w:pPr>
              <w:pStyle w:val="Zkladntext"/>
              <w:jc w:val="left"/>
              <w:rPr>
                <w:rFonts w:asciiTheme="majorHAnsi" w:hAnsiTheme="majorHAnsi"/>
                <w:lang w:val="cs-CZ"/>
              </w:rPr>
            </w:pPr>
            <w:proofErr w:type="spellStart"/>
            <w:r w:rsidRPr="00DA4FB2">
              <w:rPr>
                <w:rFonts w:asciiTheme="majorHAnsi" w:hAnsiTheme="majorHAnsi"/>
                <w:b/>
                <w:bCs/>
                <w:sz w:val="22"/>
                <w:szCs w:val="22"/>
              </w:rPr>
              <w:t>Cena</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elektřiny</w:t>
            </w:r>
            <w:proofErr w:type="spellEnd"/>
          </w:p>
        </w:tc>
        <w:tc>
          <w:tcPr>
            <w:tcW w:w="6189" w:type="dxa"/>
          </w:tcPr>
          <w:p w14:paraId="7DD226DE"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Posouzení možných scénářů vývoje ceny elektřiny na trhu, včetně zhodnocení rizikových faktorů ovlivňující cenu elektřiny v krátkodobém horizontu (geopolitická situace, výpadky dodávek plynu, makroekonomická situace..)</w:t>
            </w:r>
          </w:p>
          <w:p w14:paraId="23048446" w14:textId="7BD029BB"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Zhodnocení faktorů ovlivňující poptávku a nabídku na trhu v dlouhodobém časovém horizontu (investice do energetických úspor, navýšení kapacit OZE, elektromobilita...)</w:t>
            </w:r>
          </w:p>
        </w:tc>
      </w:tr>
      <w:tr w:rsidR="00DA4FB2" w14:paraId="535BDE3A" w14:textId="77777777" w:rsidTr="00DA4FB2">
        <w:tc>
          <w:tcPr>
            <w:tcW w:w="3020" w:type="dxa"/>
          </w:tcPr>
          <w:p w14:paraId="4B156088" w14:textId="470ACDCD" w:rsidR="00DA4FB2" w:rsidRPr="00DA4FB2" w:rsidRDefault="00DA4FB2" w:rsidP="00DA4FB2">
            <w:pPr>
              <w:pStyle w:val="Zkladntext"/>
              <w:jc w:val="left"/>
              <w:rPr>
                <w:rFonts w:asciiTheme="majorHAnsi" w:hAnsiTheme="majorHAnsi"/>
                <w:lang w:val="cs-CZ"/>
              </w:rPr>
            </w:pPr>
            <w:proofErr w:type="spellStart"/>
            <w:r w:rsidRPr="00DA4FB2">
              <w:rPr>
                <w:rFonts w:asciiTheme="majorHAnsi" w:hAnsiTheme="majorHAnsi"/>
                <w:b/>
                <w:bCs/>
                <w:sz w:val="22"/>
                <w:szCs w:val="22"/>
              </w:rPr>
              <w:t>Aktuální</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změny</w:t>
            </w:r>
            <w:proofErr w:type="spellEnd"/>
            <w:r w:rsidRPr="00DA4FB2">
              <w:rPr>
                <w:rFonts w:asciiTheme="majorHAnsi" w:hAnsiTheme="majorHAnsi"/>
                <w:b/>
                <w:bCs/>
                <w:sz w:val="22"/>
                <w:szCs w:val="22"/>
              </w:rPr>
              <w:t xml:space="preserve"> </w:t>
            </w:r>
            <w:proofErr w:type="spellStart"/>
            <w:r w:rsidRPr="00DA4FB2">
              <w:rPr>
                <w:rFonts w:asciiTheme="majorHAnsi" w:hAnsiTheme="majorHAnsi"/>
                <w:b/>
                <w:bCs/>
                <w:sz w:val="22"/>
                <w:szCs w:val="22"/>
              </w:rPr>
              <w:t>legislativy</w:t>
            </w:r>
            <w:proofErr w:type="spellEnd"/>
            <w:r w:rsidRPr="00DA4FB2">
              <w:rPr>
                <w:rFonts w:asciiTheme="majorHAnsi" w:hAnsiTheme="majorHAnsi"/>
                <w:b/>
                <w:bCs/>
                <w:sz w:val="22"/>
                <w:szCs w:val="22"/>
              </w:rPr>
              <w:t xml:space="preserve"> v ČR</w:t>
            </w:r>
          </w:p>
        </w:tc>
        <w:tc>
          <w:tcPr>
            <w:tcW w:w="6189" w:type="dxa"/>
          </w:tcPr>
          <w:p w14:paraId="55477E69"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Souhrnný přehled a analýza právních, legislativních a normativních dokumentů aktuálně platných v energetických odvětvích rozdělené na platné a připravované na úrovni EU i na národní úrovni</w:t>
            </w:r>
          </w:p>
          <w:p w14:paraId="32C95265" w14:textId="77777777"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 xml:space="preserve">Rešerše článků a ustanovení týkající se ceny elektrické energie a jejího </w:t>
            </w:r>
            <w:proofErr w:type="spellStart"/>
            <w:r w:rsidRPr="00DA4FB2">
              <w:rPr>
                <w:rFonts w:asciiTheme="majorHAnsi" w:hAnsiTheme="majorHAnsi"/>
                <w:sz w:val="18"/>
                <w:szCs w:val="18"/>
              </w:rPr>
              <w:t>zastropování</w:t>
            </w:r>
            <w:proofErr w:type="spellEnd"/>
            <w:r w:rsidRPr="00DA4FB2">
              <w:rPr>
                <w:rFonts w:asciiTheme="majorHAnsi" w:hAnsiTheme="majorHAnsi"/>
                <w:sz w:val="18"/>
                <w:szCs w:val="18"/>
              </w:rPr>
              <w:t xml:space="preserve">, </w:t>
            </w:r>
          </w:p>
          <w:p w14:paraId="0E251B53" w14:textId="2FA9760B" w:rsidR="00DA4FB2" w:rsidRPr="00DA4FB2" w:rsidRDefault="00DA4FB2" w:rsidP="00DA4FB2">
            <w:pPr>
              <w:pStyle w:val="Default"/>
              <w:numPr>
                <w:ilvl w:val="0"/>
                <w:numId w:val="46"/>
              </w:numPr>
              <w:rPr>
                <w:rFonts w:asciiTheme="majorHAnsi" w:hAnsiTheme="majorHAnsi"/>
                <w:sz w:val="18"/>
                <w:szCs w:val="18"/>
              </w:rPr>
            </w:pPr>
            <w:r w:rsidRPr="00DA4FB2">
              <w:rPr>
                <w:rFonts w:asciiTheme="majorHAnsi" w:hAnsiTheme="majorHAnsi"/>
                <w:sz w:val="18"/>
                <w:szCs w:val="18"/>
              </w:rPr>
              <w:t xml:space="preserve">Prognóza dalšího vývoje těchto legislativních změn a jiných mimořádných opatření, např. </w:t>
            </w:r>
            <w:proofErr w:type="spellStart"/>
            <w:r w:rsidRPr="00DA4FB2">
              <w:rPr>
                <w:rFonts w:asciiTheme="majorHAnsi" w:hAnsiTheme="majorHAnsi"/>
                <w:sz w:val="18"/>
                <w:szCs w:val="18"/>
              </w:rPr>
              <w:t>zastropování</w:t>
            </w:r>
            <w:proofErr w:type="spellEnd"/>
            <w:r w:rsidRPr="00DA4FB2">
              <w:rPr>
                <w:rFonts w:asciiTheme="majorHAnsi" w:hAnsiTheme="majorHAnsi"/>
                <w:sz w:val="18"/>
                <w:szCs w:val="18"/>
              </w:rPr>
              <w:t xml:space="preserve"> velkoobchodních cen zemního plynu</w:t>
            </w:r>
          </w:p>
        </w:tc>
      </w:tr>
    </w:tbl>
    <w:p w14:paraId="791CDA20" w14:textId="77777777" w:rsidR="005008F0" w:rsidRDefault="005008F0" w:rsidP="00F3473A">
      <w:pPr>
        <w:pStyle w:val="Zkladntext"/>
        <w:rPr>
          <w:lang w:val="cs-CZ"/>
        </w:rPr>
      </w:pPr>
    </w:p>
    <w:p w14:paraId="4F21B7D2" w14:textId="0E204B33" w:rsidR="00F3473A" w:rsidRDefault="00F3473A" w:rsidP="00F3473A">
      <w:pPr>
        <w:pStyle w:val="Zkladntext"/>
        <w:rPr>
          <w:i/>
          <w:highlight w:val="lightGray"/>
          <w:lang w:val="cs-CZ"/>
        </w:rPr>
      </w:pPr>
      <w:r w:rsidRPr="00A02D95">
        <w:rPr>
          <w:lang w:val="cs-CZ"/>
        </w:rPr>
        <w:t>Výstupy společnosti Deloitte budou odevzdány vedoucímu projektu v jedné (1) elektronické verzi s využitím nástrojů aplikací MS Office.</w:t>
      </w:r>
      <w:r w:rsidRPr="00A02D95">
        <w:rPr>
          <w:i/>
          <w:highlight w:val="lightGray"/>
          <w:lang w:val="cs-CZ"/>
        </w:rPr>
        <w:t xml:space="preserve"> </w:t>
      </w:r>
    </w:p>
    <w:p w14:paraId="07681534" w14:textId="5D75CF9F" w:rsidR="00DA4FB2" w:rsidRPr="00A02D95" w:rsidRDefault="00DA4FB2" w:rsidP="00DA4FB2">
      <w:pPr>
        <w:pStyle w:val="Zkladntext"/>
        <w:rPr>
          <w:b/>
          <w:lang w:val="cs-CZ"/>
        </w:rPr>
      </w:pPr>
      <w:r>
        <w:rPr>
          <w:b/>
          <w:lang w:val="cs-CZ"/>
        </w:rPr>
        <w:t>Termín plnění</w:t>
      </w:r>
    </w:p>
    <w:p w14:paraId="3F021DCB" w14:textId="75A6A12B" w:rsidR="00DA4FB2" w:rsidRDefault="00DA4FB2" w:rsidP="00DA4FB2">
      <w:pPr>
        <w:pStyle w:val="Zkladntext"/>
        <w:rPr>
          <w:szCs w:val="22"/>
          <w:lang w:val="cs-CZ"/>
        </w:rPr>
      </w:pPr>
      <w:r>
        <w:rPr>
          <w:szCs w:val="22"/>
          <w:lang w:val="cs-CZ"/>
        </w:rPr>
        <w:t>Projekt bude dokončen do 4 týdnů od podpisu smlouvy.</w:t>
      </w:r>
    </w:p>
    <w:p w14:paraId="07F1A9F7" w14:textId="77777777" w:rsidR="00DA4FB2" w:rsidRPr="00A02D95" w:rsidRDefault="00DA4FB2" w:rsidP="00F3473A">
      <w:pPr>
        <w:pStyle w:val="Zkladntext"/>
        <w:rPr>
          <w:i/>
          <w:highlight w:val="lightGray"/>
          <w:lang w:val="cs-CZ"/>
        </w:rPr>
      </w:pPr>
    </w:p>
    <w:p w14:paraId="31DAEC25" w14:textId="77777777" w:rsidR="00DA4FB2" w:rsidRDefault="00DA4FB2">
      <w:pPr>
        <w:spacing w:after="0" w:line="240" w:lineRule="auto"/>
        <w:rPr>
          <w:rFonts w:eastAsia="Times New Roman"/>
          <w:b/>
          <w:szCs w:val="18"/>
          <w:lang w:val="cs-CZ"/>
        </w:rPr>
      </w:pPr>
      <w:r>
        <w:rPr>
          <w:b/>
          <w:lang w:val="cs-CZ"/>
        </w:rPr>
        <w:br w:type="page"/>
      </w:r>
    </w:p>
    <w:p w14:paraId="6F5A07D7" w14:textId="0FA11623" w:rsidR="004E3F37" w:rsidRPr="00A02D95" w:rsidRDefault="004E3F37" w:rsidP="004E3F37">
      <w:pPr>
        <w:pStyle w:val="Zkladntext"/>
        <w:jc w:val="center"/>
        <w:rPr>
          <w:b/>
          <w:lang w:val="cs-CZ"/>
        </w:rPr>
      </w:pPr>
      <w:r w:rsidRPr="00A02D95">
        <w:rPr>
          <w:b/>
          <w:lang w:val="cs-CZ"/>
        </w:rPr>
        <w:lastRenderedPageBreak/>
        <w:t>Příloha č. 2</w:t>
      </w:r>
      <w:r w:rsidRPr="00A02D95">
        <w:rPr>
          <w:b/>
          <w:lang w:val="cs-CZ"/>
        </w:rPr>
        <w:br/>
        <w:t>Cena za Služby a platební podmínky</w:t>
      </w:r>
    </w:p>
    <w:p w14:paraId="6BEBAEA0" w14:textId="55EAD6F0" w:rsidR="00F3473A" w:rsidRPr="00A02D95" w:rsidRDefault="00F3473A" w:rsidP="00F3473A">
      <w:pPr>
        <w:pStyle w:val="Zkladntext"/>
        <w:rPr>
          <w:lang w:val="cs-CZ"/>
        </w:rPr>
      </w:pPr>
      <w:r w:rsidRPr="00A02D95">
        <w:rPr>
          <w:lang w:val="cs-CZ"/>
        </w:rPr>
        <w:t xml:space="preserve">Cena za Služby je dohodnuta jako pevná částka ve výši </w:t>
      </w:r>
      <w:proofErr w:type="spellStart"/>
      <w:r w:rsidR="00706DD8">
        <w:rPr>
          <w:b/>
          <w:lang w:val="cs-CZ"/>
        </w:rPr>
        <w:t>xxx</w:t>
      </w:r>
      <w:bookmarkStart w:id="61" w:name="_GoBack"/>
      <w:bookmarkEnd w:id="61"/>
      <w:proofErr w:type="spellEnd"/>
      <w:r w:rsidRPr="00A02D95">
        <w:rPr>
          <w:b/>
          <w:lang w:val="cs-CZ"/>
        </w:rPr>
        <w:t xml:space="preserve"> </w:t>
      </w:r>
      <w:r w:rsidR="00DA4FB2">
        <w:rPr>
          <w:b/>
          <w:lang w:val="cs-CZ"/>
        </w:rPr>
        <w:t>CZK</w:t>
      </w:r>
      <w:r w:rsidRPr="00A02D95">
        <w:rPr>
          <w:lang w:val="cs-CZ"/>
        </w:rPr>
        <w:t xml:space="preserve"> bez DPH. Nastanou-li nepředvídatelné okolnosti, jejichž důsledkem bude nutné Cenu za Služby navýšit, smluvní strany tímto prohlašují a potvrzují, že budou o takovém navýšení v dobré víře jednat.</w:t>
      </w:r>
    </w:p>
    <w:p w14:paraId="05EE409C" w14:textId="77777777" w:rsidR="00F3473A" w:rsidRPr="00A02D95" w:rsidRDefault="00F3473A" w:rsidP="00F3473A">
      <w:pPr>
        <w:pStyle w:val="Zkladntext"/>
        <w:rPr>
          <w:b/>
          <w:lang w:val="cs-CZ"/>
        </w:rPr>
      </w:pPr>
      <w:r w:rsidRPr="00A02D95">
        <w:rPr>
          <w:b/>
          <w:lang w:val="cs-CZ"/>
        </w:rPr>
        <w:t>Náklady</w:t>
      </w:r>
    </w:p>
    <w:p w14:paraId="20314DDB" w14:textId="77777777" w:rsidR="00F3473A" w:rsidRPr="00A02D95" w:rsidRDefault="00F3473A" w:rsidP="00F3473A">
      <w:pPr>
        <w:pStyle w:val="Zkladntext"/>
        <w:rPr>
          <w:lang w:val="cs-CZ"/>
        </w:rPr>
      </w:pPr>
      <w:r w:rsidRPr="00A02D95">
        <w:rPr>
          <w:lang w:val="cs-CZ"/>
        </w:rPr>
        <w:t xml:space="preserve">Cena za Služby zahrnuje veškeré náklady spojené s poskytováním Služeb (čl. 3 písm. c) Obchodních podmínek se tedy nepoužije). </w:t>
      </w:r>
    </w:p>
    <w:p w14:paraId="1E849258" w14:textId="77777777" w:rsidR="00F3473A" w:rsidRPr="00A02D95" w:rsidRDefault="00F3473A" w:rsidP="00F3473A">
      <w:pPr>
        <w:pStyle w:val="Zkladntext"/>
        <w:rPr>
          <w:b/>
          <w:lang w:val="cs-CZ"/>
        </w:rPr>
      </w:pPr>
      <w:r w:rsidRPr="00A02D95">
        <w:rPr>
          <w:b/>
          <w:lang w:val="cs-CZ"/>
        </w:rPr>
        <w:t xml:space="preserve">Platební kalendář </w:t>
      </w:r>
    </w:p>
    <w:p w14:paraId="5EEEEDE4" w14:textId="6C84C9AE" w:rsidR="00F3473A" w:rsidRDefault="00F3473A" w:rsidP="00F3473A">
      <w:pPr>
        <w:pStyle w:val="Zkladntext"/>
        <w:rPr>
          <w:szCs w:val="22"/>
          <w:lang w:val="cs-CZ"/>
        </w:rPr>
      </w:pPr>
      <w:r w:rsidRPr="00A02D95">
        <w:rPr>
          <w:szCs w:val="22"/>
          <w:lang w:val="cs-CZ"/>
        </w:rPr>
        <w:t>Konečná faktura bude vystavena po dokončení prací a po odevzdání Výstupů Deloitte.</w:t>
      </w:r>
    </w:p>
    <w:p w14:paraId="3D3A10EC" w14:textId="4B15939A" w:rsidR="00614410" w:rsidRDefault="00614410" w:rsidP="00F3473A">
      <w:pPr>
        <w:pStyle w:val="Zkladntext"/>
        <w:rPr>
          <w:szCs w:val="22"/>
          <w:lang w:val="cs-CZ"/>
        </w:rPr>
      </w:pPr>
    </w:p>
    <w:p w14:paraId="15CC6353" w14:textId="2300C98E" w:rsidR="00614410" w:rsidRDefault="00614410" w:rsidP="00F3473A">
      <w:pPr>
        <w:pStyle w:val="Zkladntext"/>
        <w:rPr>
          <w:szCs w:val="22"/>
          <w:lang w:val="cs-CZ"/>
        </w:rPr>
      </w:pPr>
    </w:p>
    <w:p w14:paraId="70411E7B" w14:textId="6521A404" w:rsidR="00614410" w:rsidRDefault="00614410" w:rsidP="00F3473A">
      <w:pPr>
        <w:pStyle w:val="Zkladntext"/>
        <w:rPr>
          <w:szCs w:val="22"/>
          <w:lang w:val="cs-CZ"/>
        </w:rPr>
      </w:pPr>
    </w:p>
    <w:p w14:paraId="569E1528" w14:textId="6EB1BA08" w:rsidR="00614410" w:rsidRDefault="00614410" w:rsidP="00F3473A">
      <w:pPr>
        <w:pStyle w:val="Zkladntext"/>
        <w:rPr>
          <w:szCs w:val="22"/>
          <w:lang w:val="cs-CZ"/>
        </w:rPr>
      </w:pPr>
    </w:p>
    <w:p w14:paraId="333ABBD2" w14:textId="4BCFE6C3" w:rsidR="00614410" w:rsidRDefault="00614410" w:rsidP="00F3473A">
      <w:pPr>
        <w:pStyle w:val="Zkladntext"/>
        <w:rPr>
          <w:szCs w:val="22"/>
          <w:lang w:val="cs-CZ"/>
        </w:rPr>
      </w:pPr>
    </w:p>
    <w:p w14:paraId="01D4A82D" w14:textId="2A6CF31F" w:rsidR="00614410" w:rsidRDefault="00614410" w:rsidP="00F3473A">
      <w:pPr>
        <w:pStyle w:val="Zkladntext"/>
        <w:rPr>
          <w:szCs w:val="22"/>
          <w:lang w:val="cs-CZ"/>
        </w:rPr>
      </w:pPr>
    </w:p>
    <w:p w14:paraId="30B7B2D8" w14:textId="2203F08A" w:rsidR="00614410" w:rsidRDefault="00614410" w:rsidP="00F3473A">
      <w:pPr>
        <w:pStyle w:val="Zkladntext"/>
        <w:rPr>
          <w:szCs w:val="22"/>
          <w:lang w:val="cs-CZ"/>
        </w:rPr>
      </w:pPr>
    </w:p>
    <w:p w14:paraId="0C2FA911" w14:textId="4B7EB7D3" w:rsidR="00614410" w:rsidRDefault="00614410" w:rsidP="00F3473A">
      <w:pPr>
        <w:pStyle w:val="Zkladntext"/>
        <w:rPr>
          <w:szCs w:val="22"/>
          <w:lang w:val="cs-CZ"/>
        </w:rPr>
      </w:pPr>
    </w:p>
    <w:p w14:paraId="575EE7CD" w14:textId="5CB2D5BA" w:rsidR="00614410" w:rsidRDefault="00614410" w:rsidP="00F3473A">
      <w:pPr>
        <w:pStyle w:val="Zkladntext"/>
        <w:rPr>
          <w:szCs w:val="22"/>
          <w:lang w:val="cs-CZ"/>
        </w:rPr>
      </w:pPr>
    </w:p>
    <w:p w14:paraId="53BE1FF4" w14:textId="48848A74" w:rsidR="00614410" w:rsidRDefault="00614410" w:rsidP="00F3473A">
      <w:pPr>
        <w:pStyle w:val="Zkladntext"/>
        <w:rPr>
          <w:szCs w:val="22"/>
          <w:lang w:val="cs-CZ"/>
        </w:rPr>
      </w:pPr>
    </w:p>
    <w:p w14:paraId="1FC04D46" w14:textId="2D71B7FB" w:rsidR="00614410" w:rsidRDefault="00614410" w:rsidP="00F3473A">
      <w:pPr>
        <w:pStyle w:val="Zkladntext"/>
        <w:rPr>
          <w:szCs w:val="22"/>
          <w:lang w:val="cs-CZ"/>
        </w:rPr>
      </w:pPr>
    </w:p>
    <w:p w14:paraId="7EABE0A3" w14:textId="58966695" w:rsidR="00614410" w:rsidRDefault="00614410" w:rsidP="00F3473A">
      <w:pPr>
        <w:pStyle w:val="Zkladntext"/>
        <w:rPr>
          <w:szCs w:val="22"/>
          <w:lang w:val="cs-CZ"/>
        </w:rPr>
      </w:pPr>
    </w:p>
    <w:p w14:paraId="1CEA4184" w14:textId="115AA6AB" w:rsidR="00614410" w:rsidRDefault="00614410" w:rsidP="00F3473A">
      <w:pPr>
        <w:pStyle w:val="Zkladntext"/>
        <w:rPr>
          <w:szCs w:val="22"/>
          <w:lang w:val="cs-CZ"/>
        </w:rPr>
      </w:pPr>
    </w:p>
    <w:p w14:paraId="5DB8A8B7" w14:textId="0E1AD148" w:rsidR="00614410" w:rsidRDefault="00614410" w:rsidP="00F3473A">
      <w:pPr>
        <w:pStyle w:val="Zkladntext"/>
        <w:rPr>
          <w:szCs w:val="22"/>
          <w:lang w:val="cs-CZ"/>
        </w:rPr>
      </w:pPr>
    </w:p>
    <w:p w14:paraId="35DB6251" w14:textId="4FF06C01" w:rsidR="00614410" w:rsidRDefault="00614410" w:rsidP="00F3473A">
      <w:pPr>
        <w:pStyle w:val="Zkladntext"/>
        <w:rPr>
          <w:szCs w:val="22"/>
          <w:lang w:val="cs-CZ"/>
        </w:rPr>
      </w:pPr>
    </w:p>
    <w:p w14:paraId="556C529B" w14:textId="60F125CD" w:rsidR="00DA4FB2" w:rsidRDefault="00DA4FB2">
      <w:pPr>
        <w:spacing w:after="0" w:line="240" w:lineRule="auto"/>
        <w:rPr>
          <w:rFonts w:eastAsia="Times New Roman"/>
          <w:lang w:val="cs-CZ"/>
        </w:rPr>
      </w:pPr>
      <w:r>
        <w:rPr>
          <w:lang w:val="cs-CZ"/>
        </w:rPr>
        <w:br w:type="page"/>
      </w:r>
    </w:p>
    <w:p w14:paraId="7B18D00A" w14:textId="77777777" w:rsidR="000A7DF6" w:rsidRPr="003477E0" w:rsidRDefault="00B7025F" w:rsidP="000A7DF6">
      <w:pPr>
        <w:pStyle w:val="Zkladntext"/>
        <w:jc w:val="center"/>
        <w:rPr>
          <w:b/>
          <w:lang w:val="cs-CZ"/>
        </w:rPr>
      </w:pPr>
      <w:r w:rsidRPr="003477E0">
        <w:rPr>
          <w:b/>
          <w:lang w:val="cs-CZ"/>
        </w:rPr>
        <w:lastRenderedPageBreak/>
        <w:t>Příloha č. 3</w:t>
      </w:r>
      <w:r w:rsidR="00E50FBB" w:rsidRPr="003477E0">
        <w:rPr>
          <w:b/>
          <w:lang w:val="cs-CZ"/>
        </w:rPr>
        <w:br/>
      </w:r>
      <w:r w:rsidR="000A7DF6" w:rsidRPr="003477E0">
        <w:rPr>
          <w:b/>
          <w:lang w:val="cs-CZ"/>
        </w:rPr>
        <w:t>Obchodní podmínky Deloitte CE</w:t>
      </w:r>
    </w:p>
    <w:p w14:paraId="01F212FC" w14:textId="77777777" w:rsidR="000A7DF6" w:rsidRPr="003477E0" w:rsidRDefault="000A7DF6" w:rsidP="000A7DF6">
      <w:pPr>
        <w:keepNext/>
        <w:numPr>
          <w:ilvl w:val="0"/>
          <w:numId w:val="12"/>
        </w:numPr>
        <w:spacing w:after="120" w:line="120" w:lineRule="atLeast"/>
        <w:ind w:left="0" w:right="70" w:hanging="357"/>
        <w:jc w:val="both"/>
        <w:outlineLvl w:val="0"/>
        <w:rPr>
          <w:rFonts w:asciiTheme="minorHAnsi" w:hAnsiTheme="minorHAnsi" w:cstheme="minorHAnsi"/>
          <w:b/>
          <w:kern w:val="28"/>
          <w:sz w:val="16"/>
          <w:szCs w:val="16"/>
          <w:lang w:val="cs-CZ"/>
        </w:rPr>
        <w:sectPr w:rsidR="000A7DF6" w:rsidRPr="003477E0" w:rsidSect="00D80BA0">
          <w:headerReference w:type="default" r:id="rId15"/>
          <w:pgSz w:w="11906" w:h="16838" w:code="9"/>
          <w:pgMar w:top="1134" w:right="1417" w:bottom="1417" w:left="1417" w:header="680" w:footer="567" w:gutter="0"/>
          <w:cols w:space="284"/>
          <w:docGrid w:linePitch="360"/>
        </w:sectPr>
      </w:pPr>
    </w:p>
    <w:p w14:paraId="3ECF110F"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Smlouva a smluvní strany </w:t>
      </w:r>
    </w:p>
    <w:p w14:paraId="28CE392E"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Ujednání Smlouvy a/nebo Smluvního dopisu a/nebo Objednávky prací</w:t>
      </w:r>
      <w:r w:rsidRPr="00A02D95">
        <w:rPr>
          <w:b/>
          <w:lang w:val="cs-CZ"/>
        </w:rPr>
        <w:t xml:space="preserve"> </w:t>
      </w:r>
      <w:r w:rsidRPr="00A02D95">
        <w:rPr>
          <w:rFonts w:asciiTheme="minorHAnsi" w:hAnsiTheme="minorHAnsi" w:cstheme="minorHAnsi"/>
          <w:sz w:val="16"/>
          <w:szCs w:val="16"/>
          <w:lang w:val="cs-CZ"/>
        </w:rPr>
        <w:t xml:space="preserve">a jakýchkoli jiných příloh, než jsou tyto Obchodní podmínky („Smluvní dopis“), vydaných Deloitte Advisory s.r.o., IČO: 27582167, se sídlem: Praha </w:t>
      </w:r>
      <w:r w:rsidR="005408F9" w:rsidRPr="00A02D95">
        <w:rPr>
          <w:rFonts w:asciiTheme="minorHAnsi" w:hAnsiTheme="minorHAnsi" w:cstheme="minorHAnsi"/>
          <w:sz w:val="16"/>
          <w:szCs w:val="16"/>
          <w:lang w:val="cs-CZ"/>
        </w:rPr>
        <w:t>2</w:t>
      </w:r>
      <w:r w:rsidRPr="00A02D95">
        <w:rPr>
          <w:rFonts w:asciiTheme="minorHAnsi" w:hAnsiTheme="minorHAnsi" w:cstheme="minorHAnsi"/>
          <w:sz w:val="16"/>
          <w:szCs w:val="16"/>
          <w:lang w:val="cs-CZ"/>
        </w:rPr>
        <w:t xml:space="preserve">, </w:t>
      </w:r>
      <w:r w:rsidR="005408F9" w:rsidRPr="00A02D95">
        <w:rPr>
          <w:rFonts w:asciiTheme="minorHAnsi" w:hAnsiTheme="minorHAnsi" w:cstheme="minorHAnsi"/>
          <w:sz w:val="16"/>
          <w:szCs w:val="16"/>
          <w:lang w:val="cs-CZ"/>
        </w:rPr>
        <w:t>Italská 2581/67</w:t>
      </w:r>
      <w:r w:rsidRPr="00A02D95">
        <w:rPr>
          <w:rFonts w:asciiTheme="minorHAnsi" w:hAnsiTheme="minorHAnsi" w:cstheme="minorHAnsi"/>
          <w:sz w:val="16"/>
          <w:szCs w:val="16"/>
          <w:lang w:val="cs-CZ"/>
        </w:rPr>
        <w:t>, PSČ: 1</w:t>
      </w:r>
      <w:r w:rsidR="005408F9" w:rsidRPr="00A02D95">
        <w:rPr>
          <w:rFonts w:asciiTheme="minorHAnsi" w:hAnsiTheme="minorHAnsi" w:cstheme="minorHAnsi"/>
          <w:sz w:val="16"/>
          <w:szCs w:val="16"/>
          <w:lang w:val="cs-CZ"/>
        </w:rPr>
        <w:t>20</w:t>
      </w:r>
      <w:r w:rsidR="00B53802" w:rsidRPr="00A02D95">
        <w:rPr>
          <w:rFonts w:asciiTheme="minorHAnsi" w:hAnsiTheme="minorHAnsi" w:cstheme="minorHAnsi"/>
          <w:sz w:val="16"/>
          <w:szCs w:val="16"/>
          <w:lang w:val="cs-CZ"/>
        </w:rPr>
        <w:t xml:space="preserve"> </w:t>
      </w:r>
      <w:r w:rsidRPr="00A02D95">
        <w:rPr>
          <w:rFonts w:asciiTheme="minorHAnsi" w:hAnsiTheme="minorHAnsi" w:cstheme="minorHAnsi"/>
          <w:sz w:val="16"/>
          <w:szCs w:val="16"/>
          <w:lang w:val="cs-CZ"/>
        </w:rPr>
        <w:t>00, Česká republika, zapsanou v obchodním rejstříku vedeném Městským soudem v Praze, spis. zn.: C 113225</w:t>
      </w:r>
      <w:r w:rsidRPr="00A02D95">
        <w:rPr>
          <w:lang w:val="cs-CZ"/>
        </w:rPr>
        <w:t xml:space="preserve"> </w:t>
      </w:r>
      <w:r w:rsidRPr="00A02D95">
        <w:rPr>
          <w:rFonts w:asciiTheme="minorHAnsi" w:hAnsiTheme="minorHAnsi" w:cstheme="minorHAnsi"/>
          <w:sz w:val="16"/>
          <w:szCs w:val="16"/>
          <w:lang w:val="cs-CZ"/>
        </w:rPr>
        <w:t xml:space="preserve">(„Deloitte“)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mezi zněním těchto Obchodních podmínek a Smluvním dopisem, má přednost znění Smluvního dopisu. </w:t>
      </w:r>
    </w:p>
    <w:p w14:paraId="0A746431"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Deloitte a Klient odsouhlasili ve Smluvním dopise a které mohou mít užitek z Výstupu (nebo z jeho částí) a mohou se na něj (nebo na jeho část) spoléhat a (b) přijaly podmínky této Smlouvy na základě písemných ujednání se společností Deloitte, jak je podrobně specifikováno v ustanovení 25 níže, ale žádná Oprávněná osoba nebude stranou této Smlouvy. Termín „Příjemce  Výstupu“ znamená takové osoby, včetně mj. Klienta, skupinu Klienta a Oprávněné osoby, (i) u nichž Deloitte a Klient odsouhlasili, že mohou mít přístup k Výstupu (nebo jeho části) a (b) přijaly ty podmínky Smlouvy, které Deloitte v jednotlivých případech požaduje. Příjemce Výstupu, který není Klientem a/nebo součástí skupiny Klienta, není stranou Smlouvy. </w:t>
      </w:r>
    </w:p>
    <w:p w14:paraId="2E347468"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Společnost Deloitte může zadat zajištění jakýchkoli Služeb dle této Smlouvy jakékoliv jiné Společnosti skupiny Deloitte a/nebo jiné třetí straně jako subdodavateli</w:t>
      </w:r>
      <w:r w:rsidRPr="00A02D95">
        <w:rPr>
          <w:i/>
          <w:lang w:val="cs-CZ"/>
        </w:rPr>
        <w:t xml:space="preserve"> </w:t>
      </w:r>
      <w:r w:rsidRPr="00A02D95">
        <w:rPr>
          <w:rFonts w:asciiTheme="minorHAnsi" w:hAnsiTheme="minorHAnsi" w:cstheme="minorHAnsi"/>
          <w:sz w:val="16"/>
          <w:szCs w:val="16"/>
          <w:lang w:val="cs-CZ"/>
        </w:rPr>
        <w:t xml:space="preserve">(společně „Subdodavatel“). Vztah Klienta je pouze se společností Deloitte jako se subjektem, </w:t>
      </w:r>
      <w:r w:rsidRPr="00A02D95">
        <w:rPr>
          <w:rFonts w:asciiTheme="minorHAnsi" w:hAnsiTheme="minorHAnsi" w:cstheme="minorHAnsi"/>
          <w:sz w:val="16"/>
          <w:szCs w:val="16"/>
          <w:lang w:val="cs-CZ"/>
        </w:rPr>
        <w:t xml:space="preserve">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2D6293FF"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Společnost Deloitte zůstává odpovědná vůči Klientovi za všechny Služby, které jsou nebo budou poskytovány podle této Smlouvy, včetně Služeb poskytovaných ze strany jejích Subdodavatelů. Tudíž v maximálním přípustném rozsahu dle platného práva nemá</w:t>
      </w:r>
      <w:r w:rsidRPr="00A02D95" w:rsidDel="00E80251">
        <w:rPr>
          <w:rFonts w:asciiTheme="minorHAnsi" w:hAnsiTheme="minorHAnsi" w:cstheme="minorHAnsi"/>
          <w:sz w:val="16"/>
          <w:szCs w:val="16"/>
          <w:lang w:val="cs-CZ"/>
        </w:rPr>
        <w:t xml:space="preserve"> </w:t>
      </w:r>
      <w:r w:rsidRPr="00A02D95">
        <w:rPr>
          <w:rFonts w:asciiTheme="minorHAnsi" w:hAnsiTheme="minorHAnsi" w:cstheme="minorHAnsi"/>
          <w:sz w:val="16"/>
          <w:szCs w:val="16"/>
          <w:lang w:val="cs-CZ"/>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39D46BCA" w14:textId="77777777" w:rsidR="000A7DF6" w:rsidRPr="00A02D95" w:rsidRDefault="000A7DF6" w:rsidP="000A7DF6">
      <w:pPr>
        <w:numPr>
          <w:ilvl w:val="0"/>
          <w:numId w:val="11"/>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Pod pojmem „Společnosti skupiny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se rozumí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Touche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Tohmatsu</w:t>
      </w:r>
      <w:proofErr w:type="spellEnd"/>
      <w:r w:rsidRPr="00A02D95">
        <w:rPr>
          <w:rFonts w:asciiTheme="minorHAnsi" w:hAnsiTheme="minorHAnsi" w:cstheme="minorHAnsi"/>
          <w:sz w:val="16"/>
          <w:szCs w:val="16"/>
          <w:lang w:val="cs-CZ"/>
        </w:rPr>
        <w:t xml:space="preserve"> Limited, společnost s ručením omezeným zárukou („</w:t>
      </w:r>
      <w:proofErr w:type="spellStart"/>
      <w:r w:rsidRPr="00A02D95">
        <w:rPr>
          <w:rFonts w:asciiTheme="minorHAnsi" w:hAnsiTheme="minorHAnsi" w:cstheme="minorHAnsi"/>
          <w:sz w:val="16"/>
          <w:szCs w:val="16"/>
          <w:lang w:val="cs-CZ"/>
        </w:rPr>
        <w:t>private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company</w:t>
      </w:r>
      <w:proofErr w:type="spellEnd"/>
      <w:r w:rsidRPr="00A02D95">
        <w:rPr>
          <w:rFonts w:asciiTheme="minorHAnsi" w:hAnsiTheme="minorHAnsi" w:cstheme="minorHAnsi"/>
          <w:sz w:val="16"/>
          <w:szCs w:val="16"/>
          <w:lang w:val="cs-CZ"/>
        </w:rPr>
        <w:t xml:space="preserve"> limited by </w:t>
      </w:r>
      <w:proofErr w:type="spellStart"/>
      <w:r w:rsidRPr="00A02D95">
        <w:rPr>
          <w:rFonts w:asciiTheme="minorHAnsi" w:hAnsiTheme="minorHAnsi" w:cstheme="minorHAnsi"/>
          <w:sz w:val="16"/>
          <w:szCs w:val="16"/>
          <w:lang w:val="cs-CZ"/>
        </w:rPr>
        <w:t>guarantee</w:t>
      </w:r>
      <w:proofErr w:type="spellEnd"/>
      <w:r w:rsidRPr="00A02D95">
        <w:rPr>
          <w:rFonts w:asciiTheme="minorHAnsi" w:hAnsiTheme="minorHAnsi" w:cstheme="minorHAnsi"/>
          <w:sz w:val="16"/>
          <w:szCs w:val="16"/>
          <w:lang w:val="cs-CZ"/>
        </w:rPr>
        <w:t>“)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 Není-li v této Smlouvě uvedeno jinak, DTTL ani žádná z jejích členských firem navzájem nenesou odpovědnost za jednání či opomenutí ostatních členských firem. Každá členská firma DTTL je oddělenou a nezávislou právnickou osobou působící pod názvem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&amp; </w:t>
      </w:r>
      <w:proofErr w:type="spellStart"/>
      <w:r w:rsidRPr="00A02D95">
        <w:rPr>
          <w:rFonts w:asciiTheme="minorHAnsi" w:hAnsiTheme="minorHAnsi" w:cstheme="minorHAnsi"/>
          <w:sz w:val="16"/>
          <w:szCs w:val="16"/>
          <w:lang w:val="cs-CZ"/>
        </w:rPr>
        <w:t>Touche</w:t>
      </w:r>
      <w:proofErr w:type="spellEnd"/>
      <w:r w:rsidRPr="00A02D95">
        <w:rPr>
          <w:rFonts w:asciiTheme="minorHAnsi" w:hAnsiTheme="minorHAnsi" w:cstheme="minorHAnsi"/>
          <w:sz w:val="16"/>
          <w:szCs w:val="16"/>
          <w:lang w:val="cs-CZ"/>
        </w:rPr>
        <w:t>“,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Touche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Tohmatsu</w:t>
      </w:r>
      <w:proofErr w:type="spellEnd"/>
      <w:r w:rsidRPr="00A02D95">
        <w:rPr>
          <w:rFonts w:asciiTheme="minorHAnsi" w:hAnsiTheme="minorHAnsi" w:cstheme="minorHAnsi"/>
          <w:sz w:val="16"/>
          <w:szCs w:val="16"/>
          <w:lang w:val="cs-CZ"/>
        </w:rPr>
        <w:t xml:space="preserve">“ či jiným obdobným názvem; služby jsou poskytovány členskými firmami a jejich dceřinými nebo přidruženými </w:t>
      </w:r>
      <w:r w:rsidRPr="00A02D95">
        <w:rPr>
          <w:rFonts w:asciiTheme="minorHAnsi" w:hAnsiTheme="minorHAnsi" w:cstheme="minorHAnsi"/>
          <w:sz w:val="16"/>
          <w:szCs w:val="16"/>
          <w:lang w:val="cs-CZ"/>
        </w:rPr>
        <w:lastRenderedPageBreak/>
        <w:t>podniky a nikoli DTTL.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Central</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Europe</w:t>
      </w:r>
      <w:proofErr w:type="spellEnd"/>
      <w:r w:rsidRPr="00A02D95">
        <w:rPr>
          <w:rFonts w:asciiTheme="minorHAnsi" w:hAnsiTheme="minorHAnsi" w:cstheme="minorHAnsi"/>
          <w:sz w:val="16"/>
          <w:szCs w:val="16"/>
          <w:lang w:val="cs-CZ"/>
        </w:rPr>
        <w:t xml:space="preserve">“ je regionálním sdružením subjektů zastřešených společností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Central</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Europe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Holdings</w:t>
      </w:r>
      <w:proofErr w:type="spellEnd"/>
      <w:r w:rsidRPr="00A02D95">
        <w:rPr>
          <w:rFonts w:asciiTheme="minorHAnsi" w:hAnsiTheme="minorHAnsi" w:cstheme="minorHAnsi"/>
          <w:sz w:val="16"/>
          <w:szCs w:val="16"/>
          <w:lang w:val="cs-CZ"/>
        </w:rPr>
        <w:t xml:space="preserve"> Limited, členskou firmou DTTL ve střední Evropě. Služby jsou poskytovány dceřinými a přidruženými podniky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Central</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Europe</w:t>
      </w:r>
      <w:proofErr w:type="spellEnd"/>
      <w:r w:rsidRPr="00A02D95">
        <w:rPr>
          <w:rFonts w:asciiTheme="minorHAnsi" w:hAnsiTheme="minorHAnsi" w:cstheme="minorHAnsi"/>
          <w:sz w:val="16"/>
          <w:szCs w:val="16"/>
          <w:lang w:val="cs-CZ"/>
        </w:rPr>
        <w:t xml:space="preserve"> </w:t>
      </w:r>
      <w:proofErr w:type="spellStart"/>
      <w:r w:rsidRPr="00A02D95">
        <w:rPr>
          <w:rFonts w:asciiTheme="minorHAnsi" w:hAnsiTheme="minorHAnsi" w:cstheme="minorHAnsi"/>
          <w:sz w:val="16"/>
          <w:szCs w:val="16"/>
          <w:lang w:val="cs-CZ"/>
        </w:rPr>
        <w:t>Holdings</w:t>
      </w:r>
      <w:proofErr w:type="spellEnd"/>
      <w:r w:rsidRPr="00A02D95">
        <w:rPr>
          <w:rFonts w:asciiTheme="minorHAnsi" w:hAnsiTheme="minorHAnsi" w:cstheme="minorHAnsi"/>
          <w:sz w:val="16"/>
          <w:szCs w:val="16"/>
          <w:lang w:val="cs-CZ"/>
        </w:rPr>
        <w:t xml:space="preserve"> Limited, které jsou samostatnými a nezávislými právními subjekty. </w:t>
      </w:r>
    </w:p>
    <w:p w14:paraId="2537E92B"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Odpovědnosti Klienta a Deloitte </w:t>
      </w:r>
    </w:p>
    <w:p w14:paraId="6CF8E6B8" w14:textId="77777777" w:rsidR="000A7DF6" w:rsidRPr="00A02D95" w:rsidRDefault="000A7DF6" w:rsidP="000A7DF6">
      <w:pPr>
        <w:numPr>
          <w:ilvl w:val="0"/>
          <w:numId w:val="15"/>
        </w:numPr>
        <w:spacing w:after="120" w:line="120" w:lineRule="atLeast"/>
        <w:ind w:left="568" w:hanging="284"/>
        <w:jc w:val="both"/>
        <w:rPr>
          <w:b/>
          <w:sz w:val="16"/>
          <w:szCs w:val="16"/>
          <w:lang w:val="cs-CZ"/>
        </w:rPr>
      </w:pPr>
      <w:r w:rsidRPr="00A02D95">
        <w:rPr>
          <w:b/>
          <w:sz w:val="16"/>
          <w:szCs w:val="16"/>
          <w:lang w:val="cs-CZ"/>
        </w:rPr>
        <w:t>Odpovědnosti Klienta</w:t>
      </w:r>
    </w:p>
    <w:p w14:paraId="23B8015A" w14:textId="77777777" w:rsidR="000A7DF6" w:rsidRPr="00A02D95"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 zakázky. </w:t>
      </w:r>
    </w:p>
    <w:p w14:paraId="6518B1BC" w14:textId="77777777" w:rsidR="000A7DF6" w:rsidRPr="00A02D95"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Klient bude výhradně odpovědný mimo jiné za: (A) provádění všech manažerských </w:t>
      </w:r>
      <w:r w:rsidRPr="00A02D95">
        <w:rPr>
          <w:rFonts w:asciiTheme="minorHAnsi" w:hAnsiTheme="minorHAnsi" w:cstheme="minorHAnsi"/>
          <w:sz w:val="16"/>
          <w:szCs w:val="16"/>
          <w:lang w:val="cs-CZ"/>
        </w:rPr>
        <w:t xml:space="preserve">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 (D) přijetí odpovědnosti za případné kroky učiněné v návaznosti na výsledky Služeb. </w:t>
      </w:r>
    </w:p>
    <w:p w14:paraId="7F67638B" w14:textId="77777777" w:rsidR="000A7DF6" w:rsidRPr="00A02D95"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3C62BB11" w14:textId="77777777" w:rsidR="000A7DF6" w:rsidRPr="00A02D95"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32AF407C" w14:textId="77777777" w:rsidR="000A7DF6" w:rsidRPr="00A02D95"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Klient přijme Výstup a/nebo jiné dodávky Služeb v souladu s touto Smlouvou, pokud (i) splňují požadavky této Smlouvy nebo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xml:space="preserve">)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0849AF90" w14:textId="77777777" w:rsidR="000A7DF6" w:rsidRPr="00A02D95" w:rsidRDefault="000A7DF6" w:rsidP="000A7DF6">
      <w:pPr>
        <w:numPr>
          <w:ilvl w:val="0"/>
          <w:numId w:val="15"/>
        </w:numPr>
        <w:spacing w:after="120" w:line="120" w:lineRule="atLeast"/>
        <w:ind w:left="568" w:right="70" w:hanging="284"/>
        <w:jc w:val="both"/>
        <w:rPr>
          <w:b/>
          <w:sz w:val="16"/>
          <w:szCs w:val="16"/>
          <w:lang w:val="cs-CZ"/>
        </w:rPr>
      </w:pPr>
      <w:r w:rsidRPr="00A02D95">
        <w:rPr>
          <w:b/>
          <w:sz w:val="16"/>
          <w:szCs w:val="16"/>
          <w:lang w:val="cs-CZ"/>
        </w:rPr>
        <w:t>Odpovědnosti Deloitte</w:t>
      </w:r>
    </w:p>
    <w:p w14:paraId="0DE0EAFA" w14:textId="77777777" w:rsidR="000A7DF6" w:rsidRPr="00A02D95" w:rsidRDefault="000A7DF6" w:rsidP="000A7DF6">
      <w:pPr>
        <w:numPr>
          <w:ilvl w:val="0"/>
          <w:numId w:val="13"/>
        </w:numPr>
        <w:tabs>
          <w:tab w:val="left" w:pos="567"/>
        </w:tabs>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w:t>
      </w:r>
      <w:r w:rsidRPr="00A02D95">
        <w:rPr>
          <w:rFonts w:asciiTheme="minorHAnsi" w:hAnsiTheme="minorHAnsi" w:cstheme="minorHAnsi"/>
          <w:sz w:val="16"/>
          <w:szCs w:val="16"/>
          <w:lang w:val="cs-CZ"/>
        </w:rPr>
        <w:lastRenderedPageBreak/>
        <w:t xml:space="preserve">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14:paraId="08A32D20" w14:textId="77777777" w:rsidR="000A7DF6" w:rsidRPr="00A02D95"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Klientovi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14:paraId="7706CFDB" w14:textId="77777777" w:rsidR="000A7DF6" w:rsidRPr="00A02D95"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14:paraId="5B60FD57" w14:textId="77777777" w:rsidR="000A7DF6" w:rsidRPr="00A02D95"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Deloitte neponese žádnou odpovědnost za sledování událostí nastalých po datu Služeb ani za aktualizaci Výstupů, pokud se smluvní strany výslovně písemně nedohodnou jinak. </w:t>
      </w:r>
    </w:p>
    <w:p w14:paraId="32E3EB51"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Cena za Služby a úhrada faktur </w:t>
      </w:r>
    </w:p>
    <w:p w14:paraId="6CC74DCD" w14:textId="77777777" w:rsidR="000A7DF6" w:rsidRPr="00A02D95" w:rsidRDefault="000A7DF6" w:rsidP="000A7DF6">
      <w:pPr>
        <w:keepNext/>
        <w:keepLines/>
        <w:numPr>
          <w:ilvl w:val="0"/>
          <w:numId w:val="14"/>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Deloitte má právo na odměnu sjednanou na základě Smluvního dopisu („Cena za Služby“) a tato odměna nebude záviset na výsledku Služeb, pokud Smluvní dopis nestanoví </w:t>
      </w:r>
      <w:proofErr w:type="spellStart"/>
      <w:r w:rsidRPr="00A02D95">
        <w:rPr>
          <w:rFonts w:asciiTheme="minorHAnsi" w:hAnsiTheme="minorHAnsi" w:cstheme="minorHAnsi"/>
          <w:sz w:val="16"/>
          <w:szCs w:val="16"/>
          <w:lang w:val="cs-CZ"/>
        </w:rPr>
        <w:t>úspěšnostní</w:t>
      </w:r>
      <w:proofErr w:type="spellEnd"/>
      <w:r w:rsidRPr="00A02D95">
        <w:rPr>
          <w:rFonts w:asciiTheme="minorHAnsi" w:hAnsiTheme="minorHAnsi" w:cstheme="minorHAnsi"/>
          <w:sz w:val="16"/>
          <w:szCs w:val="16"/>
          <w:lang w:val="cs-CZ"/>
        </w:rPr>
        <w:t xml:space="preserve"> odměnu na základě konkrétního výsledku. Cena za Služby neobsahuje daň z přidané hodnoty („DPH“). DPH ve výši předepsané zákonem bude přičtena ke všem fakturám vydaným na základě Smlouvy. </w:t>
      </w:r>
    </w:p>
    <w:p w14:paraId="3500A756" w14:textId="77777777" w:rsidR="000A7DF6" w:rsidRPr="00A02D95" w:rsidRDefault="000A7DF6" w:rsidP="000A7DF6">
      <w:pPr>
        <w:numPr>
          <w:ilvl w:val="0"/>
          <w:numId w:val="11"/>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mj. tržní trendy, míra inflace nebo kolísání měny. Deloitte bude Klienta informovat, pokud se standardní hodinové sazby stanovené v eurech zvýší. </w:t>
      </w:r>
    </w:p>
    <w:p w14:paraId="75205D70" w14:textId="77777777" w:rsidR="000A7DF6" w:rsidRPr="00A02D95" w:rsidRDefault="000A7DF6" w:rsidP="000A7DF6">
      <w:pPr>
        <w:numPr>
          <w:ilvl w:val="0"/>
          <w:numId w:val="11"/>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Cena za Služby nezahrnuje výdaje vzniklé Deloitte v souvislosti s poskytováním Služeb. Přiměřené výdaje vzniklé Deloitte, včetně </w:t>
      </w:r>
      <w:r w:rsidRPr="00A02D95">
        <w:rPr>
          <w:rFonts w:asciiTheme="minorHAnsi" w:hAnsiTheme="minorHAnsi" w:cstheme="minorHAnsi"/>
          <w:sz w:val="16"/>
          <w:szCs w:val="16"/>
          <w:lang w:val="cs-CZ"/>
        </w:rPr>
        <w:t xml:space="preserve">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 </w:t>
      </w:r>
    </w:p>
    <w:p w14:paraId="75AD91A9" w14:textId="77777777" w:rsidR="000A7DF6" w:rsidRPr="00A02D95" w:rsidRDefault="000A7DF6" w:rsidP="000A7DF6">
      <w:pPr>
        <w:numPr>
          <w:ilvl w:val="0"/>
          <w:numId w:val="11"/>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Klient výslovně souhlasí s elektronickou formou fakturace za podmínek stanovených Smlouvou a platnými právními předpisy.</w:t>
      </w:r>
      <w:r w:rsidRPr="00A02D95">
        <w:rPr>
          <w:i/>
          <w:lang w:val="cs-CZ"/>
        </w:rPr>
        <w:t xml:space="preserve"> </w:t>
      </w:r>
      <w:r w:rsidRPr="00A02D95">
        <w:rPr>
          <w:rFonts w:asciiTheme="minorHAnsi" w:hAnsiTheme="minorHAnsi" w:cstheme="minorHAnsi"/>
          <w:sz w:val="16"/>
          <w:szCs w:val="16"/>
          <w:lang w:val="cs-CZ"/>
        </w:rPr>
        <w:t>Deloitte si vyhrazuje právo vystavovat fakturu za poskytnuté Služby (i) po přijetí Výstupu a/nebo jiné dodávky Služeb (jak je uvedeno v ustanovení 2(a) v. výše), a/nebo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xml:space="preserve">) průběžně (včetně průběžné fakturace) v souladu s množstvím poskytovaných Služeb nebo požadovat zálohu před poskytnutím Služeb. Deloitte si vyhrazuje právo žádat o zálohu na výdaje, které vzniknou jménem Klienta. </w:t>
      </w:r>
    </w:p>
    <w:p w14:paraId="1EBA09E4" w14:textId="77777777" w:rsidR="000A7DF6" w:rsidRPr="00A02D95" w:rsidRDefault="000A7DF6" w:rsidP="000A7DF6">
      <w:pPr>
        <w:numPr>
          <w:ilvl w:val="0"/>
          <w:numId w:val="11"/>
        </w:numPr>
        <w:spacing w:after="120" w:line="120" w:lineRule="atLeast"/>
        <w:ind w:left="568"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Pro vyrovnání jakékoli splatné odměny má Deloitte právo započítat jakékoli své pohledávky za Klientem oproti jakýmkoli pohledávkám Klienta za společností Deloitte. </w:t>
      </w:r>
    </w:p>
    <w:p w14:paraId="621A2F4A"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Pro účely DPH jsou Služby poskytovány průběžně, nedohodnou-li se strany jinak. Každé plnění je považováno za poskytnuté v den vydání příslušné faktury, nestanoví-li příslušné závazné zákony jinak. </w:t>
      </w:r>
    </w:p>
    <w:p w14:paraId="21952451"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Faktury Deloitte v jakékoliv formě jsou splatné Klientem při předložení (včetně zaslání e-mailem ve formátu .</w:t>
      </w:r>
      <w:proofErr w:type="spellStart"/>
      <w:r w:rsidRPr="00A02D95">
        <w:rPr>
          <w:rFonts w:asciiTheme="minorHAnsi" w:hAnsiTheme="minorHAnsi" w:cstheme="minorHAnsi"/>
          <w:sz w:val="16"/>
          <w:szCs w:val="16"/>
          <w:lang w:val="cs-CZ"/>
        </w:rPr>
        <w:t>pdf</w:t>
      </w:r>
      <w:proofErr w:type="spellEnd"/>
      <w:r w:rsidRPr="00A02D95">
        <w:rPr>
          <w:rFonts w:asciiTheme="minorHAnsi" w:hAnsiTheme="minorHAnsi" w:cstheme="minorHAnsi"/>
          <w:sz w:val="16"/>
          <w:szCs w:val="16"/>
          <w:lang w:val="cs-CZ"/>
        </w:rPr>
        <w:t>) nebo při přijetí, je-li to nezbytné podle závazných právních předpisů. Není-li úhrada faktury obdržena během 14 dní od data faktury, Deloitte si vyhrazuje právo účtovat úrok (i)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xml:space="preserve">) v sazbě specifikované závaznými právními předpisy, která nemůže být upravena dohodou stran, v každém případě počítaná měsíčně do míry povolené zákonem. V případě, že společnosti Deloitte vzniknou jakékoliv náklady vymáhání či právního zastoupení s ohledem na odměnu po splatnosti, tyto náklady budou Klientovi účtovány v dodatečné faktuře. Bez omezení ostatních svých práv nebo opravných prostředků má Deloitte právo zastavit nebo ukončit Služby zcela nebo částečně, není-li úhrada přijata během 14 dní od data faktury, a následně se v tomto smyslu uplatní ustanovení čl. 2 a) </w:t>
      </w:r>
      <w:proofErr w:type="spellStart"/>
      <w:r w:rsidRPr="00A02D95">
        <w:rPr>
          <w:rFonts w:asciiTheme="minorHAnsi" w:hAnsiTheme="minorHAnsi" w:cstheme="minorHAnsi"/>
          <w:sz w:val="16"/>
          <w:szCs w:val="16"/>
          <w:lang w:val="cs-CZ"/>
        </w:rPr>
        <w:t>iv</w:t>
      </w:r>
      <w:proofErr w:type="spellEnd"/>
      <w:r w:rsidRPr="00A02D95">
        <w:rPr>
          <w:rFonts w:asciiTheme="minorHAnsi" w:hAnsiTheme="minorHAnsi" w:cstheme="minorHAnsi"/>
          <w:sz w:val="16"/>
          <w:szCs w:val="16"/>
          <w:lang w:val="cs-CZ"/>
        </w:rPr>
        <w:t xml:space="preserve">).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majetku společnosti Deloitte. </w:t>
      </w:r>
    </w:p>
    <w:p w14:paraId="719F099F"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Jakýkoli odhad Ceny za Služby bude vycházet z posouzení prací společností Deloitte při zohlednění předpokladů stanovených ve Smluvním dopise. Jakýkoli odhad Ceny za Služby může být upraven </w:t>
      </w:r>
      <w:r w:rsidRPr="00A02D95">
        <w:rPr>
          <w:rFonts w:asciiTheme="minorHAnsi" w:hAnsiTheme="minorHAnsi" w:cstheme="minorHAnsi"/>
          <w:sz w:val="16"/>
          <w:szCs w:val="16"/>
          <w:lang w:val="cs-CZ"/>
        </w:rPr>
        <w:lastRenderedPageBreak/>
        <w:t xml:space="preserve">např. v případě, že se Služby ukáží jako složitější nebo časově náročnější, než se očekávalo, přičemž v takové situaci Deloitte předem informuje Klienta o takové očekávané úpravě. </w:t>
      </w:r>
    </w:p>
    <w:p w14:paraId="7D40FC90" w14:textId="77777777" w:rsidR="000A7DF6" w:rsidRPr="00A02D95" w:rsidRDefault="000A7DF6" w:rsidP="000A7DF6">
      <w:pPr>
        <w:numPr>
          <w:ilvl w:val="0"/>
          <w:numId w:val="11"/>
        </w:num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41261E6B"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bookmarkStart w:id="62" w:name="Doba"/>
      <w:bookmarkEnd w:id="62"/>
      <w:r w:rsidRPr="00A02D95">
        <w:rPr>
          <w:rFonts w:asciiTheme="minorHAnsi" w:hAnsiTheme="minorHAnsi" w:cstheme="minorHAnsi"/>
          <w:b/>
          <w:kern w:val="28"/>
          <w:sz w:val="16"/>
          <w:szCs w:val="16"/>
          <w:lang w:val="cs-CZ"/>
        </w:rPr>
        <w:t xml:space="preserve">Doba trvání Smlouvy </w:t>
      </w:r>
    </w:p>
    <w:p w14:paraId="6E69BD52" w14:textId="77777777" w:rsidR="000A7DF6" w:rsidRPr="003477E0" w:rsidRDefault="000A7DF6" w:rsidP="000A7DF6">
      <w:pPr>
        <w:pStyle w:val="Odstavecseseznamem"/>
        <w:keepLines w:val="0"/>
        <w:numPr>
          <w:ilvl w:val="0"/>
          <w:numId w:val="16"/>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 xml:space="preserve">Není-li Smlouva v souladu s tímto zněním ukončena dříve, končí řádným poskytnutím Služeb. </w:t>
      </w:r>
    </w:p>
    <w:p w14:paraId="6990D372" w14:textId="77777777" w:rsidR="000A7DF6" w:rsidRPr="003477E0"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Kterákoli ze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740CA28A" w14:textId="77777777" w:rsidR="000A7DF6" w:rsidRPr="003477E0"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Pokud to stávající zákony nezakazují, Deloitte nebo Klient mohou tuto Smlouvu ukončit s okamžitou účinností písemnou výpovědí v případě, že (i) druhá strana podala návrh na vyhlášení moratoria nebo vlastní insolvenční návrh, (</w:t>
      </w:r>
      <w:proofErr w:type="spellStart"/>
      <w:r w:rsidRPr="003477E0">
        <w:rPr>
          <w:rFonts w:asciiTheme="minorHAnsi" w:hAnsiTheme="minorHAnsi" w:cstheme="minorHAnsi"/>
          <w:sz w:val="16"/>
          <w:szCs w:val="16"/>
          <w:lang w:val="cs-CZ"/>
        </w:rPr>
        <w:t>ii</w:t>
      </w:r>
      <w:proofErr w:type="spellEnd"/>
      <w:r w:rsidRPr="003477E0">
        <w:rPr>
          <w:rFonts w:asciiTheme="minorHAnsi" w:hAnsiTheme="minorHAnsi" w:cstheme="minorHAnsi"/>
          <w:sz w:val="16"/>
          <w:szCs w:val="16"/>
          <w:lang w:val="cs-CZ"/>
        </w:rPr>
        <w:t>) byl na druhou stranu prohlášen konkurs nebo byla druhá strana prohlášena za nesolventní (předluženou) příslušným úřadem (soudem) z důvodu platební neschopnosti nebo předluženosti, nebo (</w:t>
      </w:r>
      <w:proofErr w:type="spellStart"/>
      <w:r w:rsidRPr="003477E0">
        <w:rPr>
          <w:rFonts w:asciiTheme="minorHAnsi" w:hAnsiTheme="minorHAnsi" w:cstheme="minorHAnsi"/>
          <w:sz w:val="16"/>
          <w:szCs w:val="16"/>
          <w:lang w:val="cs-CZ"/>
        </w:rPr>
        <w:t>iii</w:t>
      </w:r>
      <w:proofErr w:type="spellEnd"/>
      <w:r w:rsidRPr="003477E0">
        <w:rPr>
          <w:rFonts w:asciiTheme="minorHAnsi" w:hAnsiTheme="minorHAnsi" w:cstheme="minorHAnsi"/>
          <w:sz w:val="16"/>
          <w:szCs w:val="16"/>
          <w:lang w:val="cs-CZ"/>
        </w:rPr>
        <w:t>) byl zamítnut návrh na prohlášení insolvence proti ní z důvodu nedostatečného majetku, nebo (</w:t>
      </w:r>
      <w:proofErr w:type="spellStart"/>
      <w:r w:rsidRPr="003477E0">
        <w:rPr>
          <w:rFonts w:asciiTheme="minorHAnsi" w:hAnsiTheme="minorHAnsi" w:cstheme="minorHAnsi"/>
          <w:sz w:val="16"/>
          <w:szCs w:val="16"/>
          <w:lang w:val="cs-CZ"/>
        </w:rPr>
        <w:t>iv</w:t>
      </w:r>
      <w:proofErr w:type="spellEnd"/>
      <w:r w:rsidRPr="003477E0">
        <w:rPr>
          <w:rFonts w:asciiTheme="minorHAnsi" w:hAnsiTheme="minorHAnsi" w:cstheme="minorHAnsi"/>
          <w:sz w:val="16"/>
          <w:szCs w:val="16"/>
          <w:lang w:val="cs-CZ"/>
        </w:rPr>
        <w:t xml:space="preserve">) jsou její aktiva předmětem obstavení hmotného majetku nebo (v) je v likvidaci. </w:t>
      </w:r>
    </w:p>
    <w:p w14:paraId="23C47814" w14:textId="77777777" w:rsidR="000A7DF6" w:rsidRPr="003477E0"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 </w:t>
      </w:r>
    </w:p>
    <w:p w14:paraId="433F5921" w14:textId="77777777" w:rsidR="000A7DF6" w:rsidRPr="003477E0" w:rsidRDefault="000A7DF6" w:rsidP="000A7DF6">
      <w:pPr>
        <w:numPr>
          <w:ilvl w:val="0"/>
          <w:numId w:val="16"/>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704B13DD"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Vlastnictví majetku Deloitte </w:t>
      </w:r>
    </w:p>
    <w:p w14:paraId="0B45ED10" w14:textId="77777777" w:rsidR="000A7DF6" w:rsidRPr="003477E0" w:rsidRDefault="000A7DF6" w:rsidP="000A7DF6">
      <w:pPr>
        <w:pStyle w:val="Odstavecseseznamem"/>
        <w:keepLines w:val="0"/>
        <w:numPr>
          <w:ilvl w:val="0"/>
          <w:numId w:val="17"/>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Výstupu, jenž má výslovné povolení používat Výstup. Klient nebude (i) zveřejňovat a kopírovat Výstupy a související dokumentaci (k jiným než k interním účelům), (</w:t>
      </w:r>
      <w:proofErr w:type="spellStart"/>
      <w:r w:rsidRPr="003477E0">
        <w:rPr>
          <w:rFonts w:asciiTheme="minorHAnsi" w:hAnsiTheme="minorHAnsi" w:cstheme="minorHAnsi"/>
          <w:sz w:val="16"/>
          <w:szCs w:val="16"/>
        </w:rPr>
        <w:t>ii</w:t>
      </w:r>
      <w:proofErr w:type="spellEnd"/>
      <w:r w:rsidRPr="003477E0">
        <w:rPr>
          <w:rFonts w:asciiTheme="minorHAnsi" w:hAnsiTheme="minorHAnsi" w:cstheme="minorHAnsi"/>
          <w:sz w:val="16"/>
          <w:szCs w:val="16"/>
        </w:rPr>
        <w:t>) zveřejňovat, modifikovat nebo vytvářet vylepšené verze Výstupů, (</w:t>
      </w:r>
      <w:proofErr w:type="spellStart"/>
      <w:r w:rsidRPr="003477E0">
        <w:rPr>
          <w:rFonts w:asciiTheme="minorHAnsi" w:hAnsiTheme="minorHAnsi" w:cstheme="minorHAnsi"/>
          <w:sz w:val="16"/>
          <w:szCs w:val="16"/>
        </w:rPr>
        <w:t>iii</w:t>
      </w:r>
      <w:proofErr w:type="spellEnd"/>
      <w:r w:rsidRPr="003477E0">
        <w:rPr>
          <w:rFonts w:asciiTheme="minorHAnsi" w:hAnsiTheme="minorHAnsi" w:cstheme="minorHAnsi"/>
          <w:sz w:val="16"/>
          <w:szCs w:val="16"/>
        </w:rPr>
        <w:t>) měnit, slučovat, modifikovat, upravovat nebo překládat Výstupy, (</w:t>
      </w:r>
      <w:proofErr w:type="spellStart"/>
      <w:r w:rsidRPr="003477E0">
        <w:rPr>
          <w:rFonts w:asciiTheme="minorHAnsi" w:hAnsiTheme="minorHAnsi" w:cstheme="minorHAnsi"/>
          <w:sz w:val="16"/>
          <w:szCs w:val="16"/>
        </w:rPr>
        <w:t>iv</w:t>
      </w:r>
      <w:proofErr w:type="spellEnd"/>
      <w:r w:rsidRPr="003477E0">
        <w:rPr>
          <w:rFonts w:asciiTheme="minorHAnsi" w:hAnsiTheme="minorHAnsi" w:cstheme="minorHAnsi"/>
          <w:sz w:val="16"/>
          <w:szCs w:val="16"/>
        </w:rPr>
        <w:t xml:space="preserve">) provádět </w:t>
      </w:r>
      <w:proofErr w:type="spellStart"/>
      <w:r w:rsidRPr="003477E0">
        <w:rPr>
          <w:rFonts w:asciiTheme="minorHAnsi" w:hAnsiTheme="minorHAnsi" w:cstheme="minorHAnsi"/>
          <w:sz w:val="16"/>
          <w:szCs w:val="16"/>
        </w:rPr>
        <w:t>dekompilaci</w:t>
      </w:r>
      <w:proofErr w:type="spellEnd"/>
      <w:r w:rsidRPr="003477E0">
        <w:rPr>
          <w:rFonts w:asciiTheme="minorHAnsi" w:hAnsiTheme="minorHAnsi" w:cstheme="minorHAnsi"/>
          <w:sz w:val="16"/>
          <w:szCs w:val="16"/>
        </w:rPr>
        <w:t>, demontáž nebo reverzní inženýrství Výstupu jako celku nebo části, provádět převod ze zdrojového kódu Výstupů, (v) používat, kopírovat, reprodukovat, psát nebo vytvářet jakýkoli odvozený výtvor nebo jiný výtvor založený na celém Výstupu nebo jeho části, (</w:t>
      </w:r>
      <w:proofErr w:type="spellStart"/>
      <w:r w:rsidRPr="003477E0">
        <w:rPr>
          <w:rFonts w:asciiTheme="minorHAnsi" w:hAnsiTheme="minorHAnsi" w:cstheme="minorHAnsi"/>
          <w:sz w:val="16"/>
          <w:szCs w:val="16"/>
        </w:rPr>
        <w:t>vi</w:t>
      </w:r>
      <w:proofErr w:type="spellEnd"/>
      <w:r w:rsidRPr="003477E0">
        <w:rPr>
          <w:rFonts w:asciiTheme="minorHAnsi" w:hAnsiTheme="minorHAnsi" w:cstheme="minorHAnsi"/>
          <w:sz w:val="16"/>
          <w:szCs w:val="16"/>
        </w:rPr>
        <w:t>) měnit, zpracovávat a kombinovat Výstup s jinými výtvory a používat Výstup v kombinaci s jinými výtvory, (</w:t>
      </w:r>
      <w:proofErr w:type="spellStart"/>
      <w:r w:rsidRPr="003477E0">
        <w:rPr>
          <w:rFonts w:asciiTheme="minorHAnsi" w:hAnsiTheme="minorHAnsi" w:cstheme="minorHAnsi"/>
          <w:sz w:val="16"/>
          <w:szCs w:val="16"/>
        </w:rPr>
        <w:t>vii</w:t>
      </w:r>
      <w:proofErr w:type="spellEnd"/>
      <w:r w:rsidRPr="003477E0">
        <w:rPr>
          <w:rFonts w:asciiTheme="minorHAnsi" w:hAnsiTheme="minorHAnsi" w:cstheme="minorHAnsi"/>
          <w:sz w:val="16"/>
          <w:szCs w:val="16"/>
        </w:rPr>
        <w:t xml:space="preserve">) pronajímat </w:t>
      </w:r>
      <w:r w:rsidRPr="003477E0">
        <w:rPr>
          <w:rFonts w:asciiTheme="minorHAnsi" w:hAnsiTheme="minorHAnsi" w:cstheme="minorHAnsi"/>
          <w:sz w:val="16"/>
          <w:szCs w:val="16"/>
        </w:rPr>
        <w:lastRenderedPageBreak/>
        <w:t>a/nebo půjčovat Výstup a související dokumentaci nebo jejich kopie třetím stranám, a (</w:t>
      </w:r>
      <w:proofErr w:type="spellStart"/>
      <w:r w:rsidRPr="003477E0">
        <w:rPr>
          <w:rFonts w:asciiTheme="minorHAnsi" w:hAnsiTheme="minorHAnsi" w:cstheme="minorHAnsi"/>
          <w:sz w:val="16"/>
          <w:szCs w:val="16"/>
        </w:rPr>
        <w:t>viii</w:t>
      </w:r>
      <w:proofErr w:type="spellEnd"/>
      <w:r w:rsidRPr="003477E0">
        <w:rPr>
          <w:rFonts w:asciiTheme="minorHAnsi" w:hAnsiTheme="minorHAnsi" w:cstheme="minorHAnsi"/>
          <w:sz w:val="16"/>
          <w:szCs w:val="16"/>
        </w:rPr>
        <w:t xml:space="preserve">)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a/nebo Oprávněné osoby neuplatnili nebo nezpůsobili,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14A44852" w14:textId="77777777" w:rsidR="000A7DF6" w:rsidRPr="003477E0"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7D772C88" w14:textId="77777777" w:rsidR="000A7DF6" w:rsidRPr="003477E0"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5FF446D4" w14:textId="77777777" w:rsidR="000A7DF6" w:rsidRPr="003477E0"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394E22BC" w14:textId="77777777" w:rsidR="000A7DF6" w:rsidRPr="003477E0"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w:t>
      </w:r>
      <w:r w:rsidRPr="003477E0">
        <w:rPr>
          <w:rFonts w:asciiTheme="minorHAnsi" w:hAnsiTheme="minorHAnsi" w:cstheme="minorHAnsi"/>
          <w:sz w:val="16"/>
          <w:szCs w:val="16"/>
          <w:lang w:val="cs-CZ"/>
        </w:rPr>
        <w:t xml:space="preserve">podobnost s Výstupem, v souladu s podmínkami zachování mlčenlivosti uvedenými v ustanovení čl. 10 níže. </w:t>
      </w:r>
    </w:p>
    <w:p w14:paraId="05975979"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Odpovědnost za škody </w:t>
      </w:r>
    </w:p>
    <w:p w14:paraId="1A501BE6" w14:textId="77777777" w:rsidR="000A7DF6" w:rsidRPr="003477E0" w:rsidRDefault="000A7DF6" w:rsidP="000A7DF6">
      <w:pPr>
        <w:pStyle w:val="Odstavecseseznamem"/>
        <w:keepLines w:val="0"/>
        <w:numPr>
          <w:ilvl w:val="0"/>
          <w:numId w:val="18"/>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w:t>
      </w:r>
      <w:proofErr w:type="spellStart"/>
      <w:r w:rsidRPr="003477E0">
        <w:rPr>
          <w:rFonts w:asciiTheme="minorHAnsi" w:hAnsiTheme="minorHAnsi" w:cstheme="minorHAnsi"/>
          <w:sz w:val="16"/>
          <w:szCs w:val="16"/>
        </w:rPr>
        <w:t>ii</w:t>
      </w:r>
      <w:proofErr w:type="spellEnd"/>
      <w:r w:rsidRPr="003477E0">
        <w:rPr>
          <w:rFonts w:asciiTheme="minorHAnsi" w:hAnsiTheme="minorHAnsi" w:cstheme="minorHAnsi"/>
          <w:sz w:val="16"/>
          <w:szCs w:val="16"/>
        </w:rPr>
        <w:t>)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Pr="003477E0">
        <w:rPr>
          <w:rFonts w:asciiTheme="minorHAnsi" w:hAnsiTheme="minorHAnsi" w:cstheme="minorHAnsi"/>
          <w:b/>
          <w:sz w:val="16"/>
          <w:szCs w:val="16"/>
        </w:rPr>
        <w:t xml:space="preserve"> </w:t>
      </w:r>
      <w:r w:rsidRPr="003477E0">
        <w:rPr>
          <w:rFonts w:asciiTheme="minorHAnsi" w:hAnsiTheme="minorHAnsi" w:cstheme="minorHAnsi"/>
          <w:sz w:val="16"/>
          <w:szCs w:val="16"/>
        </w:rPr>
        <w:t>úmyslného pochybení nebo hrubé nedbalosti Deloitte nebo jakéhokoli Subdodavatele.</w:t>
      </w:r>
    </w:p>
    <w:p w14:paraId="0E4B0F17" w14:textId="77777777" w:rsidR="000A7DF6" w:rsidRPr="003477E0" w:rsidRDefault="000A7DF6" w:rsidP="000A7DF6">
      <w:pPr>
        <w:numPr>
          <w:ilvl w:val="0"/>
          <w:numId w:val="18"/>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708E923C" w14:textId="77777777" w:rsidR="000A7DF6" w:rsidRPr="003477E0" w:rsidRDefault="000A7DF6" w:rsidP="000A7DF6">
      <w:pPr>
        <w:numPr>
          <w:ilvl w:val="0"/>
          <w:numId w:val="18"/>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288D006F" w14:textId="77777777" w:rsidR="000A7DF6" w:rsidRPr="003477E0"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Výstupu vztahovat omezení odpovědnosti stanovené v článku 6 a) výše a bude tedy muset být mezi Příjemce Výstupu rozdělena. Je sjednáno, že takové rozdělení bude zcela záležitostí Příjemců Výstupu, kteří nebudou mít povinnost o rozdělení informovat Deloitte, a to vždy za předpokladu, že pokud (z jakéhokoli důvodu) není takové rozdělení sjednáno, žádný Příjemce Výstupu nebude zpochybňovat platnost, vymahatelnost nebo fungování omezení odpovědnosti na tom základě, že žádné rozdělení sjednáno nebylo. </w:t>
      </w:r>
      <w:r w:rsidRPr="003477E0">
        <w:rPr>
          <w:rFonts w:asciiTheme="minorHAnsi" w:hAnsiTheme="minorHAnsi" w:cstheme="minorHAnsi"/>
          <w:sz w:val="16"/>
          <w:szCs w:val="16"/>
          <w:lang w:val="cs-CZ"/>
        </w:rPr>
        <w:lastRenderedPageBreak/>
        <w:t>Pro odstranění pochybností souhrnná částka takového rozdělení nepřekročí limit platný podle odstavce a)</w:t>
      </w:r>
      <w:r w:rsidRPr="003477E0">
        <w:rPr>
          <w:rFonts w:asciiTheme="minorHAnsi" w:hAnsiTheme="minorHAnsi" w:cstheme="minorHAnsi"/>
          <w:iCs/>
          <w:sz w:val="16"/>
          <w:szCs w:val="16"/>
          <w:lang w:val="cs-CZ"/>
        </w:rPr>
        <w:t xml:space="preserve"> </w:t>
      </w:r>
      <w:r w:rsidRPr="003477E0">
        <w:rPr>
          <w:rFonts w:asciiTheme="minorHAnsi" w:hAnsiTheme="minorHAnsi" w:cstheme="minorHAnsi"/>
          <w:sz w:val="16"/>
          <w:szCs w:val="16"/>
          <w:lang w:val="cs-CZ"/>
        </w:rPr>
        <w:t xml:space="preserve">výše. </w:t>
      </w:r>
    </w:p>
    <w:p w14:paraId="445666E2" w14:textId="77777777" w:rsidR="000A7DF6" w:rsidRPr="003477E0"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41B5CDA9" w14:textId="77777777" w:rsidR="000A7DF6" w:rsidRPr="003477E0"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 </w:t>
      </w:r>
    </w:p>
    <w:p w14:paraId="769F92E6" w14:textId="77777777" w:rsidR="000A7DF6" w:rsidRPr="003477E0"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62D37ED5" w14:textId="77777777" w:rsidR="000A7DF6" w:rsidRPr="003477E0"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 nimi. </w:t>
      </w:r>
    </w:p>
    <w:p w14:paraId="66B5A631"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Záruky </w:t>
      </w:r>
    </w:p>
    <w:p w14:paraId="61B58675" w14:textId="77777777" w:rsidR="000A7DF6" w:rsidRPr="003477E0" w:rsidRDefault="000A7DF6" w:rsidP="000A7DF6">
      <w:pPr>
        <w:pStyle w:val="Odstavecseseznamem"/>
        <w:keepLines w:val="0"/>
        <w:numPr>
          <w:ilvl w:val="0"/>
          <w:numId w:val="19"/>
        </w:numPr>
        <w:tabs>
          <w:tab w:val="clear" w:pos="851"/>
        </w:tabs>
        <w:spacing w:before="0" w:after="120" w:line="120" w:lineRule="atLeast"/>
        <w:ind w:left="568" w:hanging="284"/>
        <w:rPr>
          <w:rFonts w:asciiTheme="minorHAnsi" w:eastAsia="Verdana" w:hAnsiTheme="minorHAnsi" w:cstheme="minorHAnsi"/>
          <w:sz w:val="16"/>
          <w:szCs w:val="16"/>
        </w:rPr>
      </w:pPr>
      <w:r w:rsidRPr="003477E0">
        <w:rPr>
          <w:rFonts w:asciiTheme="minorHAnsi" w:hAnsiTheme="minorHAnsi" w:cstheme="minorHAnsi"/>
          <w:sz w:val="16"/>
          <w:szCs w:val="16"/>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w:t>
      </w:r>
      <w:r w:rsidRPr="003477E0">
        <w:rPr>
          <w:rFonts w:asciiTheme="minorHAnsi" w:eastAsia="Verdana" w:hAnsiTheme="minorHAnsi" w:cstheme="minorHAnsi"/>
          <w:sz w:val="16"/>
          <w:szCs w:val="16"/>
        </w:rPr>
        <w:t xml:space="preserve"> odmítá veškeré záruky obchodovatelnosti či vhodnosti Služeb pro specifický účel.</w:t>
      </w:r>
    </w:p>
    <w:p w14:paraId="0BF41C7C" w14:textId="77777777" w:rsidR="000A7DF6" w:rsidRPr="003477E0"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Klient může požadovat odstranění jakýchkoli vad za předpokladu, že mohou být odstraněny za přiměřenou cenu a že </w:t>
      </w:r>
      <w:r w:rsidRPr="003477E0">
        <w:rPr>
          <w:rFonts w:asciiTheme="minorHAnsi" w:hAnsiTheme="minorHAnsi" w:cstheme="minorHAnsi"/>
          <w:sz w:val="16"/>
          <w:szCs w:val="16"/>
          <w:lang w:val="cs-CZ"/>
        </w:rPr>
        <w:t xml:space="preserve">Klient vady oznámil společnosti Deloitte písemně během třiceti dní anebo během záruční doby specifikované závaznými právními předpisy, přičemž výše uvedená doba začíná v okamžiku přijetí Výstupu a/nebo dodávek Služeb podle článku 2 a) (v) výše. Pokud vada nemůže být napravena nebo je pokus o nápravu vady neúspěšný, Klient může zrušit Smlouvu nebo požadovat snížení Ceny za Služby. </w:t>
      </w:r>
    </w:p>
    <w:p w14:paraId="2EF57CB1" w14:textId="77777777" w:rsidR="000A7DF6" w:rsidRPr="003477E0"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1ABD5C42" w14:textId="77777777" w:rsidR="000A7DF6" w:rsidRPr="003477E0"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 </w:t>
      </w:r>
    </w:p>
    <w:p w14:paraId="6D890E2A"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Vyšší moc </w:t>
      </w:r>
    </w:p>
    <w:p w14:paraId="3DF15852" w14:textId="77777777" w:rsidR="000A7DF6" w:rsidRPr="003477E0" w:rsidRDefault="000A7DF6" w:rsidP="000A7DF6">
      <w:pPr>
        <w:pStyle w:val="Odstavecseseznamem"/>
        <w:keepLines w:val="0"/>
        <w:numPr>
          <w:ilvl w:val="0"/>
          <w:numId w:val="20"/>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6ED60D64" w14:textId="4CF70034" w:rsidR="000A7DF6" w:rsidRPr="003477E0" w:rsidRDefault="000A7DF6" w:rsidP="000A7DF6">
      <w:pPr>
        <w:numPr>
          <w:ilvl w:val="0"/>
          <w:numId w:val="20"/>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w:t>
      </w:r>
      <w:r w:rsidRPr="00A02D95">
        <w:rPr>
          <w:rFonts w:asciiTheme="minorHAnsi" w:hAnsiTheme="minorHAnsi" w:cstheme="minorHAnsi"/>
          <w:sz w:val="16"/>
          <w:szCs w:val="16"/>
          <w:lang w:val="cs-CZ"/>
        </w:rPr>
        <w:fldChar w:fldCharType="begin"/>
      </w:r>
      <w:r w:rsidRPr="003477E0">
        <w:rPr>
          <w:rFonts w:asciiTheme="minorHAnsi" w:hAnsiTheme="minorHAnsi" w:cstheme="minorHAnsi"/>
          <w:sz w:val="16"/>
          <w:szCs w:val="16"/>
          <w:lang w:val="cs-CZ"/>
        </w:rPr>
        <w:instrText xml:space="preserve"> REF Doba \n \h </w:instrText>
      </w:r>
      <w:r w:rsidRPr="00A02D95">
        <w:rPr>
          <w:rFonts w:asciiTheme="minorHAnsi" w:hAnsiTheme="minorHAnsi" w:cstheme="minorHAnsi"/>
          <w:sz w:val="16"/>
          <w:szCs w:val="16"/>
          <w:lang w:val="cs-CZ"/>
        </w:rPr>
      </w:r>
      <w:r w:rsidRPr="00A02D95">
        <w:rPr>
          <w:rFonts w:asciiTheme="minorHAnsi" w:hAnsiTheme="minorHAnsi" w:cstheme="minorHAnsi"/>
          <w:sz w:val="16"/>
          <w:szCs w:val="16"/>
          <w:lang w:val="cs-CZ"/>
        </w:rPr>
        <w:fldChar w:fldCharType="separate"/>
      </w:r>
      <w:r w:rsidR="00222392">
        <w:rPr>
          <w:rFonts w:asciiTheme="minorHAnsi" w:hAnsiTheme="minorHAnsi" w:cstheme="minorHAnsi"/>
          <w:sz w:val="16"/>
          <w:szCs w:val="16"/>
          <w:lang w:val="cs-CZ"/>
        </w:rPr>
        <w:t>4</w:t>
      </w:r>
      <w:r w:rsidRPr="00A02D95">
        <w:rPr>
          <w:rFonts w:asciiTheme="minorHAnsi" w:hAnsiTheme="minorHAnsi" w:cstheme="minorHAnsi"/>
          <w:sz w:val="16"/>
          <w:szCs w:val="16"/>
          <w:lang w:val="cs-CZ"/>
        </w:rPr>
        <w:fldChar w:fldCharType="end"/>
      </w:r>
      <w:r w:rsidRPr="003477E0">
        <w:rPr>
          <w:rFonts w:asciiTheme="minorHAnsi" w:hAnsiTheme="minorHAnsi" w:cstheme="minorHAnsi"/>
          <w:sz w:val="16"/>
          <w:szCs w:val="16"/>
          <w:lang w:val="cs-CZ"/>
        </w:rPr>
        <w:t xml:space="preserve"> výše.</w:t>
      </w:r>
    </w:p>
    <w:p w14:paraId="24CC99BC"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Omezení žalob </w:t>
      </w:r>
    </w:p>
    <w:p w14:paraId="5832840F" w14:textId="77777777" w:rsidR="000A7DF6" w:rsidRPr="00A02D95" w:rsidRDefault="000A7DF6" w:rsidP="000A7DF6">
      <w:pPr>
        <w:spacing w:after="120" w:line="120" w:lineRule="atLeast"/>
        <w:ind w:left="568" w:right="68"/>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25010739"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Důvěrnost informací </w:t>
      </w:r>
    </w:p>
    <w:p w14:paraId="337ECC08" w14:textId="77777777" w:rsidR="000A7DF6" w:rsidRPr="003477E0" w:rsidRDefault="000A7DF6" w:rsidP="000A7DF6">
      <w:pPr>
        <w:pStyle w:val="Odstavecseseznamem"/>
        <w:keepLines w:val="0"/>
        <w:numPr>
          <w:ilvl w:val="0"/>
          <w:numId w:val="21"/>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Pokud v souvislosti s touto Smlouvou Deloitte nebo Klient nebo jakýkoli Příjemce Výstupu, existuje-li („</w:t>
      </w:r>
      <w:proofErr w:type="spellStart"/>
      <w:r w:rsidRPr="003477E0">
        <w:rPr>
          <w:rFonts w:asciiTheme="minorHAnsi" w:hAnsiTheme="minorHAnsi" w:cstheme="minorHAnsi"/>
          <w:sz w:val="16"/>
          <w:szCs w:val="16"/>
        </w:rPr>
        <w:t>příjímající</w:t>
      </w:r>
      <w:proofErr w:type="spellEnd"/>
      <w:r w:rsidRPr="003477E0">
        <w:rPr>
          <w:rFonts w:asciiTheme="minorHAnsi" w:hAnsiTheme="minorHAnsi" w:cstheme="minorHAnsi"/>
          <w:sz w:val="16"/>
          <w:szCs w:val="16"/>
        </w:rPr>
        <w:t xml:space="preserve"> strana“) získá informace související se Službami, obchodním tajemstvím nebo jinými informacemi chráněnými vlastnickým </w:t>
      </w:r>
      <w:r w:rsidRPr="003477E0">
        <w:rPr>
          <w:rFonts w:asciiTheme="minorHAnsi" w:hAnsiTheme="minorHAnsi" w:cstheme="minorHAnsi"/>
          <w:sz w:val="16"/>
          <w:szCs w:val="16"/>
        </w:rPr>
        <w:lastRenderedPageBreak/>
        <w:t xml:space="preserve">právem, které jsou buď označeny sdělující stranou za důvěrné, nebo jsou svou povahou jasně důvěrné („Důvěrné informace“), </w:t>
      </w:r>
      <w:proofErr w:type="spellStart"/>
      <w:r w:rsidRPr="003477E0">
        <w:rPr>
          <w:rFonts w:asciiTheme="minorHAnsi" w:hAnsiTheme="minorHAnsi" w:cstheme="minorHAnsi"/>
          <w:sz w:val="16"/>
          <w:szCs w:val="16"/>
        </w:rPr>
        <w:t>příjímající</w:t>
      </w:r>
      <w:proofErr w:type="spellEnd"/>
      <w:r w:rsidRPr="003477E0">
        <w:rPr>
          <w:rFonts w:asciiTheme="minorHAnsi" w:hAnsiTheme="minorHAnsi" w:cstheme="minorHAnsi"/>
          <w:sz w:val="16"/>
          <w:szCs w:val="16"/>
        </w:rPr>
        <w:t xml:space="preserve"> strana je nesdělí žádné třetí straně bez souhlasu sdělující strany, vyjma právních poradců Klienta nebo Deloitte, a to pouze pro účel získání právní rady nebo pokud to vyžaduje zákon, nařízení, právní nebo správní proces. </w:t>
      </w:r>
    </w:p>
    <w:p w14:paraId="22661CD5" w14:textId="77777777" w:rsidR="000A7DF6" w:rsidRPr="003477E0" w:rsidRDefault="000A7DF6" w:rsidP="000A7DF6">
      <w:pPr>
        <w:numPr>
          <w:ilvl w:val="0"/>
          <w:numId w:val="21"/>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w:t>
      </w:r>
      <w:proofErr w:type="spellStart"/>
      <w:r w:rsidRPr="003477E0">
        <w:rPr>
          <w:rFonts w:asciiTheme="minorHAnsi" w:hAnsiTheme="minorHAnsi" w:cstheme="minorHAnsi"/>
          <w:sz w:val="16"/>
          <w:szCs w:val="16"/>
          <w:lang w:val="cs-CZ"/>
        </w:rPr>
        <w:t>ii</w:t>
      </w:r>
      <w:proofErr w:type="spellEnd"/>
      <w:r w:rsidRPr="003477E0">
        <w:rPr>
          <w:rFonts w:asciiTheme="minorHAnsi" w:hAnsiTheme="minorHAnsi" w:cstheme="minorHAnsi"/>
          <w:sz w:val="16"/>
          <w:szCs w:val="16"/>
          <w:lang w:val="cs-CZ"/>
        </w:rPr>
        <w:t xml:space="preserve">) právním poradcům, auditorům a pojišťovnám, nebo jak může vyžadovat zákon, nařízení, právní nebo správní proces, nebo v souladu s příslušnými profesionálními standardy, nebo v souvislosti s potenciální nebo probíhající  mediací,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426CED9F" w14:textId="77777777" w:rsidR="000A7DF6" w:rsidRPr="003477E0" w:rsidRDefault="000A7DF6" w:rsidP="000A7DF6">
      <w:pPr>
        <w:numPr>
          <w:ilvl w:val="0"/>
          <w:numId w:val="21"/>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w:t>
      </w:r>
      <w:proofErr w:type="spellStart"/>
      <w:r w:rsidRPr="003477E0">
        <w:rPr>
          <w:rFonts w:asciiTheme="minorHAnsi" w:hAnsiTheme="minorHAnsi" w:cstheme="minorHAnsi"/>
          <w:sz w:val="16"/>
          <w:szCs w:val="16"/>
          <w:lang w:val="cs-CZ"/>
        </w:rPr>
        <w:t>ii</w:t>
      </w:r>
      <w:proofErr w:type="spellEnd"/>
      <w:r w:rsidRPr="003477E0">
        <w:rPr>
          <w:rFonts w:asciiTheme="minorHAnsi" w:hAnsiTheme="minorHAnsi" w:cstheme="minorHAnsi"/>
          <w:sz w:val="16"/>
          <w:szCs w:val="16"/>
          <w:lang w:val="cs-CZ"/>
        </w:rPr>
        <w:t>)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w:t>
      </w:r>
      <w:proofErr w:type="spellStart"/>
      <w:r w:rsidRPr="003477E0">
        <w:rPr>
          <w:rFonts w:asciiTheme="minorHAnsi" w:hAnsiTheme="minorHAnsi" w:cstheme="minorHAnsi"/>
          <w:sz w:val="16"/>
          <w:szCs w:val="16"/>
          <w:lang w:val="cs-CZ"/>
        </w:rPr>
        <w:t>iii</w:t>
      </w:r>
      <w:proofErr w:type="spellEnd"/>
      <w:r w:rsidRPr="003477E0">
        <w:rPr>
          <w:rFonts w:asciiTheme="minorHAnsi" w:hAnsiTheme="minorHAnsi" w:cstheme="minorHAnsi"/>
          <w:sz w:val="16"/>
          <w:szCs w:val="16"/>
          <w:lang w:val="cs-CZ"/>
        </w:rPr>
        <w:t xml:space="preserve">) v míře, v jaké jsou uplatňovány daňový zákon USA a </w:t>
      </w:r>
      <w:r w:rsidRPr="003477E0">
        <w:rPr>
          <w:rFonts w:asciiTheme="minorHAnsi" w:hAnsiTheme="minorHAnsi" w:cstheme="minorHAnsi"/>
          <w:sz w:val="16"/>
          <w:szCs w:val="16"/>
          <w:lang w:val="cs-CZ"/>
        </w:rPr>
        <w:t>příslušné pokyny daňové správy související s důvěrnými daňovými útočišti (nebo srovnatelné zákony nebo pokyny jiných daňových úřadů v jiné jurisdikci), kdy v takovém případě neexistují omezení zveřejnění Výstupu, a (</w:t>
      </w:r>
      <w:proofErr w:type="spellStart"/>
      <w:r w:rsidRPr="003477E0">
        <w:rPr>
          <w:rFonts w:asciiTheme="minorHAnsi" w:hAnsiTheme="minorHAnsi" w:cstheme="minorHAnsi"/>
          <w:sz w:val="16"/>
          <w:szCs w:val="16"/>
          <w:lang w:val="cs-CZ"/>
        </w:rPr>
        <w:t>iv</w:t>
      </w:r>
      <w:proofErr w:type="spellEnd"/>
      <w:r w:rsidRPr="003477E0">
        <w:rPr>
          <w:rFonts w:asciiTheme="minorHAnsi" w:hAnsiTheme="minorHAnsi" w:cstheme="minorHAnsi"/>
          <w:sz w:val="16"/>
          <w:szCs w:val="16"/>
          <w:lang w:val="cs-CZ"/>
        </w:rPr>
        <w:t xml:space="preserve">) Klient může zveřejnit Výstup na základě potřeby znalosti jakýmkoli Přidruženým podnikům, které nejsou určeny ve Smluvním dopise, pouze pro informační účely, a to za podmínky, že se Klient zaručuje, že tyto Přidružené podniky budou uchovávat takový Výstup v tajnosti a neuplatní žádný nárok jakéhokoli druhu vůči Společnosti skupiny Deloitte ve vztahu k Výstupu nebo Službám. </w:t>
      </w:r>
    </w:p>
    <w:p w14:paraId="67E4C939" w14:textId="77777777" w:rsidR="000A7DF6" w:rsidRPr="003477E0" w:rsidRDefault="000A7DF6" w:rsidP="000A7DF6">
      <w:pPr>
        <w:numPr>
          <w:ilvl w:val="0"/>
          <w:numId w:val="21"/>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Klient a/nebo Příjemce Výstupu použije Výstup pouze pro účely specifikované ve Smlouvě nebo Výstupu, přičemž není zejména oprávněn</w:t>
      </w:r>
      <w:r w:rsidRPr="003477E0" w:rsidDel="00D9489A">
        <w:rPr>
          <w:rFonts w:asciiTheme="minorHAnsi" w:hAnsiTheme="minorHAnsi" w:cstheme="minorHAnsi"/>
          <w:sz w:val="16"/>
          <w:szCs w:val="16"/>
          <w:lang w:val="cs-CZ"/>
        </w:rPr>
        <w:t xml:space="preserve"> </w:t>
      </w:r>
      <w:r w:rsidRPr="003477E0">
        <w:rPr>
          <w:rFonts w:asciiTheme="minorHAnsi" w:hAnsiTheme="minorHAnsi" w:cstheme="minorHAnsi"/>
          <w:sz w:val="16"/>
          <w:szCs w:val="16"/>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4F086F17" w14:textId="77777777" w:rsidR="000A7DF6" w:rsidRPr="003477E0" w:rsidRDefault="000A7DF6" w:rsidP="000A7DF6">
      <w:pPr>
        <w:numPr>
          <w:ilvl w:val="0"/>
          <w:numId w:val="21"/>
        </w:numPr>
        <w:spacing w:after="120" w:line="120" w:lineRule="atLeast"/>
        <w:ind w:left="568" w:hanging="284"/>
        <w:jc w:val="both"/>
        <w:rPr>
          <w:rFonts w:asciiTheme="minorHAnsi" w:hAnsiTheme="minorHAnsi" w:cstheme="minorHAnsi"/>
          <w:sz w:val="16"/>
          <w:szCs w:val="16"/>
          <w:shd w:val="clear" w:color="auto" w:fill="FFFFFF"/>
          <w:lang w:val="cs-CZ"/>
        </w:rPr>
      </w:pPr>
      <w:r w:rsidRPr="003477E0">
        <w:rPr>
          <w:rFonts w:asciiTheme="minorHAnsi" w:hAnsiTheme="minorHAnsi" w:cstheme="minorHAnsi"/>
          <w:sz w:val="16"/>
          <w:szCs w:val="16"/>
          <w:shd w:val="clear" w:color="auto" w:fill="FFFFFF"/>
          <w:lang w:val="cs-CZ"/>
        </w:rPr>
        <w:t xml:space="preserve">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 </w:t>
      </w:r>
    </w:p>
    <w:p w14:paraId="119AA7F7" w14:textId="77777777" w:rsidR="000A7DF6" w:rsidRPr="003477E0" w:rsidRDefault="000A7DF6" w:rsidP="000A7DF6">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3477E0">
        <w:rPr>
          <w:rFonts w:asciiTheme="minorHAnsi" w:hAnsiTheme="minorHAnsi" w:cstheme="minorHAnsi"/>
          <w:sz w:val="16"/>
          <w:szCs w:val="16"/>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752A63B4" w14:textId="77777777" w:rsidR="000A7DF6" w:rsidRPr="003477E0" w:rsidRDefault="000A7DF6" w:rsidP="000A7DF6">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3477E0">
        <w:rPr>
          <w:rFonts w:asciiTheme="minorHAnsi" w:hAnsiTheme="minorHAnsi" w:cstheme="minorHAnsi"/>
          <w:sz w:val="16"/>
          <w:szCs w:val="16"/>
          <w:shd w:val="clear" w:color="auto" w:fill="FFFFFF"/>
          <w:lang w:val="cs-CZ"/>
        </w:rPr>
        <w:lastRenderedPageBreak/>
        <w:t xml:space="preserve">Klient je oprávněn požadovat, aby určité části Výstupu byly staženy od Příjemců Výstupu, kterým byl Výstup vydán na základě Smlouvy za podmínky, že Klient informuje takové Příjemce Výstupu o skutečnosti, že vydaný Výstup byl editován nebo je neúplný. </w:t>
      </w:r>
    </w:p>
    <w:p w14:paraId="763FDA56"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Platnost a výklad </w:t>
      </w:r>
    </w:p>
    <w:p w14:paraId="0AA80F74" w14:textId="77777777" w:rsidR="000A7DF6" w:rsidRPr="003477E0" w:rsidRDefault="000A7DF6" w:rsidP="000A7DF6">
      <w:pPr>
        <w:pStyle w:val="Odstavecseseznamem"/>
        <w:keepLines w:val="0"/>
        <w:numPr>
          <w:ilvl w:val="0"/>
          <w:numId w:val="22"/>
        </w:numPr>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6C659281" w14:textId="77777777" w:rsidR="000A7DF6" w:rsidRPr="003477E0" w:rsidRDefault="000A7DF6" w:rsidP="000A7DF6">
      <w:pPr>
        <w:numPr>
          <w:ilvl w:val="0"/>
          <w:numId w:val="22"/>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0FB25601" w14:textId="77777777" w:rsidR="000A7DF6" w:rsidRPr="003477E0" w:rsidRDefault="000A7DF6" w:rsidP="000A7DF6">
      <w:pPr>
        <w:numPr>
          <w:ilvl w:val="0"/>
          <w:numId w:val="22"/>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Společnosti skupiny Deloitte jiné než Deloitte jsou považovány za třetí strany, v jejichž prospěch je tato Smlouva sjednána. Každá taková Společnost skupiny Deloitte, včetně Subdodavatele, je oprávněna vymáhat ustanovení této Smlouvy. </w:t>
      </w:r>
    </w:p>
    <w:p w14:paraId="479A10A5"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Postoupení </w:t>
      </w:r>
    </w:p>
    <w:p w14:paraId="7C7D7130" w14:textId="77777777" w:rsidR="000A7DF6" w:rsidRPr="00A02D95" w:rsidRDefault="000A7DF6" w:rsidP="000A7DF6">
      <w:pPr>
        <w:spacing w:after="120" w:line="120" w:lineRule="atLeast"/>
        <w:ind w:left="568" w:right="68"/>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Bez předchozího výslovného písemného souhlasu druhé strany (včetně souhlasu prostřednictvím emailu) nesmí žádná strana tuto Smlouvu postoupit či jinak převést, vyjma toho, že společnost Deloitte smí po předchozím řádném upozornění Klienta postoupit jakákoli ze svých práv a závazků dle této Smlouvy jakékoliv Společnosti skupiny Deloitte či svému právnímu nástupci. Žádná ze stran přímo ani nepřímo neschválí postoupení či převod jakéhokoli Nároku vůči druhé straně vyplývající z této Smlouvy třetí straně, to však neplatí v případě, že je vydáno rozhodnutí o úpadku této druhé strany. </w:t>
      </w:r>
    </w:p>
    <w:p w14:paraId="736C4A2D" w14:textId="77777777" w:rsidR="000A7DF6" w:rsidRPr="00A02D95"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Odškodnění </w:t>
      </w:r>
    </w:p>
    <w:p w14:paraId="1C669769" w14:textId="77777777" w:rsidR="000A7DF6" w:rsidRPr="003477E0" w:rsidRDefault="000A7DF6" w:rsidP="000A7DF6">
      <w:pPr>
        <w:pStyle w:val="Odstavecseseznamem"/>
        <w:keepLines w:val="0"/>
        <w:numPr>
          <w:ilvl w:val="0"/>
          <w:numId w:val="23"/>
        </w:numPr>
        <w:tabs>
          <w:tab w:val="clear" w:pos="851"/>
        </w:tabs>
        <w:spacing w:before="0" w:after="120" w:line="120" w:lineRule="atLeast"/>
        <w:ind w:left="568" w:right="70" w:hanging="284"/>
        <w:rPr>
          <w:rFonts w:asciiTheme="minorHAnsi" w:hAnsiTheme="minorHAnsi" w:cstheme="minorHAnsi"/>
          <w:spacing w:val="-3"/>
          <w:sz w:val="16"/>
          <w:szCs w:val="16"/>
        </w:rPr>
      </w:pPr>
      <w:r w:rsidRPr="003477E0">
        <w:rPr>
          <w:rFonts w:asciiTheme="minorHAnsi" w:hAnsiTheme="minorHAnsi" w:cstheme="minorHAnsi"/>
          <w:spacing w:val="-3"/>
          <w:sz w:val="16"/>
          <w:szCs w:val="16"/>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26CB62C0" w14:textId="77777777" w:rsidR="000A7DF6" w:rsidRPr="003477E0" w:rsidRDefault="000A7DF6" w:rsidP="000A7DF6">
      <w:pPr>
        <w:numPr>
          <w:ilvl w:val="0"/>
          <w:numId w:val="23"/>
        </w:numPr>
        <w:spacing w:after="120" w:line="120" w:lineRule="atLeast"/>
        <w:ind w:left="568" w:right="70" w:hanging="284"/>
        <w:jc w:val="both"/>
        <w:rPr>
          <w:rFonts w:asciiTheme="minorHAnsi" w:hAnsiTheme="minorHAnsi" w:cstheme="minorHAnsi"/>
          <w:spacing w:val="-3"/>
          <w:sz w:val="16"/>
          <w:szCs w:val="16"/>
          <w:lang w:val="cs-CZ"/>
        </w:rPr>
      </w:pPr>
      <w:r w:rsidRPr="003477E0">
        <w:rPr>
          <w:rFonts w:asciiTheme="minorHAnsi" w:hAnsiTheme="minorHAnsi" w:cstheme="minorHAnsi"/>
          <w:spacing w:val="-3"/>
          <w:sz w:val="16"/>
          <w:szCs w:val="16"/>
          <w:lang w:val="cs-CZ"/>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63981DCA"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Elektronická komunikace </w:t>
      </w:r>
    </w:p>
    <w:p w14:paraId="5DBBB781" w14:textId="77777777" w:rsidR="000A7DF6" w:rsidRPr="003477E0" w:rsidRDefault="000A7DF6" w:rsidP="000A7DF6">
      <w:pPr>
        <w:pStyle w:val="Odstavecseseznamem"/>
        <w:keepLines w:val="0"/>
        <w:numPr>
          <w:ilvl w:val="0"/>
          <w:numId w:val="24"/>
        </w:numPr>
        <w:tabs>
          <w:tab w:val="clear" w:pos="851"/>
        </w:tabs>
        <w:spacing w:before="0" w:after="120" w:line="120" w:lineRule="atLeast"/>
        <w:ind w:left="568" w:hanging="284"/>
        <w:rPr>
          <w:rFonts w:asciiTheme="minorHAnsi" w:hAnsiTheme="minorHAnsi" w:cstheme="minorHAnsi"/>
          <w:sz w:val="16"/>
          <w:szCs w:val="16"/>
        </w:rPr>
      </w:pPr>
      <w:r w:rsidRPr="003477E0">
        <w:rPr>
          <w:rFonts w:asciiTheme="minorHAnsi" w:hAnsiTheme="minorHAnsi" w:cstheme="minorHAnsi"/>
          <w:sz w:val="16"/>
          <w:szCs w:val="16"/>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057BCA00" w14:textId="77777777" w:rsidR="000A7DF6" w:rsidRPr="003477E0" w:rsidRDefault="000A7DF6" w:rsidP="000A7DF6">
      <w:pPr>
        <w:numPr>
          <w:ilvl w:val="0"/>
          <w:numId w:val="24"/>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Personál společnosti Deloitte může potřebovat přístup k vlastním systémům a údajům společnosti Deloitte. Klient souhlasí, že povolí (na základě vlastního rozhodnutí) personálu Deloitte používat místní síť </w:t>
      </w:r>
      <w:proofErr w:type="spellStart"/>
      <w:r w:rsidRPr="003477E0">
        <w:rPr>
          <w:rFonts w:asciiTheme="minorHAnsi" w:hAnsiTheme="minorHAnsi" w:cstheme="minorHAnsi"/>
          <w:sz w:val="16"/>
          <w:szCs w:val="16"/>
          <w:lang w:val="cs-CZ"/>
        </w:rPr>
        <w:t>Deloitte</w:t>
      </w:r>
      <w:proofErr w:type="spellEnd"/>
      <w:r w:rsidRPr="003477E0">
        <w:rPr>
          <w:rFonts w:asciiTheme="minorHAnsi" w:hAnsiTheme="minorHAnsi" w:cstheme="minorHAnsi"/>
          <w:sz w:val="16"/>
          <w:szCs w:val="16"/>
          <w:lang w:val="cs-CZ"/>
        </w:rPr>
        <w:t xml:space="preserve"> (</w:t>
      </w:r>
      <w:proofErr w:type="spellStart"/>
      <w:r w:rsidRPr="003477E0">
        <w:rPr>
          <w:rFonts w:asciiTheme="minorHAnsi" w:hAnsiTheme="minorHAnsi" w:cstheme="minorHAnsi"/>
          <w:sz w:val="16"/>
          <w:szCs w:val="16"/>
          <w:lang w:val="cs-CZ"/>
        </w:rPr>
        <w:t>Local</w:t>
      </w:r>
      <w:proofErr w:type="spellEnd"/>
      <w:r w:rsidRPr="003477E0">
        <w:rPr>
          <w:rFonts w:asciiTheme="minorHAnsi" w:hAnsiTheme="minorHAnsi" w:cstheme="minorHAnsi"/>
          <w:sz w:val="16"/>
          <w:szCs w:val="16"/>
          <w:lang w:val="cs-CZ"/>
        </w:rPr>
        <w:t xml:space="preserve">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79011852" w14:textId="77777777" w:rsidR="000A7DF6" w:rsidRPr="003477E0" w:rsidRDefault="000A7DF6" w:rsidP="000A7DF6">
      <w:pPr>
        <w:numPr>
          <w:ilvl w:val="0"/>
          <w:numId w:val="24"/>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w:t>
      </w:r>
      <w:r w:rsidRPr="003477E0">
        <w:rPr>
          <w:rFonts w:asciiTheme="minorHAnsi" w:hAnsiTheme="minorHAnsi" w:cstheme="minorHAnsi"/>
          <w:sz w:val="16"/>
          <w:szCs w:val="16"/>
          <w:lang w:val="cs-CZ"/>
        </w:rPr>
        <w:lastRenderedPageBreak/>
        <w:t xml:space="preserve">jakýchkoli zaměstnanců Společnosti skupiny Deloitte k sítím, aplikacím, elektronickým datům a jiným systémům Skupiny Klienta. </w:t>
      </w:r>
    </w:p>
    <w:p w14:paraId="3A0EF614" w14:textId="77777777" w:rsidR="000A7DF6" w:rsidRPr="003477E0" w:rsidRDefault="000A7DF6" w:rsidP="000A7DF6">
      <w:pPr>
        <w:pStyle w:val="Odstavecseseznamem"/>
        <w:keepNext/>
        <w:keepLines w:val="0"/>
        <w:numPr>
          <w:ilvl w:val="0"/>
          <w:numId w:val="12"/>
        </w:numPr>
        <w:tabs>
          <w:tab w:val="clear" w:pos="851"/>
        </w:tabs>
        <w:spacing w:before="0" w:after="120" w:line="120" w:lineRule="atLeast"/>
        <w:ind w:left="568" w:hanging="284"/>
        <w:outlineLvl w:val="0"/>
        <w:rPr>
          <w:rFonts w:asciiTheme="minorHAnsi" w:hAnsiTheme="minorHAnsi" w:cstheme="minorHAnsi"/>
          <w:b/>
          <w:kern w:val="28"/>
          <w:sz w:val="16"/>
          <w:szCs w:val="16"/>
        </w:rPr>
      </w:pPr>
      <w:r w:rsidRPr="003477E0">
        <w:rPr>
          <w:rFonts w:asciiTheme="minorHAnsi" w:hAnsiTheme="minorHAnsi" w:cstheme="minorHAnsi"/>
          <w:b/>
          <w:kern w:val="28"/>
          <w:sz w:val="16"/>
          <w:szCs w:val="16"/>
        </w:rPr>
        <w:t xml:space="preserve">Úplná smlouva, úprava a účinnost </w:t>
      </w:r>
    </w:p>
    <w:p w14:paraId="6B033381" w14:textId="77777777" w:rsidR="000A7DF6" w:rsidRPr="003477E0" w:rsidRDefault="000A7DF6" w:rsidP="000A7DF6">
      <w:pPr>
        <w:spacing w:after="120" w:line="120" w:lineRule="atLeast"/>
        <w:ind w:left="568"/>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Žádná skutečnost diskutovaná před podpisem této Smlouvy</w:t>
      </w:r>
      <w:r w:rsidRPr="003477E0" w:rsidDel="00227A07">
        <w:rPr>
          <w:rFonts w:asciiTheme="minorHAnsi" w:hAnsiTheme="minorHAnsi" w:cstheme="minorHAnsi"/>
          <w:sz w:val="16"/>
          <w:szCs w:val="16"/>
          <w:lang w:val="cs-CZ"/>
        </w:rPr>
        <w:t xml:space="preserve"> </w:t>
      </w:r>
      <w:r w:rsidRPr="003477E0">
        <w:rPr>
          <w:rFonts w:asciiTheme="minorHAnsi" w:hAnsiTheme="minorHAnsi" w:cstheme="minorHAnsi"/>
          <w:sz w:val="16"/>
          <w:szCs w:val="16"/>
          <w:lang w:val="cs-CZ"/>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74DBDEAF"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Ostatní klienti </w:t>
      </w:r>
    </w:p>
    <w:p w14:paraId="31FAE579" w14:textId="77777777" w:rsidR="000A7DF6" w:rsidRPr="003477E0"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01421D37"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Personál </w:t>
      </w:r>
    </w:p>
    <w:p w14:paraId="60677AAE" w14:textId="77777777" w:rsidR="000A7DF6" w:rsidRPr="00A02D95" w:rsidRDefault="000A7DF6" w:rsidP="000A7DF6">
      <w:pPr>
        <w:spacing w:after="120" w:line="120" w:lineRule="atLeast"/>
        <w:ind w:left="568" w:right="70" w:hanging="284"/>
        <w:jc w:val="both"/>
        <w:rPr>
          <w:rFonts w:asciiTheme="minorHAnsi" w:hAnsiTheme="minorHAnsi" w:cstheme="minorHAnsi"/>
          <w:sz w:val="16"/>
          <w:szCs w:val="16"/>
          <w:lang w:val="cs-CZ"/>
        </w:rPr>
      </w:pPr>
      <w:r w:rsidRPr="00A02D95">
        <w:rPr>
          <w:rFonts w:asciiTheme="minorHAnsi" w:hAnsiTheme="minorHAnsi" w:cstheme="minorHAnsi"/>
          <w:sz w:val="16"/>
          <w:szCs w:val="16"/>
          <w:lang w:val="cs-CZ"/>
        </w:rPr>
        <w:t>a)</w:t>
      </w:r>
      <w:r w:rsidRPr="00A02D95">
        <w:rPr>
          <w:rFonts w:asciiTheme="minorHAnsi" w:hAnsiTheme="minorHAnsi" w:cstheme="minorHAnsi"/>
          <w:sz w:val="16"/>
          <w:szCs w:val="16"/>
          <w:lang w:val="cs-CZ"/>
        </w:rPr>
        <w:tab/>
        <w:t xml:space="preserve">Pokud Služby poskytované Klientovi nevyžadují stálou přítomnost personálu Deloitte, společnost Deloitte si vyhrazuje právo používat personál Deloitte pro další činnosti. </w:t>
      </w:r>
    </w:p>
    <w:p w14:paraId="7CDA4BC9" w14:textId="77777777" w:rsidR="000A7DF6" w:rsidRPr="003477E0" w:rsidRDefault="000A7DF6" w:rsidP="000A7DF6">
      <w:pPr>
        <w:pStyle w:val="Odstavecseseznamem"/>
        <w:keepLines w:val="0"/>
        <w:tabs>
          <w:tab w:val="clear" w:pos="851"/>
        </w:tabs>
        <w:spacing w:before="0" w:after="120" w:line="120" w:lineRule="atLeast"/>
        <w:ind w:left="568" w:right="70" w:hanging="284"/>
        <w:rPr>
          <w:rFonts w:asciiTheme="minorHAnsi" w:hAnsiTheme="minorHAnsi" w:cstheme="minorHAnsi"/>
          <w:sz w:val="16"/>
          <w:szCs w:val="16"/>
        </w:rPr>
      </w:pPr>
      <w:r w:rsidRPr="003477E0">
        <w:rPr>
          <w:rFonts w:asciiTheme="minorHAnsi" w:hAnsiTheme="minorHAnsi" w:cstheme="minorHAnsi"/>
          <w:sz w:val="16"/>
          <w:szCs w:val="16"/>
        </w:rPr>
        <w:t>b)</w:t>
      </w:r>
      <w:r w:rsidRPr="003477E0">
        <w:rPr>
          <w:rFonts w:asciiTheme="minorHAnsi" w:hAnsiTheme="minorHAnsi" w:cstheme="minorHAnsi"/>
          <w:sz w:val="16"/>
          <w:szCs w:val="16"/>
        </w:rPr>
        <w:tab/>
        <w:t xml:space="preserve">Deloitte si vyhrazuje právo nahradit jakýkoli personál Deloitte. </w:t>
      </w:r>
    </w:p>
    <w:p w14:paraId="5D9A5CDF" w14:textId="77777777" w:rsidR="000A7DF6" w:rsidRPr="003477E0" w:rsidRDefault="000A7DF6" w:rsidP="000A7DF6">
      <w:pPr>
        <w:numPr>
          <w:ilvl w:val="0"/>
          <w:numId w:val="23"/>
        </w:numPr>
        <w:spacing w:after="120" w:line="120" w:lineRule="atLeast"/>
        <w:ind w:left="568" w:right="70"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Personál Deloitte zůstane neustále pod dohledem a kontrolou Deloitte, pokud Klientovi nebude uděleno pověření dávat personálu Deloitte pokyny. V takovém případě Deloitte nenese žádnou odpovědnost za poskytování Služeb, které </w:t>
      </w:r>
      <w:r w:rsidRPr="003477E0">
        <w:rPr>
          <w:rFonts w:asciiTheme="minorHAnsi" w:hAnsiTheme="minorHAnsi" w:cstheme="minorHAnsi"/>
          <w:sz w:val="16"/>
          <w:szCs w:val="16"/>
          <w:lang w:val="cs-CZ"/>
        </w:rPr>
        <w:t xml:space="preserve">nebyly schváleny a/nebo revidovány společností Deloitte. </w:t>
      </w:r>
    </w:p>
    <w:p w14:paraId="05E9C4C9"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Likvidace pracovní dokumentace </w:t>
      </w:r>
    </w:p>
    <w:p w14:paraId="742F0A77"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Deloitte si může ponechat kopie dokumentů a složek poskytnutých skupinou Klienta v souvislosti se Službami pro účely splnění příslušných zákonů, profesionálních standardů a interních postupů pro uchovávání </w:t>
      </w:r>
      <w:r w:rsidRPr="003477E0">
        <w:rPr>
          <w:rFonts w:asciiTheme="minorHAnsi" w:hAnsiTheme="minorHAnsi" w:cstheme="minorHAnsi"/>
          <w:sz w:val="16"/>
          <w:szCs w:val="16"/>
          <w:lang w:val="cs-CZ"/>
        </w:rPr>
        <w:t>údajů</w:t>
      </w:r>
      <w:r w:rsidRPr="00A02D95">
        <w:rPr>
          <w:rFonts w:asciiTheme="minorHAnsi" w:hAnsiTheme="minorHAnsi" w:cstheme="minorHAnsi"/>
          <w:sz w:val="16"/>
          <w:szCs w:val="16"/>
          <w:lang w:val="cs-CZ"/>
        </w:rPr>
        <w:t>. Dokumentace související se zakázkou, včetně Osobních údajů, tak jak jsou definovány v článku 21 těchto Obchodních podmínek, a Důvěrných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p>
    <w:p w14:paraId="4BB160F4" w14:textId="77777777" w:rsidR="000A7DF6" w:rsidRPr="00A02D95"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Marketing a použití jména </w:t>
      </w:r>
    </w:p>
    <w:p w14:paraId="6EE155DE"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a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xml:space="preserve">) v interních datových systémech. </w:t>
      </w:r>
    </w:p>
    <w:p w14:paraId="55A80EB2"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Sestavy, modely a nástroje </w:t>
      </w:r>
    </w:p>
    <w:p w14:paraId="2B48B5FB"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V průběhu poskytování Služeb může Deloitte odkazovat na sestavy, modely nebo nástroje (společně „Modely“), které Klient poskytuje společnosti </w:t>
      </w:r>
      <w:r w:rsidRPr="003477E0">
        <w:rPr>
          <w:rFonts w:asciiTheme="minorHAnsi" w:hAnsiTheme="minorHAnsi" w:cstheme="minorHAnsi"/>
          <w:sz w:val="16"/>
          <w:szCs w:val="16"/>
          <w:lang w:val="cs-CZ"/>
        </w:rPr>
        <w:t>Deloitte</w:t>
      </w:r>
      <w:r w:rsidRPr="00A02D95">
        <w:rPr>
          <w:rFonts w:asciiTheme="minorHAnsi" w:hAnsiTheme="minorHAnsi" w:cstheme="minorHAnsi"/>
          <w:sz w:val="16"/>
          <w:szCs w:val="16"/>
          <w:lang w:val="cs-CZ"/>
        </w:rPr>
        <w:t xml:space="preserv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nemusí být zjištěny. Není-li ve Smlouvě výslovně sjednáno jinak: (i) společnost Deloitte nebude odpovědná za revizi, testování nebo detekci chyb v Modelech Klienta,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xml:space="preserve">) žádný Model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nebude poskytnut nebo používán jako Výstup, a (</w:t>
      </w:r>
      <w:proofErr w:type="spellStart"/>
      <w:r w:rsidRPr="00A02D95">
        <w:rPr>
          <w:rFonts w:asciiTheme="minorHAnsi" w:hAnsiTheme="minorHAnsi" w:cstheme="minorHAnsi"/>
          <w:sz w:val="16"/>
          <w:szCs w:val="16"/>
          <w:lang w:val="cs-CZ"/>
        </w:rPr>
        <w:t>iii</w:t>
      </w:r>
      <w:proofErr w:type="spellEnd"/>
      <w:r w:rsidRPr="00A02D95">
        <w:rPr>
          <w:rFonts w:asciiTheme="minorHAnsi" w:hAnsiTheme="minorHAnsi" w:cstheme="minorHAnsi"/>
          <w:sz w:val="16"/>
          <w:szCs w:val="16"/>
          <w:lang w:val="cs-CZ"/>
        </w:rPr>
        <w:t xml:space="preserve">) pokud </w:t>
      </w:r>
      <w:proofErr w:type="spellStart"/>
      <w:r w:rsidRPr="00A02D95">
        <w:rPr>
          <w:rFonts w:asciiTheme="minorHAnsi" w:hAnsiTheme="minorHAnsi" w:cstheme="minorHAnsi"/>
          <w:sz w:val="16"/>
          <w:szCs w:val="16"/>
          <w:lang w:val="cs-CZ"/>
        </w:rPr>
        <w:t>Deloitte</w:t>
      </w:r>
      <w:proofErr w:type="spellEnd"/>
      <w:r w:rsidRPr="00A02D95">
        <w:rPr>
          <w:rFonts w:asciiTheme="minorHAnsi" w:hAnsiTheme="minorHAnsi" w:cstheme="minorHAnsi"/>
          <w:sz w:val="16"/>
          <w:szCs w:val="16"/>
          <w:lang w:val="cs-CZ"/>
        </w:rPr>
        <w:t xml:space="preserv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14:paraId="1F7A2691"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Ochrana osobních údajů</w:t>
      </w:r>
    </w:p>
    <w:p w14:paraId="2C264DFC" w14:textId="77777777" w:rsidR="000A7DF6" w:rsidRPr="003477E0" w:rsidRDefault="000A7DF6" w:rsidP="000A7DF6">
      <w:pPr>
        <w:pStyle w:val="Odstavecseseznamem"/>
        <w:keepNext/>
        <w:keepLines w:val="0"/>
        <w:numPr>
          <w:ilvl w:val="0"/>
          <w:numId w:val="25"/>
        </w:numPr>
        <w:tabs>
          <w:tab w:val="clear" w:pos="851"/>
        </w:tabs>
        <w:spacing w:before="0" w:after="120" w:line="120" w:lineRule="atLeast"/>
        <w:ind w:left="568" w:hanging="284"/>
        <w:outlineLvl w:val="0"/>
        <w:rPr>
          <w:rFonts w:asciiTheme="minorHAnsi" w:hAnsiTheme="minorHAnsi"/>
          <w:b/>
          <w:sz w:val="16"/>
          <w:szCs w:val="16"/>
        </w:rPr>
      </w:pPr>
      <w:r w:rsidRPr="003477E0">
        <w:rPr>
          <w:rFonts w:asciiTheme="minorHAnsi" w:hAnsiTheme="minorHAnsi"/>
          <w:b/>
          <w:sz w:val="16"/>
          <w:szCs w:val="16"/>
        </w:rPr>
        <w:t>Definice</w:t>
      </w:r>
    </w:p>
    <w:p w14:paraId="548A970F" w14:textId="77777777" w:rsidR="000A7DF6" w:rsidRPr="003477E0" w:rsidRDefault="000A7DF6" w:rsidP="000A7DF6">
      <w:pPr>
        <w:keepNext/>
        <w:spacing w:after="120" w:line="120" w:lineRule="atLeast"/>
        <w:ind w:left="568" w:right="70" w:hanging="284"/>
        <w:jc w:val="both"/>
        <w:outlineLvl w:val="0"/>
        <w:rPr>
          <w:rFonts w:asciiTheme="minorHAnsi" w:hAnsiTheme="minorHAnsi" w:cstheme="minorHAnsi"/>
          <w:sz w:val="16"/>
          <w:szCs w:val="16"/>
          <w:lang w:val="cs-CZ"/>
        </w:rPr>
      </w:pPr>
      <w:r w:rsidRPr="003477E0">
        <w:rPr>
          <w:rFonts w:asciiTheme="minorHAnsi" w:hAnsiTheme="minorHAnsi" w:cstheme="minorHAnsi"/>
          <w:sz w:val="16"/>
          <w:szCs w:val="16"/>
          <w:lang w:val="cs-CZ"/>
        </w:rPr>
        <w:tab/>
        <w:t xml:space="preserve">„Osobní údaje“ označují jakékoliv osobní údaje, jak jsou definovány Právními předpisy v oblasti ochrany osobních údajů, které jsou zpracovávány v rámci </w:t>
      </w:r>
      <w:r w:rsidRPr="003477E0">
        <w:rPr>
          <w:rFonts w:asciiTheme="minorHAnsi" w:hAnsiTheme="minorHAnsi" w:cstheme="minorHAnsi"/>
          <w:sz w:val="16"/>
          <w:szCs w:val="16"/>
          <w:lang w:val="cs-CZ"/>
        </w:rPr>
        <w:lastRenderedPageBreak/>
        <w:t xml:space="preserve">poskytování Služeb nebo v souvislosti s poskytováním Služeb. </w:t>
      </w:r>
    </w:p>
    <w:p w14:paraId="63D20479" w14:textId="77777777" w:rsidR="000A7DF6" w:rsidRPr="003477E0" w:rsidRDefault="000A7DF6" w:rsidP="000A7DF6">
      <w:pPr>
        <w:spacing w:after="120" w:line="120" w:lineRule="atLeast"/>
        <w:ind w:left="568" w:right="70" w:hanging="284"/>
        <w:jc w:val="both"/>
        <w:outlineLvl w:val="0"/>
        <w:rPr>
          <w:rFonts w:asciiTheme="minorHAnsi" w:hAnsiTheme="minorHAnsi" w:cstheme="minorHAnsi"/>
          <w:sz w:val="16"/>
          <w:szCs w:val="16"/>
          <w:lang w:val="cs-CZ"/>
        </w:rPr>
      </w:pPr>
      <w:r w:rsidRPr="003477E0">
        <w:rPr>
          <w:rFonts w:asciiTheme="minorHAnsi" w:hAnsiTheme="minorHAnsi" w:cstheme="minorHAnsi"/>
          <w:sz w:val="16"/>
          <w:szCs w:val="16"/>
          <w:lang w:val="cs-CZ"/>
        </w:rPr>
        <w:tab/>
        <w:t xml:space="preserve">„Právní předpisy v oblasti ochrany osobních údajů“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0B0270A0" w14:textId="77777777" w:rsidR="000A7DF6" w:rsidRPr="003477E0" w:rsidRDefault="000A7DF6" w:rsidP="000A7DF6">
      <w:pPr>
        <w:pStyle w:val="Odstavecseseznamem"/>
        <w:spacing w:before="0" w:after="120" w:line="120" w:lineRule="atLeast"/>
        <w:ind w:left="568" w:right="70" w:hanging="284"/>
        <w:outlineLvl w:val="0"/>
        <w:rPr>
          <w:rFonts w:asciiTheme="minorHAnsi" w:hAnsiTheme="minorHAnsi" w:cstheme="minorHAnsi"/>
          <w:sz w:val="16"/>
          <w:szCs w:val="16"/>
        </w:rPr>
      </w:pPr>
      <w:r w:rsidRPr="003477E0">
        <w:rPr>
          <w:rFonts w:asciiTheme="minorHAnsi" w:hAnsiTheme="minorHAnsi" w:cstheme="minorHAnsi"/>
          <w:sz w:val="16"/>
          <w:szCs w:val="16"/>
        </w:rPr>
        <w:tab/>
        <w:t xml:space="preserve"> „Příjemce Osobních údajů“ označuje fyzickou nebo právnickou osobu, orgán veřejné moci, agenturu nebo jiný subjekt, jemuž jsou osobní údaje poskytnuty, jak je dále </w:t>
      </w:r>
      <w:r w:rsidRPr="003477E0">
        <w:rPr>
          <w:rFonts w:asciiTheme="minorHAnsi" w:hAnsiTheme="minorHAnsi" w:cstheme="minorHAnsi"/>
          <w:bCs/>
          <w:sz w:val="16"/>
          <w:szCs w:val="16"/>
        </w:rPr>
        <w:t xml:space="preserve">definován </w:t>
      </w:r>
      <w:r w:rsidRPr="003477E0">
        <w:rPr>
          <w:rFonts w:asciiTheme="minorHAnsi" w:hAnsiTheme="minorHAnsi" w:cstheme="minorHAnsi"/>
          <w:sz w:val="16"/>
          <w:szCs w:val="16"/>
        </w:rPr>
        <w:t>Právními předpisy v oblasti ochrany osobních údajů.</w:t>
      </w:r>
    </w:p>
    <w:p w14:paraId="77A7555B" w14:textId="77777777" w:rsidR="000A7DF6" w:rsidRPr="003477E0" w:rsidRDefault="000A7DF6" w:rsidP="000A7DF6">
      <w:pPr>
        <w:pStyle w:val="Odstavecseseznamem"/>
        <w:spacing w:before="0" w:after="120" w:line="120" w:lineRule="atLeast"/>
        <w:ind w:left="568" w:right="70" w:hanging="1"/>
        <w:outlineLvl w:val="0"/>
        <w:rPr>
          <w:rFonts w:asciiTheme="minorHAnsi" w:hAnsiTheme="minorHAnsi" w:cstheme="minorHAnsi"/>
          <w:sz w:val="16"/>
          <w:szCs w:val="16"/>
        </w:rPr>
      </w:pPr>
      <w:r w:rsidRPr="003477E0">
        <w:rPr>
          <w:rFonts w:asciiTheme="minorHAnsi" w:hAnsiTheme="minorHAnsi" w:cstheme="minorHAnsi"/>
          <w:sz w:val="16"/>
          <w:szCs w:val="16"/>
        </w:rPr>
        <w:t>„Správce Osobních údajů“ označuje správce nebo správce údajů, jak je definován Právními předpisy v oblasti ochrany osobních údajů.</w:t>
      </w:r>
    </w:p>
    <w:p w14:paraId="69827CD7" w14:textId="77777777" w:rsidR="000A7DF6" w:rsidRPr="003477E0" w:rsidRDefault="000A7DF6" w:rsidP="000A7DF6">
      <w:pPr>
        <w:pStyle w:val="Odstavecseseznamem"/>
        <w:keepLines w:val="0"/>
        <w:tabs>
          <w:tab w:val="clear" w:pos="851"/>
          <w:tab w:val="left" w:pos="709"/>
        </w:tabs>
        <w:spacing w:before="0" w:after="120" w:line="120" w:lineRule="atLeast"/>
        <w:ind w:left="567" w:right="70" w:hanging="283"/>
        <w:outlineLvl w:val="0"/>
        <w:rPr>
          <w:rFonts w:asciiTheme="minorHAnsi" w:hAnsiTheme="minorHAnsi" w:cstheme="minorHAnsi"/>
          <w:sz w:val="16"/>
          <w:szCs w:val="16"/>
        </w:rPr>
      </w:pPr>
      <w:r w:rsidRPr="003477E0">
        <w:rPr>
          <w:rFonts w:asciiTheme="minorHAnsi" w:hAnsiTheme="minorHAnsi" w:cstheme="minorHAnsi"/>
          <w:sz w:val="16"/>
          <w:szCs w:val="16"/>
        </w:rPr>
        <w:tab/>
        <w:t>„Zpracovatel Osobních údajů“ označuje zpracovatele nebo zpracovatele údajů, jak je definován Právními předpisy v oblasti ochrany osobních údajů.</w:t>
      </w:r>
    </w:p>
    <w:p w14:paraId="4DFC3CD0" w14:textId="77777777" w:rsidR="000A7DF6" w:rsidRPr="003477E0" w:rsidRDefault="000A7DF6" w:rsidP="000A7DF6">
      <w:pPr>
        <w:pStyle w:val="Odstavecseseznamem"/>
        <w:numPr>
          <w:ilvl w:val="0"/>
          <w:numId w:val="25"/>
        </w:numPr>
        <w:spacing w:after="120" w:line="120" w:lineRule="atLeast"/>
        <w:ind w:left="567" w:hanging="283"/>
        <w:rPr>
          <w:rFonts w:asciiTheme="minorHAnsi" w:hAnsiTheme="minorHAnsi"/>
          <w:b/>
          <w:sz w:val="16"/>
          <w:szCs w:val="16"/>
        </w:rPr>
      </w:pPr>
      <w:r w:rsidRPr="003477E0">
        <w:rPr>
          <w:rFonts w:asciiTheme="minorHAnsi" w:hAnsiTheme="minorHAnsi"/>
          <w:b/>
          <w:sz w:val="16"/>
          <w:szCs w:val="16"/>
        </w:rPr>
        <w:t>Informace o zpracování Osobních údajů</w:t>
      </w:r>
    </w:p>
    <w:p w14:paraId="60B5E94D" w14:textId="77777777" w:rsidR="000A7DF6" w:rsidRPr="003477E0" w:rsidRDefault="000A7DF6" w:rsidP="000A7DF6">
      <w:pPr>
        <w:pStyle w:val="Odstavecseseznamem"/>
        <w:tabs>
          <w:tab w:val="clear" w:pos="851"/>
          <w:tab w:val="left" w:pos="567"/>
        </w:tabs>
        <w:spacing w:after="120" w:line="120" w:lineRule="atLeast"/>
        <w:ind w:left="567" w:right="70"/>
        <w:rPr>
          <w:rFonts w:asciiTheme="minorHAnsi" w:hAnsiTheme="minorHAnsi"/>
          <w:sz w:val="16"/>
          <w:szCs w:val="16"/>
        </w:rPr>
      </w:pPr>
      <w:r w:rsidRPr="003477E0">
        <w:rPr>
          <w:rFonts w:asciiTheme="minorHAnsi" w:hAnsiTheme="minorHAnsi"/>
          <w:sz w:val="16"/>
          <w:szCs w:val="16"/>
        </w:rPr>
        <w:t>Smluvní strany berou na vědomí, že Osobní údaje poskytnuté Klientem, jeho personálem či zástupci budou zpracovány společností Deloitte jakožto Správcem Osobních údajů pro následující účely, resp. v souvislosti s následujícím: (i) poskytnutí Služeb; (</w:t>
      </w:r>
      <w:proofErr w:type="spellStart"/>
      <w:r w:rsidRPr="003477E0">
        <w:rPr>
          <w:rFonts w:asciiTheme="minorHAnsi" w:hAnsiTheme="minorHAnsi"/>
          <w:sz w:val="16"/>
          <w:szCs w:val="16"/>
        </w:rPr>
        <w:t>ii</w:t>
      </w:r>
      <w:proofErr w:type="spellEnd"/>
      <w:r w:rsidRPr="003477E0">
        <w:rPr>
          <w:rFonts w:asciiTheme="minorHAnsi" w:hAnsiTheme="minorHAnsi"/>
          <w:sz w:val="16"/>
          <w:szCs w:val="16"/>
        </w:rPr>
        <w:t>) zajištění souladu s příslušnými právními, regulatorními nebo profesními požadavky; (</w:t>
      </w:r>
      <w:proofErr w:type="spellStart"/>
      <w:r w:rsidRPr="003477E0">
        <w:rPr>
          <w:rFonts w:asciiTheme="minorHAnsi" w:hAnsiTheme="minorHAnsi"/>
          <w:sz w:val="16"/>
          <w:szCs w:val="16"/>
        </w:rPr>
        <w:t>iii</w:t>
      </w:r>
      <w:proofErr w:type="spellEnd"/>
      <w:r w:rsidRPr="003477E0">
        <w:rPr>
          <w:rFonts w:asciiTheme="minorHAnsi" w:hAnsiTheme="minorHAnsi"/>
          <w:sz w:val="16"/>
          <w:szCs w:val="16"/>
        </w:rPr>
        <w:t>) řešení požadavků nebo komunikací od příslušných orgánů; (</w:t>
      </w:r>
      <w:proofErr w:type="spellStart"/>
      <w:r w:rsidRPr="003477E0">
        <w:rPr>
          <w:rFonts w:asciiTheme="minorHAnsi" w:hAnsiTheme="minorHAnsi"/>
          <w:sz w:val="16"/>
          <w:szCs w:val="16"/>
        </w:rPr>
        <w:t>iv</w:t>
      </w:r>
      <w:proofErr w:type="spellEnd"/>
      <w:r w:rsidRPr="003477E0">
        <w:rPr>
          <w:rFonts w:asciiTheme="minorHAnsi" w:hAnsiTheme="minorHAnsi"/>
          <w:sz w:val="16"/>
          <w:szCs w:val="16"/>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3DC424D6" w14:textId="77777777" w:rsidR="000A7DF6" w:rsidRPr="003477E0" w:rsidRDefault="000A7DF6" w:rsidP="000A7DF6">
      <w:pPr>
        <w:pStyle w:val="Odstavecseseznamem"/>
        <w:spacing w:before="0" w:after="120" w:line="120" w:lineRule="atLeast"/>
        <w:ind w:left="567" w:right="70"/>
        <w:rPr>
          <w:rFonts w:asciiTheme="minorHAnsi" w:hAnsiTheme="minorHAnsi"/>
          <w:sz w:val="16"/>
          <w:szCs w:val="16"/>
        </w:rPr>
      </w:pPr>
      <w:r w:rsidRPr="003477E0">
        <w:rPr>
          <w:rFonts w:asciiTheme="minorHAnsi" w:hAnsiTheme="minorHAnsi"/>
          <w:sz w:val="16"/>
          <w:szCs w:val="16"/>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28C5F4DE" w14:textId="77777777" w:rsidR="000A7DF6" w:rsidRPr="003477E0" w:rsidRDefault="000A7DF6" w:rsidP="000A7DF6">
      <w:pPr>
        <w:pStyle w:val="Odstavecseseznamem"/>
        <w:numPr>
          <w:ilvl w:val="0"/>
          <w:numId w:val="25"/>
        </w:numPr>
        <w:spacing w:before="0" w:after="120" w:line="120" w:lineRule="atLeast"/>
        <w:ind w:left="567" w:right="70" w:hanging="283"/>
        <w:rPr>
          <w:rFonts w:asciiTheme="minorHAnsi" w:hAnsiTheme="minorHAnsi"/>
          <w:sz w:val="16"/>
          <w:szCs w:val="16"/>
        </w:rPr>
      </w:pPr>
      <w:r w:rsidRPr="003477E0">
        <w:rPr>
          <w:rFonts w:asciiTheme="minorHAnsi" w:hAnsiTheme="minorHAnsi"/>
          <w:sz w:val="16"/>
          <w:szCs w:val="16"/>
        </w:rPr>
        <w:t>Článek 21 b)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4D4FBB4B" w14:textId="77777777" w:rsidR="000A7DF6" w:rsidRPr="003477E0" w:rsidRDefault="000A7DF6" w:rsidP="000A7DF6">
      <w:pPr>
        <w:pStyle w:val="Odstavecseseznamem"/>
        <w:numPr>
          <w:ilvl w:val="0"/>
          <w:numId w:val="25"/>
        </w:numPr>
        <w:spacing w:before="0" w:line="120" w:lineRule="atLeast"/>
        <w:ind w:left="568" w:right="68" w:hanging="284"/>
        <w:rPr>
          <w:rFonts w:asciiTheme="minorHAnsi" w:hAnsiTheme="minorHAnsi"/>
          <w:sz w:val="16"/>
          <w:szCs w:val="16"/>
        </w:rPr>
      </w:pPr>
      <w:r w:rsidRPr="003477E0">
        <w:rPr>
          <w:rFonts w:asciiTheme="minorHAnsi" w:hAnsiTheme="minorHAnsi"/>
          <w:sz w:val="16"/>
          <w:szCs w:val="16"/>
        </w:rPr>
        <w:t>Každá smluvní strana musí při zpracování Osobních údajů dodržovat Právní předpisy v oblasti ochrany osobních údajů.</w:t>
      </w:r>
    </w:p>
    <w:p w14:paraId="06D11380" w14:textId="77777777" w:rsidR="000A7DF6" w:rsidRPr="003477E0" w:rsidRDefault="000A7DF6" w:rsidP="000A7DF6">
      <w:pPr>
        <w:pStyle w:val="Odstavecseseznamem"/>
        <w:spacing w:before="0" w:after="120" w:line="120" w:lineRule="atLeast"/>
        <w:ind w:left="568" w:hanging="284"/>
        <w:rPr>
          <w:rFonts w:asciiTheme="minorHAnsi" w:hAnsiTheme="minorHAnsi"/>
          <w:sz w:val="16"/>
          <w:szCs w:val="16"/>
        </w:rPr>
      </w:pPr>
    </w:p>
    <w:p w14:paraId="1DE5D484" w14:textId="77777777" w:rsidR="000A7DF6" w:rsidRPr="00A02D95"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Stejnopisy a jazyk </w:t>
      </w:r>
    </w:p>
    <w:p w14:paraId="15169C94"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Tato Smlouva může být podepsána v jakémkoli počtu stejnopisů (ať jde o stejnopisy ve formě originálu nebo faksimile nebo .</w:t>
      </w:r>
      <w:proofErr w:type="spellStart"/>
      <w:r w:rsidRPr="00A02D95">
        <w:rPr>
          <w:rFonts w:asciiTheme="minorHAnsi" w:hAnsiTheme="minorHAnsi" w:cstheme="minorHAnsi"/>
          <w:sz w:val="16"/>
          <w:szCs w:val="16"/>
          <w:lang w:val="cs-CZ"/>
        </w:rPr>
        <w:t>pdf</w:t>
      </w:r>
      <w:proofErr w:type="spellEnd"/>
      <w:r w:rsidRPr="00A02D95">
        <w:rPr>
          <w:rFonts w:asciiTheme="minorHAnsi" w:hAnsiTheme="minorHAnsi" w:cstheme="minorHAnsi"/>
          <w:sz w:val="16"/>
          <w:szCs w:val="16"/>
          <w:lang w:val="cs-CZ"/>
        </w:rPr>
        <w:t xml:space="preserve"> přílohy k emailu). Každý podepsaný stejnopis bude považován za originál Smlouvy, ale všechny stejnopisy společně tvoří jeden a ten samý nástroj. Pokud existují verze Smlouvy v angličtině a jiném jazyce, v případě nesouladu mezi verzemi je rozhodující verze anglická. </w:t>
      </w:r>
    </w:p>
    <w:p w14:paraId="1F819E54" w14:textId="77777777" w:rsidR="000A7DF6" w:rsidRPr="00A02D95"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Řešení sporů </w:t>
      </w:r>
    </w:p>
    <w:p w14:paraId="4AA3B7B5"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 prostředku. </w:t>
      </w:r>
    </w:p>
    <w:p w14:paraId="05CB87A1" w14:textId="77777777" w:rsidR="000A7DF6" w:rsidRPr="00A02D95"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Rozhodné právo a místní příslušnost </w:t>
      </w:r>
    </w:p>
    <w:p w14:paraId="6C1EDC0A"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Za podmínky uvedené v článku 23 se smluvní strany tímto výslovně a neodvolatelně (i) podřizují</w:t>
      </w:r>
      <w:r w:rsidRPr="00A02D95">
        <w:rPr>
          <w:b/>
          <w:lang w:val="cs-CZ"/>
        </w:rPr>
        <w:t xml:space="preserve"> </w:t>
      </w:r>
      <w:r w:rsidRPr="00A02D95">
        <w:rPr>
          <w:rFonts w:asciiTheme="minorHAnsi" w:hAnsiTheme="minorHAnsi" w:cstheme="minorHAnsi"/>
          <w:sz w:val="16"/>
          <w:szCs w:val="16"/>
          <w:lang w:val="cs-CZ"/>
        </w:rPr>
        <w:t>výhradní jurisdikci těchto soudů pro účely jakékoli žaloby nebo řízení a (</w:t>
      </w:r>
      <w:proofErr w:type="spellStart"/>
      <w:r w:rsidRPr="00A02D95">
        <w:rPr>
          <w:rFonts w:asciiTheme="minorHAnsi" w:hAnsiTheme="minorHAnsi" w:cstheme="minorHAnsi"/>
          <w:sz w:val="16"/>
          <w:szCs w:val="16"/>
          <w:lang w:val="cs-CZ"/>
        </w:rPr>
        <w:t>ii</w:t>
      </w:r>
      <w:proofErr w:type="spellEnd"/>
      <w:r w:rsidRPr="00A02D95">
        <w:rPr>
          <w:rFonts w:asciiTheme="minorHAnsi" w:hAnsiTheme="minorHAnsi" w:cstheme="minorHAnsi"/>
          <w:sz w:val="16"/>
          <w:szCs w:val="16"/>
          <w:lang w:val="cs-CZ"/>
        </w:rPr>
        <w:t>) v maximálním rozsahu, který povoluje zákon, se vzdávají jakýchkoliv námitek nepříslušnosti soudu a projednávání takovéto žaloby před příslušnými soudy.</w:t>
      </w:r>
    </w:p>
    <w:p w14:paraId="76EC6071" w14:textId="77777777" w:rsidR="000A7DF6" w:rsidRPr="00A02D95"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Oprávněné osoby </w:t>
      </w:r>
    </w:p>
    <w:p w14:paraId="653CD625" w14:textId="77777777"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Pokud si jakákoli třetí strana přeje spoléhat se na Výstup (a/nebo jeho návrhy) a stát se Oprávněnou osobou definovanou v této Smlouvě, taková třetí strana musí nejprve </w:t>
      </w:r>
      <w:r w:rsidRPr="003477E0">
        <w:rPr>
          <w:rFonts w:asciiTheme="minorHAnsi" w:hAnsiTheme="minorHAnsi" w:cstheme="minorHAnsi"/>
          <w:sz w:val="16"/>
          <w:szCs w:val="16"/>
          <w:lang w:val="cs-CZ"/>
        </w:rPr>
        <w:t>uzavřít</w:t>
      </w:r>
      <w:r w:rsidRPr="00A02D95">
        <w:rPr>
          <w:rFonts w:asciiTheme="minorHAnsi" w:hAnsiTheme="minorHAnsi" w:cstheme="minorHAnsi"/>
          <w:sz w:val="16"/>
          <w:szCs w:val="16"/>
          <w:lang w:val="cs-CZ"/>
        </w:rPr>
        <w:t xml:space="preserve">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w:t>
      </w:r>
      <w:r w:rsidRPr="00A02D95">
        <w:rPr>
          <w:rFonts w:asciiTheme="minorHAnsi" w:hAnsiTheme="minorHAnsi" w:cstheme="minorHAnsi"/>
          <w:sz w:val="16"/>
          <w:szCs w:val="16"/>
          <w:lang w:val="cs-CZ"/>
        </w:rPr>
        <w:lastRenderedPageBreak/>
        <w:t xml:space="preserve">(a/nebo jeho návrhům). Deloitte neponese odpovědnost vůči jakékoli straně, která se společností Deloitte neuzavře výše uvedenou smlouvu. </w:t>
      </w:r>
    </w:p>
    <w:p w14:paraId="69F03676" w14:textId="77777777" w:rsidR="000A7DF6" w:rsidRPr="00A02D95"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Školení </w:t>
      </w:r>
    </w:p>
    <w:p w14:paraId="3F6631B9" w14:textId="77777777" w:rsidR="000A7DF6" w:rsidRPr="003477E0" w:rsidRDefault="000A7DF6" w:rsidP="000A7DF6">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3477E0">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4E8E4C6A" w14:textId="77777777" w:rsidR="000A7DF6" w:rsidRPr="003477E0" w:rsidRDefault="000A7DF6" w:rsidP="000A7DF6">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3477E0">
        <w:rPr>
          <w:rFonts w:asciiTheme="minorHAnsi" w:hAnsiTheme="minorHAnsi" w:cstheme="minorHAnsi"/>
          <w:sz w:val="16"/>
          <w:szCs w:val="16"/>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44165FEA" w14:textId="77777777" w:rsidR="000A7DF6" w:rsidRPr="003477E0" w:rsidRDefault="000A7DF6" w:rsidP="000A7DF6">
      <w:pPr>
        <w:numPr>
          <w:ilvl w:val="0"/>
          <w:numId w:val="26"/>
        </w:numPr>
        <w:spacing w:after="120" w:line="120" w:lineRule="atLeast"/>
        <w:ind w:left="568" w:hanging="284"/>
        <w:jc w:val="both"/>
        <w:rPr>
          <w:rFonts w:asciiTheme="minorHAnsi" w:hAnsiTheme="minorHAnsi" w:cstheme="minorHAnsi"/>
          <w:sz w:val="16"/>
          <w:szCs w:val="16"/>
          <w:lang w:val="cs-CZ"/>
        </w:rPr>
      </w:pPr>
      <w:r w:rsidRPr="003477E0">
        <w:rPr>
          <w:rFonts w:asciiTheme="minorHAnsi" w:hAnsiTheme="minorHAnsi" w:cstheme="minorHAnsi"/>
          <w:sz w:val="16"/>
          <w:szCs w:val="16"/>
          <w:lang w:val="cs-CZ"/>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296A72F2" w14:textId="77777777" w:rsidR="000A7DF6" w:rsidRPr="00A02D95"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Objednávky prací </w:t>
      </w:r>
    </w:p>
    <w:p w14:paraId="73C866B5" w14:textId="77777777" w:rsidR="000A7DF6" w:rsidRPr="003477E0"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3477E0">
        <w:rPr>
          <w:rFonts w:asciiTheme="minorHAnsi" w:hAnsiTheme="minorHAnsi" w:cstheme="minorHAnsi"/>
          <w:sz w:val="16"/>
          <w:szCs w:val="16"/>
        </w:rPr>
        <w:t>Služby, nebo jejich část, budou poskytovány na základně pokynů obsahujících popis požadovaných Služeb dodaných Klientem společnosti Deloitte („Objednávka prací“). Objednávka prací</w:t>
      </w:r>
      <w:r w:rsidRPr="003477E0" w:rsidDel="00FB393F">
        <w:rPr>
          <w:rFonts w:asciiTheme="minorHAnsi" w:hAnsiTheme="minorHAnsi" w:cstheme="minorHAnsi"/>
          <w:sz w:val="16"/>
          <w:szCs w:val="16"/>
        </w:rPr>
        <w:t xml:space="preserve"> </w:t>
      </w:r>
      <w:r w:rsidRPr="003477E0">
        <w:rPr>
          <w:rFonts w:asciiTheme="minorHAnsi" w:hAnsiTheme="minorHAnsi" w:cstheme="minorHAnsi"/>
          <w:sz w:val="16"/>
          <w:szCs w:val="16"/>
        </w:rPr>
        <w:t xml:space="preserve">může být provedena písemně, faxem, emailem nebo ústně. </w:t>
      </w:r>
    </w:p>
    <w:p w14:paraId="6A1921D1" w14:textId="77777777" w:rsidR="000A7DF6" w:rsidRPr="003477E0"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3477E0">
        <w:rPr>
          <w:rFonts w:asciiTheme="minorHAnsi" w:hAnsiTheme="minorHAnsi" w:cstheme="minorHAnsi"/>
          <w:sz w:val="16"/>
          <w:szCs w:val="16"/>
        </w:rPr>
        <w:t>Objednávka prací je přijata a potvrzena tou z následujících událostí, která nastane dříve: (i) společnost Deloitte doručí potvrzení Objednávky prací Klientovi nebo (</w:t>
      </w:r>
      <w:proofErr w:type="spellStart"/>
      <w:r w:rsidRPr="003477E0">
        <w:rPr>
          <w:rFonts w:asciiTheme="minorHAnsi" w:hAnsiTheme="minorHAnsi" w:cstheme="minorHAnsi"/>
          <w:sz w:val="16"/>
          <w:szCs w:val="16"/>
        </w:rPr>
        <w:t>ii</w:t>
      </w:r>
      <w:proofErr w:type="spellEnd"/>
      <w:r w:rsidRPr="003477E0">
        <w:rPr>
          <w:rFonts w:asciiTheme="minorHAnsi" w:hAnsiTheme="minorHAnsi" w:cstheme="minorHAnsi"/>
          <w:sz w:val="16"/>
          <w:szCs w:val="16"/>
        </w:rPr>
        <w:t xml:space="preserve">) společnost </w:t>
      </w:r>
      <w:proofErr w:type="spellStart"/>
      <w:r w:rsidRPr="003477E0">
        <w:rPr>
          <w:rFonts w:asciiTheme="minorHAnsi" w:hAnsiTheme="minorHAnsi" w:cstheme="minorHAnsi"/>
          <w:sz w:val="16"/>
          <w:szCs w:val="16"/>
        </w:rPr>
        <w:t>Deloitte</w:t>
      </w:r>
      <w:proofErr w:type="spellEnd"/>
      <w:r w:rsidRPr="003477E0">
        <w:rPr>
          <w:rFonts w:asciiTheme="minorHAnsi" w:hAnsiTheme="minorHAnsi" w:cstheme="minorHAnsi"/>
          <w:sz w:val="16"/>
          <w:szCs w:val="16"/>
        </w:rPr>
        <w:t xml:space="preserv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14:paraId="613336B3" w14:textId="77777777" w:rsidR="000A7DF6" w:rsidRPr="003477E0"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3477E0">
        <w:rPr>
          <w:rFonts w:asciiTheme="minorHAnsi" w:hAnsiTheme="minorHAnsi" w:cstheme="minorHAnsi"/>
          <w:sz w:val="16"/>
          <w:szCs w:val="16"/>
        </w:rPr>
        <w:t xml:space="preserve">Klient může zrušit Objednávku prací pouze písemně, faxem nebo emailem. Klient společnosti Deloitte poskytne náhradu za realizované Služby a výdaje vzniklé do data účinnosti zrušení Objednávky prací. </w:t>
      </w:r>
    </w:p>
    <w:p w14:paraId="04C660D3"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Střet zájmů </w:t>
      </w:r>
    </w:p>
    <w:p w14:paraId="0F9C9BCF" w14:textId="77777777" w:rsidR="00874873"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w:t>
      </w:r>
      <w:r w:rsidRPr="003477E0">
        <w:rPr>
          <w:rFonts w:asciiTheme="minorHAnsi" w:hAnsiTheme="minorHAnsi" w:cstheme="minorHAnsi"/>
          <w:sz w:val="16"/>
          <w:szCs w:val="16"/>
          <w:lang w:val="cs-CZ"/>
        </w:rPr>
        <w:t>společnost</w:t>
      </w:r>
      <w:r w:rsidRPr="00A02D95">
        <w:rPr>
          <w:rFonts w:asciiTheme="minorHAnsi" w:hAnsiTheme="minorHAnsi" w:cstheme="minorHAnsi"/>
          <w:sz w:val="16"/>
          <w:szCs w:val="16"/>
          <w:lang w:val="cs-CZ"/>
        </w:rPr>
        <w:t xml:space="preserve"> Deloitte o jakémkoli možném střetu zájmů ovlivňujícím Služby poskytované Klientovi. Pokud Deloitte nebo Klient odhalí možný střet zájmů a Deloitte předpokládá, že </w:t>
      </w:r>
      <w:r w:rsidRPr="00A02D95">
        <w:rPr>
          <w:rFonts w:asciiTheme="minorHAnsi" w:hAnsiTheme="minorHAnsi" w:cstheme="minorHAnsi"/>
          <w:sz w:val="16"/>
          <w:szCs w:val="16"/>
          <w:lang w:val="cs-CZ"/>
        </w:rPr>
        <w:t xml:space="preserve">zájmy Klienta mohou být řádně chráněny implementací vhodných postupů, Deloitte </w:t>
      </w:r>
    </w:p>
    <w:p w14:paraId="497D326D" w14:textId="10B1C9EF" w:rsidR="000A7DF6" w:rsidRPr="00A02D95"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A02D95">
        <w:rPr>
          <w:rFonts w:asciiTheme="minorHAnsi" w:hAnsiTheme="minorHAnsi" w:cstheme="minorHAnsi"/>
          <w:sz w:val="16"/>
          <w:szCs w:val="16"/>
          <w:lang w:val="cs-CZ"/>
        </w:rPr>
        <w:t xml:space="preserve">tyto postupy s Klientem projedná a odsouhlasí. </w:t>
      </w:r>
    </w:p>
    <w:p w14:paraId="63046D24" w14:textId="77777777" w:rsidR="000A7DF6" w:rsidRPr="00A02D95"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lang w:val="cs-CZ"/>
        </w:rPr>
      </w:pPr>
      <w:r w:rsidRPr="00A02D95">
        <w:rPr>
          <w:rFonts w:asciiTheme="minorHAnsi" w:hAnsiTheme="minorHAnsi" w:cstheme="minorHAnsi"/>
          <w:b/>
          <w:kern w:val="28"/>
          <w:sz w:val="16"/>
          <w:szCs w:val="16"/>
          <w:lang w:val="cs-CZ"/>
        </w:rPr>
        <w:t xml:space="preserve">Závěrečná ustanovení </w:t>
      </w:r>
    </w:p>
    <w:p w14:paraId="7BE33590" w14:textId="7348D831" w:rsidR="00874873" w:rsidRPr="00A02D95" w:rsidRDefault="000A7DF6" w:rsidP="002E2C8E">
      <w:pPr>
        <w:keepNext/>
        <w:spacing w:after="120" w:line="120" w:lineRule="atLeast"/>
        <w:ind w:left="568" w:right="68"/>
        <w:jc w:val="both"/>
        <w:outlineLvl w:val="0"/>
        <w:rPr>
          <w:rFonts w:asciiTheme="minorHAnsi" w:hAnsiTheme="minorHAnsi" w:cstheme="minorHAnsi"/>
          <w:sz w:val="16"/>
          <w:szCs w:val="16"/>
          <w:lang w:val="cs-CZ"/>
        </w:rPr>
        <w:sectPr w:rsidR="00874873" w:rsidRPr="00A02D95" w:rsidSect="000F0DFC">
          <w:headerReference w:type="default" r:id="rId16"/>
          <w:type w:val="continuous"/>
          <w:pgSz w:w="11906" w:h="16838" w:code="9"/>
          <w:pgMar w:top="1417" w:right="1417" w:bottom="1417" w:left="1417" w:header="680" w:footer="567" w:gutter="0"/>
          <w:cols w:num="2" w:space="709"/>
          <w:titlePg/>
          <w:docGrid w:linePitch="360"/>
        </w:sectPr>
      </w:pPr>
      <w:r w:rsidRPr="00A02D95">
        <w:rPr>
          <w:rFonts w:asciiTheme="minorHAnsi" w:hAnsiTheme="minorHAnsi" w:cstheme="minorHAnsi"/>
          <w:sz w:val="16"/>
          <w:szCs w:val="16"/>
          <w:lang w:val="cs-CZ"/>
        </w:rPr>
        <w:t xml:space="preserve">Tyto Obchodní podmínky jsou platné a účinné k 1. </w:t>
      </w:r>
      <w:r w:rsidR="00361898" w:rsidRPr="00A02D95">
        <w:rPr>
          <w:rFonts w:asciiTheme="minorHAnsi" w:hAnsiTheme="minorHAnsi" w:cstheme="minorHAnsi"/>
          <w:sz w:val="16"/>
          <w:szCs w:val="16"/>
          <w:lang w:val="cs-CZ"/>
        </w:rPr>
        <w:t>dubnu</w:t>
      </w:r>
      <w:r w:rsidRPr="00A02D95">
        <w:rPr>
          <w:rFonts w:asciiTheme="minorHAnsi" w:hAnsiTheme="minorHAnsi" w:cstheme="minorHAnsi"/>
          <w:sz w:val="16"/>
          <w:szCs w:val="16"/>
          <w:lang w:val="cs-CZ"/>
        </w:rPr>
        <w:t xml:space="preserve"> 2019. Pro odstranění pochybností jsou tyto Obchodní podmínky účinné a závazné pro Klienta od data účinnosti Smluvního dopisu. Tato verze nahrazuje předcházející verze bez ohledu na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a odsouhlasení zm</w:t>
      </w:r>
      <w:r w:rsidR="002E2C8E">
        <w:rPr>
          <w:rFonts w:asciiTheme="minorHAnsi" w:hAnsiTheme="minorHAnsi" w:cstheme="minorHAnsi"/>
          <w:sz w:val="16"/>
          <w:szCs w:val="16"/>
          <w:lang w:val="cs-CZ"/>
        </w:rPr>
        <w:t>ěn Obchodních podmínek Klientem.</w:t>
      </w:r>
    </w:p>
    <w:p w14:paraId="05D8E01E" w14:textId="77777777" w:rsidR="00E50FBB" w:rsidRPr="003477E0" w:rsidRDefault="00E50FBB" w:rsidP="00B246CA">
      <w:pPr>
        <w:spacing w:after="0" w:line="240" w:lineRule="auto"/>
        <w:rPr>
          <w:lang w:val="cs-CZ"/>
        </w:rPr>
      </w:pPr>
    </w:p>
    <w:sectPr w:rsidR="00E50FBB" w:rsidRPr="003477E0" w:rsidSect="00874873">
      <w:pgSz w:w="11906" w:h="16838" w:code="9"/>
      <w:pgMar w:top="1440" w:right="1440" w:bottom="1440" w:left="1440" w:header="680" w:footer="56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35D9" w14:textId="77777777" w:rsidR="002E2C8E" w:rsidRDefault="002E2C8E" w:rsidP="00C702C7">
      <w:pPr>
        <w:spacing w:after="0" w:line="240" w:lineRule="auto"/>
      </w:pPr>
      <w:r>
        <w:separator/>
      </w:r>
    </w:p>
  </w:endnote>
  <w:endnote w:type="continuationSeparator" w:id="0">
    <w:p w14:paraId="7EA94580" w14:textId="77777777" w:rsidR="002E2C8E" w:rsidRDefault="002E2C8E"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3544"/>
      <w:gridCol w:w="7002"/>
    </w:tblGrid>
    <w:tr w:rsidR="002E2C8E" w:rsidRPr="00D6230E" w14:paraId="7321EA4D" w14:textId="77777777" w:rsidTr="00D6230E">
      <w:tc>
        <w:tcPr>
          <w:tcW w:w="3544" w:type="dxa"/>
          <w:tcBorders>
            <w:top w:val="nil"/>
            <w:left w:val="nil"/>
            <w:bottom w:val="nil"/>
            <w:right w:val="nil"/>
            <w:tl2br w:val="nil"/>
            <w:tr2bl w:val="nil"/>
          </w:tcBorders>
          <w:shd w:val="clear" w:color="auto" w:fill="auto"/>
          <w:vAlign w:val="bottom"/>
        </w:tcPr>
        <w:p w14:paraId="5497CF07" w14:textId="321AEE42" w:rsidR="002E2C8E" w:rsidRPr="00D6230E" w:rsidRDefault="002E2C8E" w:rsidP="00BC0047">
          <w:pPr>
            <w:pStyle w:val="Zpat"/>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06DD8">
            <w:rPr>
              <w:noProof/>
            </w:rPr>
            <w:instrText>1</w:instrText>
          </w:r>
          <w:r w:rsidRPr="00D6230E">
            <w:fldChar w:fldCharType="end"/>
          </w:r>
          <w:r w:rsidRPr="00D6230E">
            <w:instrText xml:space="preserve"> &lt; 10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06DD8">
            <w:rPr>
              <w:noProof/>
            </w:rPr>
            <w:instrText>1</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706DD8">
            <w:rPr>
              <w:noProof/>
            </w:rPr>
            <w:instrText>1</w:instrText>
          </w:r>
          <w:r w:rsidRPr="00D6230E">
            <w:fldChar w:fldCharType="end"/>
          </w:r>
          <w:r w:rsidRPr="00D6230E">
            <w:instrText xml:space="preserve">" \* MERGEFORMAT </w:instrText>
          </w:r>
          <w:r w:rsidRPr="00D6230E">
            <w:fldChar w:fldCharType="separate"/>
          </w:r>
          <w:r w:rsidR="00706DD8" w:rsidRPr="00D6230E">
            <w:rPr>
              <w:noProof/>
            </w:rPr>
            <w:instrText>0</w:instrText>
          </w:r>
          <w:r w:rsidR="00706DD8">
            <w:rPr>
              <w:noProof/>
            </w:rPr>
            <w:instrText>1</w:instrText>
          </w:r>
          <w:r w:rsidRPr="00D6230E">
            <w:fldChar w:fldCharType="end"/>
          </w:r>
          <w:r w:rsidRPr="00D6230E">
            <w:instrText xml:space="preserve"> </w:instrText>
          </w:r>
          <w:r w:rsidRPr="00D6230E">
            <w:fldChar w:fldCharType="begin"/>
          </w:r>
          <w:r w:rsidRPr="00D6230E">
            <w:instrText xml:space="preserve"> PAGE  \* Arabic  \* MERGEFORMAT </w:instrText>
          </w:r>
          <w:r w:rsidRPr="00D6230E">
            <w:fldChar w:fldCharType="separate"/>
          </w:r>
          <w:r w:rsidR="00706DD8">
            <w:rPr>
              <w:noProof/>
            </w:rPr>
            <w:instrText>11</w:instrText>
          </w:r>
          <w:r w:rsidRPr="00D6230E">
            <w:fldChar w:fldCharType="end"/>
          </w:r>
          <w:r w:rsidRPr="00D6230E">
            <w:instrText xml:space="preserve"> \* MERGEFORMAT </w:instrText>
          </w:r>
          <w:r w:rsidRPr="00D6230E">
            <w:fldChar w:fldCharType="separate"/>
          </w:r>
          <w:r w:rsidR="00706DD8" w:rsidRPr="00D6230E">
            <w:rPr>
              <w:noProof/>
            </w:rPr>
            <w:t>0</w:t>
          </w:r>
          <w:r w:rsidR="00706DD8">
            <w:rPr>
              <w:noProof/>
            </w:rPr>
            <w:t>1</w:t>
          </w:r>
          <w:r w:rsidRPr="00D6230E">
            <w:fldChar w:fldCharType="end"/>
          </w:r>
        </w:p>
      </w:tc>
      <w:tc>
        <w:tcPr>
          <w:tcW w:w="7002" w:type="dxa"/>
          <w:tcBorders>
            <w:top w:val="nil"/>
            <w:left w:val="nil"/>
            <w:bottom w:val="nil"/>
            <w:right w:val="nil"/>
            <w:tl2br w:val="nil"/>
            <w:tr2bl w:val="nil"/>
          </w:tcBorders>
          <w:shd w:val="clear" w:color="auto" w:fill="auto"/>
          <w:vAlign w:val="bottom"/>
        </w:tcPr>
        <w:p w14:paraId="5EEE32DB" w14:textId="77777777" w:rsidR="002E2C8E" w:rsidRPr="00D6230E" w:rsidRDefault="002E2C8E" w:rsidP="00D6230E">
          <w:pPr>
            <w:pStyle w:val="Zpat"/>
            <w:spacing w:line="180" w:lineRule="atLeast"/>
            <w:rPr>
              <w:sz w:val="14"/>
              <w:szCs w:val="14"/>
            </w:rPr>
          </w:pPr>
        </w:p>
      </w:tc>
    </w:tr>
  </w:tbl>
  <w:p w14:paraId="772677A4" w14:textId="77777777" w:rsidR="002E2C8E" w:rsidRPr="00904097" w:rsidRDefault="002E2C8E" w:rsidP="00904097">
    <w:pPr>
      <w:pStyle w:val="Zpat"/>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C51DF" w14:textId="44AADBDD" w:rsidR="002E2C8E" w:rsidRDefault="002E2C8E">
    <w:pPr>
      <w:pStyle w:val="Zpat"/>
    </w:pPr>
    <w:r>
      <w:fldChar w:fldCharType="begin"/>
    </w:r>
    <w:r>
      <w:instrText xml:space="preserve"> IF </w:instrText>
    </w:r>
    <w:r>
      <w:fldChar w:fldCharType="begin"/>
    </w:r>
    <w:r>
      <w:instrText xml:space="preserve"> PAGE  \* Arabic  \* MERGEFORMAT </w:instrText>
    </w:r>
    <w:r>
      <w:fldChar w:fldCharType="separate"/>
    </w:r>
    <w:r w:rsidR="00706DD8">
      <w:rPr>
        <w:noProof/>
      </w:rPr>
      <w:instrText>17</w:instrText>
    </w:r>
    <w:r>
      <w:fldChar w:fldCharType="end"/>
    </w:r>
    <w:r>
      <w:instrText xml:space="preserve"> &lt; "10" "0</w:instrText>
    </w:r>
    <w:r>
      <w:fldChar w:fldCharType="begin"/>
    </w:r>
    <w:r>
      <w:instrText xml:space="preserve"> PAGE  \* Arabic  \* MERGEFORMAT </w:instrText>
    </w:r>
    <w:r>
      <w:fldChar w:fldCharType="separate"/>
    </w:r>
    <w:r>
      <w:rPr>
        <w:noProof/>
      </w:rPr>
      <w:instrText>7</w:instrText>
    </w:r>
    <w:r>
      <w:fldChar w:fldCharType="end"/>
    </w:r>
    <w:r>
      <w:instrText xml:space="preserve">" \* MERGEFORMAT </w:instrText>
    </w:r>
    <w:r>
      <w:fldChar w:fldCharType="end"/>
    </w:r>
  </w:p>
  <w:p w14:paraId="62ADB898" w14:textId="77777777" w:rsidR="002E2C8E" w:rsidRPr="00904097" w:rsidRDefault="002E2C8E" w:rsidP="00904097">
    <w:pPr>
      <w:pStyle w:val="Zpat"/>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50DC1" w14:textId="77777777" w:rsidR="002E2C8E" w:rsidRDefault="002E2C8E" w:rsidP="00C702C7">
      <w:pPr>
        <w:spacing w:after="0" w:line="240" w:lineRule="auto"/>
      </w:pPr>
      <w:r>
        <w:separator/>
      </w:r>
    </w:p>
  </w:footnote>
  <w:footnote w:type="continuationSeparator" w:id="0">
    <w:p w14:paraId="4153E5DF" w14:textId="77777777" w:rsidR="002E2C8E" w:rsidRDefault="002E2C8E" w:rsidP="00C70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553D" w14:textId="77777777" w:rsidR="002E2C8E" w:rsidRDefault="002E2C8E" w:rsidP="00F41AD7">
    <w:pPr>
      <w:pStyle w:val="Zhlav"/>
    </w:pPr>
    <w:proofErr w:type="spellStart"/>
    <w:r>
      <w:t>Smlouva</w:t>
    </w:r>
    <w:proofErr w:type="spellEnd"/>
    <w:r>
      <w:t xml:space="preserve"> o </w:t>
    </w:r>
    <w:proofErr w:type="spellStart"/>
    <w:r>
      <w:t>poskytování</w:t>
    </w:r>
    <w:proofErr w:type="spellEnd"/>
    <w:r>
      <w:t xml:space="preserve"> </w:t>
    </w:r>
    <w:proofErr w:type="spellStart"/>
    <w:r>
      <w:t>poradenských</w:t>
    </w:r>
    <w:proofErr w:type="spellEnd"/>
    <w:r>
      <w:t xml:space="preserve"> </w:t>
    </w:r>
    <w:proofErr w:type="spellStart"/>
    <w:r>
      <w:t>služeb</w:t>
    </w:r>
    <w:proofErr w:type="spellEnd"/>
  </w:p>
  <w:p w14:paraId="1CBAC00E" w14:textId="77777777" w:rsidR="002E2C8E" w:rsidRPr="00F17C20" w:rsidRDefault="002E2C8E" w:rsidP="00F41AD7">
    <w:pPr>
      <w:pStyle w:val="Zhlav"/>
      <w:jc w:val="right"/>
      <w:rPr>
        <w:i/>
      </w:rPr>
    </w:pPr>
    <w:proofErr w:type="spellStart"/>
    <w:r w:rsidRPr="00F17C20">
      <w:rPr>
        <w:i/>
      </w:rPr>
      <w:t>Důvěrné</w:t>
    </w:r>
    <w:proofErr w:type="spellEnd"/>
    <w:r w:rsidRPr="00F17C20">
      <w:rPr>
        <w:i/>
      </w:rPr>
      <w:t xml:space="preserve"> </w:t>
    </w:r>
    <w:proofErr w:type="spellStart"/>
    <w:r w:rsidRPr="00F17C20">
      <w:rPr>
        <w:i/>
      </w:rPr>
      <w:t>informace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EEE1" w14:textId="0A9D8353" w:rsidR="002E2C8E" w:rsidRPr="00E76F4E" w:rsidRDefault="002E2C8E" w:rsidP="00E76F4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F461" w14:textId="77777777" w:rsidR="002E2C8E" w:rsidRPr="002F2418" w:rsidRDefault="002E2C8E" w:rsidP="002F2418">
    <w:pPr>
      <w:pStyle w:val="Zhlav"/>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462C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505D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3"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4"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9"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5F442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641AE0"/>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847D2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A8669E"/>
    <w:multiLevelType w:val="hybridMultilevel"/>
    <w:tmpl w:val="E2569576"/>
    <w:lvl w:ilvl="0" w:tplc="B37E876C">
      <w:start w:val="5"/>
      <w:numFmt w:val="bullet"/>
      <w:lvlText w:val="-"/>
      <w:lvlJc w:val="left"/>
      <w:pPr>
        <w:ind w:left="720" w:hanging="360"/>
      </w:pPr>
      <w:rPr>
        <w:rFonts w:ascii="Verdana" w:eastAsia="Times New Roman" w:hAnsi="Verdana"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E1F24B5"/>
    <w:multiLevelType w:val="hybridMultilevel"/>
    <w:tmpl w:val="BA1A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42338E"/>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6"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B03963"/>
    <w:multiLevelType w:val="multilevel"/>
    <w:tmpl w:val="7D8A9E9E"/>
    <w:lvl w:ilvl="0">
      <w:start w:val="1"/>
      <w:numFmt w:val="decimal"/>
      <w:lvlText w:val="%1."/>
      <w:lvlJc w:val="left"/>
      <w:pPr>
        <w:ind w:left="644" w:hanging="360"/>
      </w:pPr>
      <w:rPr>
        <w:rFonts w:asciiTheme="minorHAnsi" w:hAnsiTheme="minorHAnsi" w:hint="default"/>
        <w:b/>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9" w15:restartNumberingAfterBreak="0">
    <w:nsid w:val="64E61953"/>
    <w:multiLevelType w:val="multilevel"/>
    <w:tmpl w:val="B8481C14"/>
    <w:lvl w:ilvl="0">
      <w:start w:val="1"/>
      <w:numFmt w:val="lowerRoman"/>
      <w:lvlText w:val="%1."/>
      <w:lvlJc w:val="left"/>
      <w:pPr>
        <w:ind w:left="644" w:hanging="360"/>
      </w:pPr>
      <w:rPr>
        <w:rFonts w:asciiTheme="minorHAnsi" w:hAnsiTheme="minorHAnsi"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30" w15:restartNumberingAfterBreak="0">
    <w:nsid w:val="68251CBC"/>
    <w:multiLevelType w:val="multilevel"/>
    <w:tmpl w:val="814CC1DA"/>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7364D0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E28068C"/>
    <w:multiLevelType w:val="multilevel"/>
    <w:tmpl w:val="20AA7B68"/>
    <w:lvl w:ilvl="0">
      <w:start w:val="1"/>
      <w:numFmt w:val="decimal"/>
      <w:pStyle w:val="Smlouvaheading1"/>
      <w:lvlText w:val="Článek %1."/>
      <w:lvlJc w:val="left"/>
      <w:pPr>
        <w:tabs>
          <w:tab w:val="num" w:pos="1135"/>
        </w:tabs>
        <w:ind w:left="1135" w:hanging="425"/>
      </w:pPr>
      <w:rPr>
        <w:rFonts w:hint="default"/>
        <w:b/>
      </w:rPr>
    </w:lvl>
    <w:lvl w:ilvl="1">
      <w:start w:val="1"/>
      <w:numFmt w:val="decimal"/>
      <w:pStyle w:val="Smlouvaheading2"/>
      <w:lvlText w:val="%1.%2"/>
      <w:lvlJc w:val="left"/>
      <w:pPr>
        <w:tabs>
          <w:tab w:val="num" w:pos="426"/>
        </w:tabs>
        <w:ind w:left="426"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4"/>
  </w:num>
  <w:num w:numId="4">
    <w:abstractNumId w:val="2"/>
  </w:num>
  <w:num w:numId="5">
    <w:abstractNumId w:val="15"/>
  </w:num>
  <w:num w:numId="6">
    <w:abstractNumId w:val="6"/>
  </w:num>
  <w:num w:numId="7">
    <w:abstractNumId w:val="34"/>
  </w:num>
  <w:num w:numId="8">
    <w:abstractNumId w:val="27"/>
  </w:num>
  <w:num w:numId="9">
    <w:abstractNumId w:val="13"/>
  </w:num>
  <w:num w:numId="10">
    <w:abstractNumId w:val="20"/>
  </w:num>
  <w:num w:numId="11">
    <w:abstractNumId w:val="30"/>
  </w:num>
  <w:num w:numId="12">
    <w:abstractNumId w:val="28"/>
  </w:num>
  <w:num w:numId="13">
    <w:abstractNumId w:val="2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25"/>
  </w:num>
  <w:num w:numId="18">
    <w:abstractNumId w:val="16"/>
  </w:num>
  <w:num w:numId="19">
    <w:abstractNumId w:val="18"/>
  </w:num>
  <w:num w:numId="20">
    <w:abstractNumId w:val="10"/>
  </w:num>
  <w:num w:numId="21">
    <w:abstractNumId w:val="23"/>
  </w:num>
  <w:num w:numId="22">
    <w:abstractNumId w:val="31"/>
  </w:num>
  <w:num w:numId="23">
    <w:abstractNumId w:val="32"/>
  </w:num>
  <w:num w:numId="24">
    <w:abstractNumId w:val="7"/>
  </w:num>
  <w:num w:numId="25">
    <w:abstractNumId w:val="14"/>
  </w:num>
  <w:num w:numId="26">
    <w:abstractNumId w:val="26"/>
  </w:num>
  <w:num w:numId="27">
    <w:abstractNumId w:val="8"/>
  </w:num>
  <w:num w:numId="28">
    <w:abstractNumId w:val="22"/>
  </w:num>
  <w:num w:numId="29">
    <w:abstractNumId w:val="24"/>
  </w:num>
  <w:num w:numId="30">
    <w:abstractNumId w:val="19"/>
  </w:num>
  <w:num w:numId="31">
    <w:abstractNumId w:val="34"/>
  </w:num>
  <w:num w:numId="32">
    <w:abstractNumId w:val="34"/>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17"/>
  </w:num>
  <w:num w:numId="42">
    <w:abstractNumId w:val="1"/>
  </w:num>
  <w:num w:numId="43">
    <w:abstractNumId w:val="0"/>
  </w:num>
  <w:num w:numId="44">
    <w:abstractNumId w:val="12"/>
  </w:num>
  <w:num w:numId="45">
    <w:abstractNumId w:val="33"/>
  </w:num>
  <w:num w:numId="4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3"/>
    <w:rsid w:val="000005FE"/>
    <w:rsid w:val="0000173F"/>
    <w:rsid w:val="000131A3"/>
    <w:rsid w:val="0001327F"/>
    <w:rsid w:val="00013C0A"/>
    <w:rsid w:val="00014B89"/>
    <w:rsid w:val="000173B3"/>
    <w:rsid w:val="00020D44"/>
    <w:rsid w:val="000219AF"/>
    <w:rsid w:val="00021A39"/>
    <w:rsid w:val="00025E7D"/>
    <w:rsid w:val="000263B1"/>
    <w:rsid w:val="0003333B"/>
    <w:rsid w:val="000354B6"/>
    <w:rsid w:val="00035DBA"/>
    <w:rsid w:val="00037C17"/>
    <w:rsid w:val="00041DB4"/>
    <w:rsid w:val="000429AC"/>
    <w:rsid w:val="00042B6A"/>
    <w:rsid w:val="00042B99"/>
    <w:rsid w:val="000445D6"/>
    <w:rsid w:val="0004657A"/>
    <w:rsid w:val="000510A2"/>
    <w:rsid w:val="000516C4"/>
    <w:rsid w:val="000517C0"/>
    <w:rsid w:val="00061444"/>
    <w:rsid w:val="000637A6"/>
    <w:rsid w:val="00066BBA"/>
    <w:rsid w:val="00071509"/>
    <w:rsid w:val="00083DD5"/>
    <w:rsid w:val="00085546"/>
    <w:rsid w:val="0008662A"/>
    <w:rsid w:val="00092341"/>
    <w:rsid w:val="000A5FAE"/>
    <w:rsid w:val="000A7DF6"/>
    <w:rsid w:val="000A7F05"/>
    <w:rsid w:val="000B6C05"/>
    <w:rsid w:val="000C20BD"/>
    <w:rsid w:val="000C2B24"/>
    <w:rsid w:val="000C5EA5"/>
    <w:rsid w:val="000C7C7D"/>
    <w:rsid w:val="000D2DE0"/>
    <w:rsid w:val="000D7AB7"/>
    <w:rsid w:val="000E2C94"/>
    <w:rsid w:val="000E4AA4"/>
    <w:rsid w:val="000F0DFC"/>
    <w:rsid w:val="000F221D"/>
    <w:rsid w:val="000F5C22"/>
    <w:rsid w:val="0010113D"/>
    <w:rsid w:val="0010462B"/>
    <w:rsid w:val="001063F4"/>
    <w:rsid w:val="00111011"/>
    <w:rsid w:val="0011755F"/>
    <w:rsid w:val="00123AD3"/>
    <w:rsid w:val="001263BF"/>
    <w:rsid w:val="001265CF"/>
    <w:rsid w:val="00127820"/>
    <w:rsid w:val="00130191"/>
    <w:rsid w:val="001323FF"/>
    <w:rsid w:val="00135844"/>
    <w:rsid w:val="00136294"/>
    <w:rsid w:val="001457BC"/>
    <w:rsid w:val="00157BD7"/>
    <w:rsid w:val="00160BDD"/>
    <w:rsid w:val="00160C75"/>
    <w:rsid w:val="00163881"/>
    <w:rsid w:val="001659E4"/>
    <w:rsid w:val="001667E3"/>
    <w:rsid w:val="00167186"/>
    <w:rsid w:val="001708B9"/>
    <w:rsid w:val="0017280D"/>
    <w:rsid w:val="001757CE"/>
    <w:rsid w:val="00180BDA"/>
    <w:rsid w:val="0018108F"/>
    <w:rsid w:val="001840F7"/>
    <w:rsid w:val="00186FC8"/>
    <w:rsid w:val="00191623"/>
    <w:rsid w:val="00193BE3"/>
    <w:rsid w:val="001975EF"/>
    <w:rsid w:val="0019765A"/>
    <w:rsid w:val="001A45CF"/>
    <w:rsid w:val="001B0F94"/>
    <w:rsid w:val="001B2188"/>
    <w:rsid w:val="001B5C19"/>
    <w:rsid w:val="001D03A7"/>
    <w:rsid w:val="001D3086"/>
    <w:rsid w:val="001E016B"/>
    <w:rsid w:val="001E5A04"/>
    <w:rsid w:val="001E7D3E"/>
    <w:rsid w:val="001F38BE"/>
    <w:rsid w:val="001F61B8"/>
    <w:rsid w:val="001F6839"/>
    <w:rsid w:val="00204CBA"/>
    <w:rsid w:val="00211AB1"/>
    <w:rsid w:val="00212852"/>
    <w:rsid w:val="00214FC4"/>
    <w:rsid w:val="00216CF6"/>
    <w:rsid w:val="00220CCF"/>
    <w:rsid w:val="00221C4A"/>
    <w:rsid w:val="00222392"/>
    <w:rsid w:val="00227F1F"/>
    <w:rsid w:val="00231B44"/>
    <w:rsid w:val="002340B6"/>
    <w:rsid w:val="00234BA2"/>
    <w:rsid w:val="00235582"/>
    <w:rsid w:val="00237008"/>
    <w:rsid w:val="002370AB"/>
    <w:rsid w:val="00237872"/>
    <w:rsid w:val="0024202F"/>
    <w:rsid w:val="00244010"/>
    <w:rsid w:val="00245BEB"/>
    <w:rsid w:val="00253D2A"/>
    <w:rsid w:val="00254CD6"/>
    <w:rsid w:val="00255D53"/>
    <w:rsid w:val="00277DBB"/>
    <w:rsid w:val="002930B2"/>
    <w:rsid w:val="00293F1F"/>
    <w:rsid w:val="00294BBA"/>
    <w:rsid w:val="00295B52"/>
    <w:rsid w:val="00297214"/>
    <w:rsid w:val="002B2376"/>
    <w:rsid w:val="002B3C11"/>
    <w:rsid w:val="002B4054"/>
    <w:rsid w:val="002B4D02"/>
    <w:rsid w:val="002B6D2E"/>
    <w:rsid w:val="002C5FEA"/>
    <w:rsid w:val="002C690A"/>
    <w:rsid w:val="002C6F50"/>
    <w:rsid w:val="002D09B0"/>
    <w:rsid w:val="002D41F7"/>
    <w:rsid w:val="002D43EF"/>
    <w:rsid w:val="002D5A6A"/>
    <w:rsid w:val="002E1C00"/>
    <w:rsid w:val="002E2C8E"/>
    <w:rsid w:val="002E7099"/>
    <w:rsid w:val="002F027D"/>
    <w:rsid w:val="002F2418"/>
    <w:rsid w:val="002F2771"/>
    <w:rsid w:val="002F279A"/>
    <w:rsid w:val="003121C1"/>
    <w:rsid w:val="00316F63"/>
    <w:rsid w:val="0032373B"/>
    <w:rsid w:val="00324AC1"/>
    <w:rsid w:val="00331D1F"/>
    <w:rsid w:val="00337680"/>
    <w:rsid w:val="003477E0"/>
    <w:rsid w:val="00350886"/>
    <w:rsid w:val="00357E4F"/>
    <w:rsid w:val="00361738"/>
    <w:rsid w:val="00361898"/>
    <w:rsid w:val="00367B44"/>
    <w:rsid w:val="00375EB8"/>
    <w:rsid w:val="00377AE4"/>
    <w:rsid w:val="003863C7"/>
    <w:rsid w:val="0038762D"/>
    <w:rsid w:val="0039181B"/>
    <w:rsid w:val="003923FD"/>
    <w:rsid w:val="00392568"/>
    <w:rsid w:val="003A3D9F"/>
    <w:rsid w:val="003A494E"/>
    <w:rsid w:val="003B3379"/>
    <w:rsid w:val="003B3C47"/>
    <w:rsid w:val="003B3F96"/>
    <w:rsid w:val="003C12AF"/>
    <w:rsid w:val="003C4BE4"/>
    <w:rsid w:val="003C4DE4"/>
    <w:rsid w:val="003C7BAE"/>
    <w:rsid w:val="003D0767"/>
    <w:rsid w:val="003D1A80"/>
    <w:rsid w:val="003E138D"/>
    <w:rsid w:val="003E1820"/>
    <w:rsid w:val="003E49BA"/>
    <w:rsid w:val="003E572E"/>
    <w:rsid w:val="003F2224"/>
    <w:rsid w:val="00402336"/>
    <w:rsid w:val="00404297"/>
    <w:rsid w:val="004052BC"/>
    <w:rsid w:val="004066C3"/>
    <w:rsid w:val="00412EA0"/>
    <w:rsid w:val="00413084"/>
    <w:rsid w:val="00416A63"/>
    <w:rsid w:val="004314E1"/>
    <w:rsid w:val="00432002"/>
    <w:rsid w:val="0044117C"/>
    <w:rsid w:val="0044558B"/>
    <w:rsid w:val="004509E3"/>
    <w:rsid w:val="00451886"/>
    <w:rsid w:val="00451AD9"/>
    <w:rsid w:val="00473614"/>
    <w:rsid w:val="0048008E"/>
    <w:rsid w:val="0048369A"/>
    <w:rsid w:val="004860A3"/>
    <w:rsid w:val="00486736"/>
    <w:rsid w:val="004945DF"/>
    <w:rsid w:val="004A0DCC"/>
    <w:rsid w:val="004A6C6D"/>
    <w:rsid w:val="004C2616"/>
    <w:rsid w:val="004D159E"/>
    <w:rsid w:val="004D1F57"/>
    <w:rsid w:val="004D49FC"/>
    <w:rsid w:val="004E3F37"/>
    <w:rsid w:val="004F47B4"/>
    <w:rsid w:val="004F4A4B"/>
    <w:rsid w:val="004F567C"/>
    <w:rsid w:val="005008F0"/>
    <w:rsid w:val="00501EFF"/>
    <w:rsid w:val="00526863"/>
    <w:rsid w:val="005270F9"/>
    <w:rsid w:val="00540497"/>
    <w:rsid w:val="005408F9"/>
    <w:rsid w:val="00542505"/>
    <w:rsid w:val="00543BA8"/>
    <w:rsid w:val="00544D24"/>
    <w:rsid w:val="00563C6F"/>
    <w:rsid w:val="00564F21"/>
    <w:rsid w:val="00573556"/>
    <w:rsid w:val="00573D2F"/>
    <w:rsid w:val="005843DE"/>
    <w:rsid w:val="00585334"/>
    <w:rsid w:val="00593BF7"/>
    <w:rsid w:val="005967D7"/>
    <w:rsid w:val="0059682F"/>
    <w:rsid w:val="005969FB"/>
    <w:rsid w:val="005A28A4"/>
    <w:rsid w:val="005A2F04"/>
    <w:rsid w:val="005A5D31"/>
    <w:rsid w:val="005A6392"/>
    <w:rsid w:val="005A67C0"/>
    <w:rsid w:val="005B6B53"/>
    <w:rsid w:val="005C004C"/>
    <w:rsid w:val="005C23D6"/>
    <w:rsid w:val="005C42A6"/>
    <w:rsid w:val="005D5512"/>
    <w:rsid w:val="005E3501"/>
    <w:rsid w:val="005F24AD"/>
    <w:rsid w:val="005F3D7B"/>
    <w:rsid w:val="005F525A"/>
    <w:rsid w:val="005F54F5"/>
    <w:rsid w:val="005F68FD"/>
    <w:rsid w:val="005F74C0"/>
    <w:rsid w:val="00605199"/>
    <w:rsid w:val="00614410"/>
    <w:rsid w:val="00624C5E"/>
    <w:rsid w:val="00626F7B"/>
    <w:rsid w:val="00626FD8"/>
    <w:rsid w:val="006270EC"/>
    <w:rsid w:val="00632942"/>
    <w:rsid w:val="006464CD"/>
    <w:rsid w:val="00650D85"/>
    <w:rsid w:val="006528C9"/>
    <w:rsid w:val="006673E8"/>
    <w:rsid w:val="00671EC0"/>
    <w:rsid w:val="00676F48"/>
    <w:rsid w:val="0067770B"/>
    <w:rsid w:val="00686056"/>
    <w:rsid w:val="00691C32"/>
    <w:rsid w:val="0069330A"/>
    <w:rsid w:val="00693623"/>
    <w:rsid w:val="006947C4"/>
    <w:rsid w:val="006A141F"/>
    <w:rsid w:val="006A473D"/>
    <w:rsid w:val="006B0513"/>
    <w:rsid w:val="006B16E0"/>
    <w:rsid w:val="006B24BB"/>
    <w:rsid w:val="006B30D1"/>
    <w:rsid w:val="006B4816"/>
    <w:rsid w:val="006C0902"/>
    <w:rsid w:val="006C1E9E"/>
    <w:rsid w:val="006C4B90"/>
    <w:rsid w:val="006C5AD3"/>
    <w:rsid w:val="006C617F"/>
    <w:rsid w:val="006D6A17"/>
    <w:rsid w:val="006E3221"/>
    <w:rsid w:val="00705766"/>
    <w:rsid w:val="00706DD8"/>
    <w:rsid w:val="007172D9"/>
    <w:rsid w:val="00720888"/>
    <w:rsid w:val="0072138D"/>
    <w:rsid w:val="0072746D"/>
    <w:rsid w:val="007312AA"/>
    <w:rsid w:val="00733D56"/>
    <w:rsid w:val="007342AA"/>
    <w:rsid w:val="00734C1B"/>
    <w:rsid w:val="007460A4"/>
    <w:rsid w:val="00750D3B"/>
    <w:rsid w:val="00750F80"/>
    <w:rsid w:val="007516F0"/>
    <w:rsid w:val="00753841"/>
    <w:rsid w:val="00753A99"/>
    <w:rsid w:val="007550AB"/>
    <w:rsid w:val="007604FB"/>
    <w:rsid w:val="007653DA"/>
    <w:rsid w:val="0076614E"/>
    <w:rsid w:val="00773725"/>
    <w:rsid w:val="007804DE"/>
    <w:rsid w:val="00784EB7"/>
    <w:rsid w:val="0079305A"/>
    <w:rsid w:val="007A1421"/>
    <w:rsid w:val="007A63F0"/>
    <w:rsid w:val="007B29C4"/>
    <w:rsid w:val="007B2FB1"/>
    <w:rsid w:val="007C008A"/>
    <w:rsid w:val="007C0C20"/>
    <w:rsid w:val="007C2A5C"/>
    <w:rsid w:val="007C7944"/>
    <w:rsid w:val="007C7C55"/>
    <w:rsid w:val="007D0560"/>
    <w:rsid w:val="007E03C0"/>
    <w:rsid w:val="007E2034"/>
    <w:rsid w:val="007E2836"/>
    <w:rsid w:val="007E326E"/>
    <w:rsid w:val="007E568A"/>
    <w:rsid w:val="007F0D03"/>
    <w:rsid w:val="007F4828"/>
    <w:rsid w:val="008005C8"/>
    <w:rsid w:val="008006BE"/>
    <w:rsid w:val="00802289"/>
    <w:rsid w:val="0080397A"/>
    <w:rsid w:val="00803CB7"/>
    <w:rsid w:val="00807054"/>
    <w:rsid w:val="0080728A"/>
    <w:rsid w:val="00807803"/>
    <w:rsid w:val="00813DBC"/>
    <w:rsid w:val="00813F7A"/>
    <w:rsid w:val="00821714"/>
    <w:rsid w:val="00821F18"/>
    <w:rsid w:val="00822995"/>
    <w:rsid w:val="00822FC7"/>
    <w:rsid w:val="008247BF"/>
    <w:rsid w:val="00825CB7"/>
    <w:rsid w:val="00826E16"/>
    <w:rsid w:val="00855A9A"/>
    <w:rsid w:val="00856A0E"/>
    <w:rsid w:val="008631CE"/>
    <w:rsid w:val="0086443E"/>
    <w:rsid w:val="008679E9"/>
    <w:rsid w:val="00867E1C"/>
    <w:rsid w:val="00872FD2"/>
    <w:rsid w:val="00873D35"/>
    <w:rsid w:val="00874873"/>
    <w:rsid w:val="00876869"/>
    <w:rsid w:val="008832E9"/>
    <w:rsid w:val="00887A84"/>
    <w:rsid w:val="00894F9A"/>
    <w:rsid w:val="00896BD0"/>
    <w:rsid w:val="008B26FD"/>
    <w:rsid w:val="008B2E86"/>
    <w:rsid w:val="008B2F37"/>
    <w:rsid w:val="008B434C"/>
    <w:rsid w:val="008C0AB9"/>
    <w:rsid w:val="008C0EAA"/>
    <w:rsid w:val="008C5A91"/>
    <w:rsid w:val="008E1D41"/>
    <w:rsid w:val="008E2830"/>
    <w:rsid w:val="008E3008"/>
    <w:rsid w:val="008E7B8E"/>
    <w:rsid w:val="008E7ED3"/>
    <w:rsid w:val="008F1380"/>
    <w:rsid w:val="008F31BA"/>
    <w:rsid w:val="00904097"/>
    <w:rsid w:val="009053F7"/>
    <w:rsid w:val="00905422"/>
    <w:rsid w:val="00930258"/>
    <w:rsid w:val="00930A39"/>
    <w:rsid w:val="009350F0"/>
    <w:rsid w:val="009419A4"/>
    <w:rsid w:val="0094478D"/>
    <w:rsid w:val="00952D32"/>
    <w:rsid w:val="00957BA0"/>
    <w:rsid w:val="00971261"/>
    <w:rsid w:val="00977BEA"/>
    <w:rsid w:val="00991538"/>
    <w:rsid w:val="0099372E"/>
    <w:rsid w:val="00994C96"/>
    <w:rsid w:val="00995104"/>
    <w:rsid w:val="009A0464"/>
    <w:rsid w:val="009A44A5"/>
    <w:rsid w:val="009A4B11"/>
    <w:rsid w:val="009B058D"/>
    <w:rsid w:val="009B139F"/>
    <w:rsid w:val="009B2D95"/>
    <w:rsid w:val="009B60B8"/>
    <w:rsid w:val="009C403B"/>
    <w:rsid w:val="009C6EE0"/>
    <w:rsid w:val="009D3564"/>
    <w:rsid w:val="009D5174"/>
    <w:rsid w:val="009D57E3"/>
    <w:rsid w:val="009D5F93"/>
    <w:rsid w:val="009E006D"/>
    <w:rsid w:val="009E0A65"/>
    <w:rsid w:val="009E5122"/>
    <w:rsid w:val="009E7724"/>
    <w:rsid w:val="00A02D95"/>
    <w:rsid w:val="00A043CA"/>
    <w:rsid w:val="00A063EE"/>
    <w:rsid w:val="00A0784F"/>
    <w:rsid w:val="00A161A4"/>
    <w:rsid w:val="00A17957"/>
    <w:rsid w:val="00A22C63"/>
    <w:rsid w:val="00A253B8"/>
    <w:rsid w:val="00A263C2"/>
    <w:rsid w:val="00A31E80"/>
    <w:rsid w:val="00A32258"/>
    <w:rsid w:val="00A33333"/>
    <w:rsid w:val="00A37554"/>
    <w:rsid w:val="00A43B3E"/>
    <w:rsid w:val="00A659E1"/>
    <w:rsid w:val="00A7281A"/>
    <w:rsid w:val="00A76CA0"/>
    <w:rsid w:val="00A80E26"/>
    <w:rsid w:val="00A8104F"/>
    <w:rsid w:val="00A85445"/>
    <w:rsid w:val="00A900CC"/>
    <w:rsid w:val="00A9095F"/>
    <w:rsid w:val="00A92CC9"/>
    <w:rsid w:val="00A96951"/>
    <w:rsid w:val="00A97EDE"/>
    <w:rsid w:val="00AA05D1"/>
    <w:rsid w:val="00AA34E3"/>
    <w:rsid w:val="00AA4905"/>
    <w:rsid w:val="00AB32A9"/>
    <w:rsid w:val="00AB3DD5"/>
    <w:rsid w:val="00AC02AA"/>
    <w:rsid w:val="00AC1D94"/>
    <w:rsid w:val="00AC2081"/>
    <w:rsid w:val="00AD1749"/>
    <w:rsid w:val="00AD6475"/>
    <w:rsid w:val="00AE0FC7"/>
    <w:rsid w:val="00AE6C40"/>
    <w:rsid w:val="00AE710A"/>
    <w:rsid w:val="00AF1E66"/>
    <w:rsid w:val="00B020E4"/>
    <w:rsid w:val="00B055B1"/>
    <w:rsid w:val="00B0660D"/>
    <w:rsid w:val="00B06697"/>
    <w:rsid w:val="00B176C3"/>
    <w:rsid w:val="00B204BA"/>
    <w:rsid w:val="00B20E03"/>
    <w:rsid w:val="00B246CA"/>
    <w:rsid w:val="00B253A1"/>
    <w:rsid w:val="00B262AB"/>
    <w:rsid w:val="00B33CB7"/>
    <w:rsid w:val="00B352FA"/>
    <w:rsid w:val="00B3609F"/>
    <w:rsid w:val="00B36B5C"/>
    <w:rsid w:val="00B36D31"/>
    <w:rsid w:val="00B43146"/>
    <w:rsid w:val="00B46969"/>
    <w:rsid w:val="00B47A1D"/>
    <w:rsid w:val="00B53802"/>
    <w:rsid w:val="00B612AE"/>
    <w:rsid w:val="00B615EA"/>
    <w:rsid w:val="00B617CD"/>
    <w:rsid w:val="00B66FC9"/>
    <w:rsid w:val="00B7025F"/>
    <w:rsid w:val="00B71F0C"/>
    <w:rsid w:val="00B76AF5"/>
    <w:rsid w:val="00B805E0"/>
    <w:rsid w:val="00B955FF"/>
    <w:rsid w:val="00B962CB"/>
    <w:rsid w:val="00BB12C1"/>
    <w:rsid w:val="00BB4A7A"/>
    <w:rsid w:val="00BB6CB3"/>
    <w:rsid w:val="00BC0047"/>
    <w:rsid w:val="00BC266F"/>
    <w:rsid w:val="00BD2206"/>
    <w:rsid w:val="00BE48D2"/>
    <w:rsid w:val="00BE7509"/>
    <w:rsid w:val="00BE77B1"/>
    <w:rsid w:val="00BF67EE"/>
    <w:rsid w:val="00BF6F8B"/>
    <w:rsid w:val="00C04DCF"/>
    <w:rsid w:val="00C04F0F"/>
    <w:rsid w:val="00C06177"/>
    <w:rsid w:val="00C075EA"/>
    <w:rsid w:val="00C14C5A"/>
    <w:rsid w:val="00C158DA"/>
    <w:rsid w:val="00C23990"/>
    <w:rsid w:val="00C25EC1"/>
    <w:rsid w:val="00C34C43"/>
    <w:rsid w:val="00C41BEB"/>
    <w:rsid w:val="00C432E4"/>
    <w:rsid w:val="00C50A26"/>
    <w:rsid w:val="00C56476"/>
    <w:rsid w:val="00C61AC6"/>
    <w:rsid w:val="00C6718E"/>
    <w:rsid w:val="00C702C7"/>
    <w:rsid w:val="00C7429C"/>
    <w:rsid w:val="00C762EB"/>
    <w:rsid w:val="00C7751E"/>
    <w:rsid w:val="00C81837"/>
    <w:rsid w:val="00C8703B"/>
    <w:rsid w:val="00CA4E63"/>
    <w:rsid w:val="00CA5B05"/>
    <w:rsid w:val="00CC2A1A"/>
    <w:rsid w:val="00CC5E8F"/>
    <w:rsid w:val="00CC69B1"/>
    <w:rsid w:val="00CD2311"/>
    <w:rsid w:val="00CD5842"/>
    <w:rsid w:val="00CE17B8"/>
    <w:rsid w:val="00CE1D9F"/>
    <w:rsid w:val="00CF3CA4"/>
    <w:rsid w:val="00CF546E"/>
    <w:rsid w:val="00CF7F7F"/>
    <w:rsid w:val="00D0023B"/>
    <w:rsid w:val="00D01239"/>
    <w:rsid w:val="00D149B4"/>
    <w:rsid w:val="00D15733"/>
    <w:rsid w:val="00D21B41"/>
    <w:rsid w:val="00D236E8"/>
    <w:rsid w:val="00D27B73"/>
    <w:rsid w:val="00D329DF"/>
    <w:rsid w:val="00D33A2B"/>
    <w:rsid w:val="00D35C72"/>
    <w:rsid w:val="00D36E73"/>
    <w:rsid w:val="00D4280C"/>
    <w:rsid w:val="00D5297D"/>
    <w:rsid w:val="00D52A6A"/>
    <w:rsid w:val="00D55929"/>
    <w:rsid w:val="00D61DFC"/>
    <w:rsid w:val="00D6230E"/>
    <w:rsid w:val="00D768FD"/>
    <w:rsid w:val="00D7732D"/>
    <w:rsid w:val="00D77643"/>
    <w:rsid w:val="00D776CC"/>
    <w:rsid w:val="00D8016F"/>
    <w:rsid w:val="00D80BA0"/>
    <w:rsid w:val="00D815D0"/>
    <w:rsid w:val="00DA1962"/>
    <w:rsid w:val="00DA2169"/>
    <w:rsid w:val="00DA4FB2"/>
    <w:rsid w:val="00DB0CB1"/>
    <w:rsid w:val="00DB1816"/>
    <w:rsid w:val="00DB5D79"/>
    <w:rsid w:val="00DC4D91"/>
    <w:rsid w:val="00DC65D0"/>
    <w:rsid w:val="00DD266F"/>
    <w:rsid w:val="00DD5A1B"/>
    <w:rsid w:val="00DD715C"/>
    <w:rsid w:val="00DE08C6"/>
    <w:rsid w:val="00DE18BC"/>
    <w:rsid w:val="00DE4E01"/>
    <w:rsid w:val="00DF4B62"/>
    <w:rsid w:val="00E00289"/>
    <w:rsid w:val="00E0517E"/>
    <w:rsid w:val="00E05677"/>
    <w:rsid w:val="00E0575B"/>
    <w:rsid w:val="00E15DEF"/>
    <w:rsid w:val="00E15E9E"/>
    <w:rsid w:val="00E26113"/>
    <w:rsid w:val="00E266A4"/>
    <w:rsid w:val="00E307B8"/>
    <w:rsid w:val="00E35306"/>
    <w:rsid w:val="00E35847"/>
    <w:rsid w:val="00E36C7A"/>
    <w:rsid w:val="00E4362E"/>
    <w:rsid w:val="00E50FBB"/>
    <w:rsid w:val="00E51605"/>
    <w:rsid w:val="00E54BEF"/>
    <w:rsid w:val="00E56993"/>
    <w:rsid w:val="00E56BE5"/>
    <w:rsid w:val="00E56F4A"/>
    <w:rsid w:val="00E76F4E"/>
    <w:rsid w:val="00E7797E"/>
    <w:rsid w:val="00E82807"/>
    <w:rsid w:val="00E867F7"/>
    <w:rsid w:val="00E87432"/>
    <w:rsid w:val="00E9393B"/>
    <w:rsid w:val="00E943B8"/>
    <w:rsid w:val="00E94C20"/>
    <w:rsid w:val="00EA0D5A"/>
    <w:rsid w:val="00EA300D"/>
    <w:rsid w:val="00EA44E1"/>
    <w:rsid w:val="00EB209E"/>
    <w:rsid w:val="00EB5CD1"/>
    <w:rsid w:val="00EC6CC9"/>
    <w:rsid w:val="00ED5DBC"/>
    <w:rsid w:val="00EE16D4"/>
    <w:rsid w:val="00EE2C87"/>
    <w:rsid w:val="00EE61A2"/>
    <w:rsid w:val="00EE6E4F"/>
    <w:rsid w:val="00EF0925"/>
    <w:rsid w:val="00EF13D8"/>
    <w:rsid w:val="00EF4086"/>
    <w:rsid w:val="00F045B9"/>
    <w:rsid w:val="00F1079D"/>
    <w:rsid w:val="00F1518C"/>
    <w:rsid w:val="00F15F5C"/>
    <w:rsid w:val="00F17C20"/>
    <w:rsid w:val="00F23266"/>
    <w:rsid w:val="00F3081C"/>
    <w:rsid w:val="00F3473A"/>
    <w:rsid w:val="00F41AD7"/>
    <w:rsid w:val="00F448EC"/>
    <w:rsid w:val="00F45C79"/>
    <w:rsid w:val="00F506EF"/>
    <w:rsid w:val="00F5140D"/>
    <w:rsid w:val="00F55BAD"/>
    <w:rsid w:val="00F565A3"/>
    <w:rsid w:val="00F600EA"/>
    <w:rsid w:val="00F63242"/>
    <w:rsid w:val="00F64334"/>
    <w:rsid w:val="00F66FD8"/>
    <w:rsid w:val="00F7435C"/>
    <w:rsid w:val="00F9119D"/>
    <w:rsid w:val="00F91722"/>
    <w:rsid w:val="00F94990"/>
    <w:rsid w:val="00F973D7"/>
    <w:rsid w:val="00FA0E7B"/>
    <w:rsid w:val="00FA6EC4"/>
    <w:rsid w:val="00FB0CB7"/>
    <w:rsid w:val="00FB25C1"/>
    <w:rsid w:val="00FB6C38"/>
    <w:rsid w:val="00FC1E31"/>
    <w:rsid w:val="00FC2104"/>
    <w:rsid w:val="00FC2B0D"/>
    <w:rsid w:val="00FC3A87"/>
    <w:rsid w:val="00FC5C06"/>
    <w:rsid w:val="00FC7B9F"/>
    <w:rsid w:val="00FD505C"/>
    <w:rsid w:val="00FD5421"/>
    <w:rsid w:val="00FD59D7"/>
    <w:rsid w:val="00FE7D65"/>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048"/>
  <w15:chartTrackingRefBased/>
  <w15:docId w15:val="{BAFE8D87-EAE1-4E7F-B209-21706E5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uiPriority="0"/>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0AB"/>
    <w:pPr>
      <w:spacing w:after="240" w:line="240" w:lineRule="atLeast"/>
    </w:pPr>
    <w:rPr>
      <w:sz w:val="18"/>
      <w:szCs w:val="22"/>
      <w:lang w:val="en-US" w:eastAsia="en-US"/>
    </w:rPr>
  </w:style>
  <w:style w:type="paragraph" w:styleId="Nadpis1">
    <w:name w:val="heading 1"/>
    <w:basedOn w:val="Normln"/>
    <w:next w:val="Normln"/>
    <w:link w:val="Nadpis1Char"/>
    <w:qFormat/>
    <w:rsid w:val="007550AB"/>
    <w:pPr>
      <w:keepNext/>
      <w:keepLines/>
      <w:spacing w:after="0"/>
      <w:outlineLvl w:val="0"/>
    </w:pPr>
    <w:rPr>
      <w:rFonts w:eastAsia="MingLiU"/>
      <w:b/>
      <w:bCs/>
      <w:color w:val="62B5E5"/>
      <w:szCs w:val="28"/>
    </w:rPr>
  </w:style>
  <w:style w:type="paragraph" w:styleId="Nadpis2">
    <w:name w:val="heading 2"/>
    <w:basedOn w:val="Normln"/>
    <w:next w:val="Normln"/>
    <w:link w:val="Nadpis2Char"/>
    <w:qFormat/>
    <w:rsid w:val="007550AB"/>
    <w:pPr>
      <w:keepNext/>
      <w:keepLines/>
      <w:spacing w:after="0"/>
      <w:outlineLvl w:val="1"/>
    </w:pPr>
    <w:rPr>
      <w:rFonts w:eastAsia="MingLiU"/>
      <w:b/>
      <w:bCs/>
      <w:color w:val="000000"/>
      <w:szCs w:val="26"/>
    </w:rPr>
  </w:style>
  <w:style w:type="paragraph" w:styleId="Nadpis3">
    <w:name w:val="heading 3"/>
    <w:basedOn w:val="Normln"/>
    <w:next w:val="Normln"/>
    <w:link w:val="Nadpis3Char"/>
    <w:qFormat/>
    <w:rsid w:val="00CC2A1A"/>
    <w:pPr>
      <w:keepNext/>
      <w:keepLines/>
      <w:spacing w:after="0"/>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spacing w:after="0"/>
      <w:outlineLvl w:val="3"/>
    </w:pPr>
    <w:rPr>
      <w:rFonts w:eastAsia="MingLiU"/>
      <w:b/>
      <w:bCs/>
      <w:iCs/>
      <w:color w:val="000000"/>
    </w:rPr>
  </w:style>
  <w:style w:type="paragraph" w:styleId="Nadpis5">
    <w:name w:val="heading 5"/>
    <w:basedOn w:val="Normln"/>
    <w:next w:val="Normln"/>
    <w:link w:val="Nadpis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Nadpis6">
    <w:name w:val="heading 6"/>
    <w:basedOn w:val="Normln"/>
    <w:next w:val="Normln"/>
    <w:link w:val="Nadpis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Nadpis7">
    <w:name w:val="heading 7"/>
    <w:basedOn w:val="Normln"/>
    <w:next w:val="Normln"/>
    <w:link w:val="Nadpis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Nadpis8">
    <w:name w:val="heading 8"/>
    <w:aliases w:val="(Appendici)"/>
    <w:basedOn w:val="Normln"/>
    <w:next w:val="Normln"/>
    <w:link w:val="Nadpis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Nadpis9">
    <w:name w:val="heading 9"/>
    <w:aliases w:val="(Bibliografia)"/>
    <w:basedOn w:val="Normln"/>
    <w:next w:val="Normln"/>
    <w:link w:val="Nadpis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aliases w:val="Deloitte table 3"/>
    <w:basedOn w:val="Normlntabulka"/>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rsid w:val="00F3081C"/>
    <w:pPr>
      <w:spacing w:after="0" w:line="240" w:lineRule="auto"/>
    </w:pPr>
    <w:rPr>
      <w:sz w:val="16"/>
      <w:szCs w:val="20"/>
    </w:rPr>
  </w:style>
  <w:style w:type="character" w:customStyle="1" w:styleId="TextpoznpodarouChar">
    <w:name w:val="Text pozn. pod čarou Char"/>
    <w:link w:val="Textpoznpodarou"/>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ind w:left="1049" w:hanging="624"/>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ind w:left="1843"/>
      <w:jc w:val="both"/>
    </w:pPr>
    <w:rPr>
      <w:sz w:val="18"/>
      <w:szCs w:val="22"/>
      <w:lang w:val="en-US" w:eastAsia="en-US"/>
    </w:rPr>
  </w:style>
  <w:style w:type="character" w:customStyle="1" w:styleId="Nadpis5Char">
    <w:name w:val="Nadpis 5 Char"/>
    <w:basedOn w:val="Standardnpsmoodstavce"/>
    <w:link w:val="Nadpis5"/>
    <w:rsid w:val="00B7025F"/>
    <w:rPr>
      <w:rFonts w:ascii="Arial" w:eastAsiaTheme="majorEastAsia" w:hAnsi="Arial" w:cstheme="majorBidi"/>
      <w:b/>
      <w:i/>
      <w:color w:val="425D12" w:themeColor="accent1" w:themeShade="7F"/>
      <w:sz w:val="24"/>
      <w:szCs w:val="24"/>
      <w:lang w:val="en-US" w:eastAsia="en-US"/>
    </w:rPr>
  </w:style>
  <w:style w:type="character" w:customStyle="1" w:styleId="Nadpis6Char">
    <w:name w:val="Nadpis 6 Char"/>
    <w:basedOn w:val="Standardnpsmoodstavce"/>
    <w:link w:val="Nadpis6"/>
    <w:rsid w:val="00B7025F"/>
    <w:rPr>
      <w:rFonts w:ascii="Arial" w:eastAsiaTheme="majorEastAsia" w:hAnsi="Arial" w:cstheme="majorBidi"/>
      <w:i/>
      <w:iCs/>
      <w:color w:val="425D12" w:themeColor="accent1" w:themeShade="7F"/>
      <w:sz w:val="24"/>
      <w:szCs w:val="24"/>
      <w:lang w:val="en-US" w:eastAsia="en-US"/>
    </w:rPr>
  </w:style>
  <w:style w:type="character" w:customStyle="1" w:styleId="Nadpis7Char">
    <w:name w:val="Nadpis 7 Char"/>
    <w:basedOn w:val="Standardnpsmoodstavce"/>
    <w:link w:val="Nadpis7"/>
    <w:rsid w:val="00B7025F"/>
    <w:rPr>
      <w:rFonts w:ascii="Arial" w:eastAsiaTheme="majorEastAsia" w:hAnsi="Arial" w:cstheme="majorBidi"/>
      <w:i/>
      <w:iCs/>
      <w:color w:val="404040" w:themeColor="text1" w:themeTint="BF"/>
      <w:sz w:val="22"/>
      <w:szCs w:val="24"/>
      <w:lang w:val="en-US" w:eastAsia="en-US"/>
    </w:rPr>
  </w:style>
  <w:style w:type="character" w:customStyle="1" w:styleId="Nadpis8Char">
    <w:name w:val="Nadpis 8 Char"/>
    <w:aliases w:val="(Appendici) Char"/>
    <w:basedOn w:val="Standardnpsmoodstavce"/>
    <w:link w:val="Nadpis8"/>
    <w:rsid w:val="00B7025F"/>
    <w:rPr>
      <w:rFonts w:ascii="Arial" w:eastAsiaTheme="majorEastAsia" w:hAnsi="Arial" w:cstheme="majorBidi"/>
      <w:i/>
      <w:color w:val="404040" w:themeColor="text1" w:themeTint="BF"/>
      <w:lang w:val="en-US" w:eastAsia="en-US"/>
    </w:rPr>
  </w:style>
  <w:style w:type="character" w:customStyle="1" w:styleId="Nadpis9Char">
    <w:name w:val="Nadpis 9 Char"/>
    <w:aliases w:val="(Bibliografia) Char"/>
    <w:basedOn w:val="Standardnpsmoodstavce"/>
    <w:link w:val="Nadpis9"/>
    <w:rsid w:val="00B7025F"/>
    <w:rPr>
      <w:rFonts w:ascii="Arial" w:eastAsiaTheme="majorEastAsia" w:hAnsi="Arial" w:cstheme="majorBidi"/>
      <w:i/>
      <w:iCs/>
      <w:color w:val="404040" w:themeColor="text1" w:themeTint="BF"/>
      <w:sz w:val="18"/>
      <w:lang w:val="en-US" w:eastAsia="en-US"/>
    </w:rPr>
  </w:style>
  <w:style w:type="character" w:styleId="slostrnky">
    <w:name w:val="page number"/>
    <w:basedOn w:val="Standardnpsmoodstavce"/>
    <w:rsid w:val="00B7025F"/>
    <w:rPr>
      <w:rFonts w:ascii="Arial" w:hAnsi="Arial"/>
      <w:sz w:val="16"/>
    </w:rPr>
  </w:style>
  <w:style w:type="paragraph" w:styleId="Obsah2">
    <w:name w:val="toc 2"/>
    <w:basedOn w:val="Normln"/>
    <w:next w:val="Normln"/>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Obsah3">
    <w:name w:val="toc 3"/>
    <w:basedOn w:val="Normln"/>
    <w:next w:val="Normln"/>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ln"/>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ln"/>
    <w:next w:val="Normln"/>
    <w:qFormat/>
    <w:rsid w:val="00B204BA"/>
    <w:pPr>
      <w:jc w:val="both"/>
    </w:pPr>
    <w:rPr>
      <w:rFonts w:eastAsia="Times New Roman"/>
      <w:b/>
      <w:lang w:val="cs-CZ"/>
    </w:rPr>
  </w:style>
  <w:style w:type="character" w:customStyle="1" w:styleId="CaptionbodyChar">
    <w:name w:val="Caption body Char"/>
    <w:basedOn w:val="Standardnpsmoodstavce"/>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ln"/>
    <w:rsid w:val="00B7025F"/>
    <w:pPr>
      <w:keepLines/>
      <w:tabs>
        <w:tab w:val="left" w:pos="851"/>
      </w:tabs>
      <w:jc w:val="both"/>
    </w:pPr>
    <w:rPr>
      <w:rFonts w:eastAsia="Times"/>
      <w:noProof/>
      <w:szCs w:val="18"/>
      <w:lang w:val="cs-CZ"/>
    </w:rPr>
  </w:style>
  <w:style w:type="paragraph" w:customStyle="1" w:styleId="Highlight1">
    <w:name w:val="Highlight 1"/>
    <w:basedOn w:val="Normln"/>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Normlntabulka"/>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Normlntabulka"/>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B7025F"/>
    <w:rPr>
      <w:rFonts w:ascii="Arial" w:eastAsia="Times New Roman" w:hAnsi="Arial"/>
      <w:sz w:val="19"/>
      <w:lang w:val="en-US" w:eastAsia="en-US"/>
    </w:rPr>
    <w:tblPr/>
  </w:style>
  <w:style w:type="table" w:customStyle="1" w:styleId="Deloittetable6">
    <w:name w:val="Deloitte table 6"/>
    <w:basedOn w:val="Normlntabulka"/>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Nadpisobsahu">
    <w:name w:val="TOC Heading"/>
    <w:basedOn w:val="Nadpis1"/>
    <w:next w:val="Normln"/>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Zkladntext">
    <w:name w:val="Body Text"/>
    <w:basedOn w:val="Normln"/>
    <w:link w:val="ZkladntextChar"/>
    <w:rsid w:val="00B7025F"/>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B7025F"/>
    <w:rPr>
      <w:rFonts w:eastAsia="Times New Roman"/>
      <w:sz w:val="18"/>
      <w:szCs w:val="18"/>
      <w:lang w:val="en-GB" w:eastAsia="en-US"/>
    </w:rPr>
  </w:style>
  <w:style w:type="paragraph" w:customStyle="1" w:styleId="Table">
    <w:name w:val="Table"/>
    <w:basedOn w:val="Normln"/>
    <w:rsid w:val="00B7025F"/>
    <w:pPr>
      <w:keepLines/>
      <w:tabs>
        <w:tab w:val="left" w:pos="851"/>
      </w:tabs>
      <w:spacing w:before="120" w:after="0" w:line="240" w:lineRule="auto"/>
      <w:jc w:val="both"/>
    </w:pPr>
    <w:rPr>
      <w:rFonts w:ascii="Arial" w:eastAsia="Times New Roman" w:hAnsi="Arial"/>
      <w:szCs w:val="18"/>
      <w:lang w:val="cs-CZ"/>
    </w:rPr>
  </w:style>
  <w:style w:type="character" w:styleId="Odkaznakoment">
    <w:name w:val="annotation reference"/>
    <w:basedOn w:val="Standardnpsmoodstavce"/>
    <w:rsid w:val="00B7025F"/>
    <w:rPr>
      <w:sz w:val="16"/>
      <w:szCs w:val="16"/>
    </w:rPr>
  </w:style>
  <w:style w:type="paragraph" w:styleId="Normlnweb">
    <w:name w:val="Normal (Web)"/>
    <w:basedOn w:val="Normln"/>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Nadpis1"/>
    <w:next w:val="Normln"/>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Odstavecseseznamem">
    <w:name w:val="List Paragraph"/>
    <w:basedOn w:val="Normln"/>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ln"/>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ln"/>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ln"/>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Bezseznamu"/>
    <w:semiHidden/>
    <w:rsid w:val="00B7025F"/>
  </w:style>
  <w:style w:type="paragraph" w:customStyle="1" w:styleId="StyleOdstavecItalic">
    <w:name w:val="Style Odstavec + Italic"/>
    <w:basedOn w:val="Normln"/>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Standardnpsmoodstavce"/>
    <w:link w:val="StyleOdstavecItalic"/>
    <w:rsid w:val="00B7025F"/>
    <w:rPr>
      <w:rFonts w:ascii="Arial" w:eastAsia="Times New Roman" w:hAnsi="Arial"/>
      <w:i/>
      <w:iCs/>
      <w:sz w:val="18"/>
      <w:szCs w:val="18"/>
      <w:lang w:eastAsia="en-US"/>
    </w:rPr>
  </w:style>
  <w:style w:type="paragraph" w:styleId="Pedmtkomente">
    <w:name w:val="annotation subject"/>
    <w:basedOn w:val="Normln"/>
    <w:link w:val="Pedmtkomente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PedmtkomenteChar">
    <w:name w:val="Předmět komentáře Char"/>
    <w:basedOn w:val="Standardnpsmoodstavce"/>
    <w:link w:val="Pedmtkomente"/>
    <w:rsid w:val="00B7025F"/>
    <w:rPr>
      <w:rFonts w:ascii="Arial" w:eastAsia="Times New Roman" w:hAnsi="Arial"/>
      <w:b/>
      <w:bCs/>
      <w:lang w:eastAsia="en-US"/>
    </w:rPr>
  </w:style>
  <w:style w:type="paragraph" w:styleId="Prosttext">
    <w:name w:val="Plain Text"/>
    <w:basedOn w:val="Normln"/>
    <w:link w:val="Prost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B7025F"/>
    <w:rPr>
      <w:rFonts w:ascii="Calibri" w:eastAsiaTheme="minorHAnsi" w:hAnsi="Calibri" w:cs="Consolas"/>
      <w:sz w:val="22"/>
      <w:szCs w:val="21"/>
      <w:lang w:eastAsia="en-US"/>
    </w:rPr>
  </w:style>
  <w:style w:type="paragraph" w:styleId="Textkomente">
    <w:name w:val="annotation text"/>
    <w:basedOn w:val="Normln"/>
    <w:link w:val="TextkomenteChar"/>
    <w:semiHidden/>
    <w:pPr>
      <w:spacing w:line="240" w:lineRule="auto"/>
    </w:pPr>
    <w:rPr>
      <w:sz w:val="20"/>
      <w:szCs w:val="20"/>
    </w:rPr>
  </w:style>
  <w:style w:type="character" w:customStyle="1" w:styleId="TextkomenteChar">
    <w:name w:val="Text komentáře Char"/>
    <w:basedOn w:val="Standardnpsmoodstavce"/>
    <w:link w:val="Textkomente"/>
    <w:semiHidden/>
    <w:rPr>
      <w:lang w:val="en-US" w:eastAsia="en-US"/>
    </w:rPr>
  </w:style>
  <w:style w:type="paragraph" w:customStyle="1" w:styleId="smlouvaheading10">
    <w:name w:val="smlouva heading 1"/>
    <w:next w:val="Normln"/>
    <w:qFormat/>
    <w:rsid w:val="00FD59D7"/>
    <w:pPr>
      <w:tabs>
        <w:tab w:val="num" w:pos="425"/>
      </w:tabs>
      <w:spacing w:before="240" w:after="120"/>
      <w:ind w:left="850" w:hanging="425"/>
    </w:pPr>
    <w:rPr>
      <w:rFonts w:eastAsia="Times New Roman"/>
      <w:b/>
      <w:noProof/>
      <w:color w:val="000000" w:themeColor="text1"/>
      <w:sz w:val="18"/>
      <w:szCs w:val="24"/>
      <w:lang w:eastAsia="en-US"/>
    </w:rPr>
  </w:style>
  <w:style w:type="paragraph" w:styleId="Revize">
    <w:name w:val="Revision"/>
    <w:hidden/>
    <w:uiPriority w:val="99"/>
    <w:semiHidden/>
    <w:rsid w:val="000510A2"/>
    <w:rPr>
      <w:sz w:val="18"/>
      <w:szCs w:val="22"/>
      <w:lang w:val="en-US" w:eastAsia="en-US"/>
    </w:rPr>
  </w:style>
  <w:style w:type="paragraph" w:customStyle="1" w:styleId="Default">
    <w:name w:val="Default"/>
    <w:rsid w:val="00DA4FB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ctarna@7group.cz" TargetMode="Externa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6CA369A2413479978C5BBDD57CDD8" ma:contentTypeVersion="12" ma:contentTypeDescription="Create a new document." ma:contentTypeScope="" ma:versionID="e9e2e29551b2b3db1783eb2f703f8284">
  <xsd:schema xmlns:xsd="http://www.w3.org/2001/XMLSchema" xmlns:xs="http://www.w3.org/2001/XMLSchema" xmlns:p="http://schemas.microsoft.com/office/2006/metadata/properties" xmlns:ns2="66434f01-f8f5-41b6-9b7a-902e7b4b817f" xmlns:ns3="382174b9-57b5-473b-b571-6ccaf0144f5b" targetNamespace="http://schemas.microsoft.com/office/2006/metadata/properties" ma:root="true" ma:fieldsID="ae7c386dfa6dbc26f8f77bdb002951f0" ns2:_="" ns3:_="">
    <xsd:import namespace="66434f01-f8f5-41b6-9b7a-902e7b4b817f"/>
    <xsd:import namespace="382174b9-57b5-473b-b571-6ccaf0144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34f01-f8f5-41b6-9b7a-902e7b4b8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174b9-57b5-473b-b571-6ccaf0144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4E8A-AFF0-44F9-B51E-F616725EC7F3}">
  <ds:schemaRefs>
    <ds:schemaRef ds:uri="http://schemas.microsoft.com/sharepoint/v3/contenttype/forms"/>
  </ds:schemaRefs>
</ds:datastoreItem>
</file>

<file path=customXml/itemProps2.xml><?xml version="1.0" encoding="utf-8"?>
<ds:datastoreItem xmlns:ds="http://schemas.openxmlformats.org/officeDocument/2006/customXml" ds:itemID="{ABE0ABC2-390B-446A-A5A5-0BEE1F56B131}">
  <ds:schemaRefs>
    <ds:schemaRef ds:uri="66434f01-f8f5-41b6-9b7a-902e7b4b817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82174b9-57b5-473b-b571-6ccaf0144f5b"/>
    <ds:schemaRef ds:uri="http://www.w3.org/XML/1998/namespace"/>
  </ds:schemaRefs>
</ds:datastoreItem>
</file>

<file path=customXml/itemProps3.xml><?xml version="1.0" encoding="utf-8"?>
<ds:datastoreItem xmlns:ds="http://schemas.openxmlformats.org/officeDocument/2006/customXml" ds:itemID="{442C9CE2-D54B-45C5-A32A-E81F347B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34f01-f8f5-41b6-9b7a-902e7b4b817f"/>
    <ds:schemaRef ds:uri="382174b9-57b5-473b-b571-6ccaf0144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192E4-036B-4C62-941E-0B129495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9632</Words>
  <Characters>56830</Characters>
  <Application>Microsoft Office Word</Application>
  <DocSecurity>0</DocSecurity>
  <Lines>473</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66330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Havlova, Pavlina (CZ - Prague)</dc:creator>
  <cp:keywords/>
  <dc:description/>
  <cp:lastModifiedBy>Langová Zuzana Mgr.</cp:lastModifiedBy>
  <cp:revision>2</cp:revision>
  <cp:lastPrinted>2023-02-07T09:19:00Z</cp:lastPrinted>
  <dcterms:created xsi:type="dcterms:W3CDTF">2023-02-15T13:14:00Z</dcterms:created>
  <dcterms:modified xsi:type="dcterms:W3CDTF">2023-02-15T13:14:00Z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0x0101000586CA369A2413479978C5BBDD57CDD8</vt:lpwstr>
  </property>
  <property fmtid="{D5CDD505-2E9C-101B-9397-08002B2CF9AE}" pid="3" name="MSIP_Label_ea60d57e-af5b-4752-ac57-3e4f28ca11dc_Enabled">
    <vt:lpwstr>true</vt:lpwstr>
  </property>
  <property fmtid="{D5CDD505-2E9C-101B-9397-08002B2CF9AE}" pid="4" name="MSIP_Label_ea60d57e-af5b-4752-ac57-3e4f28ca11dc_SetDate">
    <vt:lpwstr>2023-02-02T13:13:12Z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a0b46c4a-0031-4d48-b3f6-f624cec81a87</vt:lpwstr>
  </property>
  <property fmtid="{D5CDD505-2E9C-101B-9397-08002B2CF9AE}" pid="9" name="MSIP_Label_ea60d57e-af5b-4752-ac57-3e4f28ca11dc_ContentBits">
    <vt:lpwstr>0</vt:lpwstr>
  </property>
</Properties>
</file>