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5F1F58">
        <w:rPr>
          <w:rFonts w:ascii="Arial" w:hAnsi="Arial" w:cs="Arial"/>
          <w:b/>
          <w:sz w:val="22"/>
          <w:szCs w:val="22"/>
        </w:rPr>
        <w:t>199</w:t>
      </w:r>
      <w:r w:rsidR="006B4DA8">
        <w:rPr>
          <w:rFonts w:ascii="Arial" w:hAnsi="Arial" w:cs="Arial"/>
          <w:b/>
          <w:sz w:val="22"/>
          <w:szCs w:val="22"/>
        </w:rPr>
        <w:t>/2023</w:t>
      </w:r>
    </w:p>
    <w:p w:rsidR="0096148E" w:rsidRPr="00454D43" w:rsidRDefault="0096148E" w:rsidP="0096148E">
      <w:pPr>
        <w:rPr>
          <w:rFonts w:ascii="Arial" w:hAnsi="Arial" w:cs="Arial"/>
          <w:b/>
          <w:sz w:val="22"/>
          <w:szCs w:val="22"/>
        </w:rPr>
      </w:pPr>
    </w:p>
    <w:p w:rsidR="00864AB4"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F1F58" w:rsidRDefault="005F1F58" w:rsidP="00864AB4">
      <w:pPr>
        <w:pStyle w:val="Export0"/>
        <w:jc w:val="center"/>
        <w:rPr>
          <w:rFonts w:ascii="Arial" w:hAnsi="Arial" w:cs="Arial"/>
          <w:b/>
          <w:sz w:val="22"/>
          <w:szCs w:val="22"/>
          <w:lang w:val="cs-CZ"/>
        </w:rPr>
      </w:pPr>
    </w:p>
    <w:p w:rsidR="005F1F58" w:rsidRPr="0073163A" w:rsidRDefault="005F1F58" w:rsidP="005F1F58">
      <w:pPr>
        <w:keepNext/>
        <w:spacing w:before="120" w:after="120"/>
        <w:ind w:right="142"/>
        <w:jc w:val="center"/>
        <w:rPr>
          <w:rFonts w:ascii="Arial" w:hAnsi="Arial" w:cs="Arial"/>
          <w:b/>
          <w:sz w:val="22"/>
          <w:szCs w:val="22"/>
        </w:rPr>
      </w:pPr>
      <w:bookmarkStart w:id="0" w:name="_Hlk90892465"/>
      <w:r>
        <w:rPr>
          <w:rFonts w:ascii="Arial" w:hAnsi="Arial" w:cs="Arial"/>
          <w:b/>
          <w:sz w:val="22"/>
          <w:szCs w:val="22"/>
        </w:rPr>
        <w:t xml:space="preserve">VT Stoka – </w:t>
      </w:r>
      <w:proofErr w:type="gramStart"/>
      <w:r>
        <w:rPr>
          <w:rFonts w:ascii="Arial" w:hAnsi="Arial" w:cs="Arial"/>
          <w:b/>
          <w:sz w:val="22"/>
          <w:szCs w:val="22"/>
        </w:rPr>
        <w:t>Údolí - ÚBP</w:t>
      </w:r>
      <w:proofErr w:type="gramEnd"/>
    </w:p>
    <w:p w:rsidR="005F1F58" w:rsidRPr="0073163A" w:rsidRDefault="005F1F58" w:rsidP="005F1F58">
      <w:pPr>
        <w:keepNext/>
        <w:spacing w:before="120" w:after="120"/>
        <w:ind w:right="142"/>
        <w:jc w:val="center"/>
        <w:rPr>
          <w:rFonts w:ascii="Arial" w:hAnsi="Arial" w:cs="Arial"/>
          <w:b/>
          <w:sz w:val="22"/>
          <w:szCs w:val="22"/>
        </w:rPr>
      </w:pPr>
      <w:r w:rsidRPr="0073163A">
        <w:rPr>
          <w:rFonts w:ascii="Arial" w:hAnsi="Arial" w:cs="Arial"/>
          <w:b/>
          <w:sz w:val="22"/>
          <w:szCs w:val="22"/>
        </w:rPr>
        <w:t xml:space="preserve"> (PL </w:t>
      </w:r>
      <w:r>
        <w:rPr>
          <w:rFonts w:ascii="Arial" w:hAnsi="Arial" w:cs="Arial"/>
          <w:b/>
          <w:sz w:val="22"/>
          <w:szCs w:val="22"/>
        </w:rPr>
        <w:t>102 23 004</w:t>
      </w:r>
      <w:r w:rsidRPr="0073163A">
        <w:rPr>
          <w:rFonts w:ascii="Arial" w:hAnsi="Arial" w:cs="Arial"/>
          <w:b/>
          <w:sz w:val="22"/>
          <w:szCs w:val="22"/>
        </w:rPr>
        <w:t>, č</w:t>
      </w:r>
      <w:r w:rsidRPr="00BD46C9">
        <w:rPr>
          <w:rFonts w:ascii="Arial" w:hAnsi="Arial" w:cs="Arial"/>
          <w:b/>
          <w:sz w:val="22"/>
          <w:szCs w:val="22"/>
        </w:rPr>
        <w:t>. akce</w:t>
      </w:r>
      <w:r w:rsidRPr="0073163A">
        <w:rPr>
          <w:rFonts w:ascii="Arial" w:hAnsi="Arial" w:cs="Arial"/>
          <w:b/>
          <w:sz w:val="22"/>
          <w:szCs w:val="22"/>
        </w:rPr>
        <w:t xml:space="preserve"> </w:t>
      </w:r>
      <w:r>
        <w:rPr>
          <w:rFonts w:ascii="Arial" w:hAnsi="Arial" w:cs="Arial"/>
          <w:b/>
          <w:sz w:val="22"/>
          <w:szCs w:val="22"/>
        </w:rPr>
        <w:t>102 805</w:t>
      </w:r>
      <w:r w:rsidRPr="0073163A">
        <w:rPr>
          <w:rFonts w:ascii="Arial" w:hAnsi="Arial" w:cs="Arial"/>
          <w:b/>
          <w:sz w:val="22"/>
          <w:szCs w:val="22"/>
        </w:rPr>
        <w:t>)</w:t>
      </w:r>
    </w:p>
    <w:bookmarkEnd w:id="0"/>
    <w:p w:rsidR="005F1F58" w:rsidRPr="00454D43" w:rsidRDefault="005F1F58" w:rsidP="00864AB4">
      <w:pPr>
        <w:pStyle w:val="Export0"/>
        <w:jc w:val="center"/>
        <w:rPr>
          <w:rFonts w:ascii="Arial" w:hAnsi="Arial" w:cs="Arial"/>
          <w:b/>
          <w:sz w:val="22"/>
          <w:szCs w:val="22"/>
          <w:lang w:val="cs-CZ"/>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FB3606" w:rsidRDefault="00FB3606" w:rsidP="00FB3606">
      <w:pPr>
        <w:tabs>
          <w:tab w:val="left" w:pos="3828"/>
        </w:tabs>
        <w:ind w:left="3828" w:hanging="3828"/>
        <w:jc w:val="both"/>
        <w:rPr>
          <w:rFonts w:ascii="Arial" w:hAnsi="Arial" w:cs="Arial"/>
          <w:sz w:val="22"/>
          <w:szCs w:val="22"/>
        </w:rPr>
      </w:pPr>
      <w:r>
        <w:rPr>
          <w:rFonts w:ascii="Arial" w:hAnsi="Arial" w:cs="Arial"/>
          <w:b/>
          <w:sz w:val="22"/>
          <w:szCs w:val="22"/>
        </w:rPr>
        <w:t>statutární orgán</w:t>
      </w:r>
      <w:r w:rsidRPr="00300655">
        <w:rPr>
          <w:rFonts w:ascii="Arial" w:hAnsi="Arial" w:cs="Arial"/>
          <w:b/>
          <w:sz w:val="22"/>
          <w:szCs w:val="22"/>
        </w:rPr>
        <w:t>:</w:t>
      </w:r>
      <w:r w:rsidRPr="00300655">
        <w:rPr>
          <w:rFonts w:ascii="Arial" w:hAnsi="Arial" w:cs="Arial"/>
          <w:b/>
          <w:sz w:val="22"/>
          <w:szCs w:val="22"/>
        </w:rPr>
        <w:tab/>
      </w:r>
      <w:r>
        <w:rPr>
          <w:rFonts w:ascii="Arial" w:hAnsi="Arial" w:cs="Arial"/>
          <w:sz w:val="22"/>
          <w:szCs w:val="22"/>
        </w:rPr>
        <w:t>generální ředitel</w:t>
      </w:r>
    </w:p>
    <w:p w:rsidR="00FB3606" w:rsidRPr="00454D43" w:rsidRDefault="00FB3606" w:rsidP="00FB3606">
      <w:pPr>
        <w:tabs>
          <w:tab w:val="left" w:pos="3828"/>
        </w:tabs>
        <w:ind w:left="3828" w:hanging="3828"/>
        <w:jc w:val="both"/>
        <w:rPr>
          <w:rFonts w:ascii="Arial" w:hAnsi="Arial" w:cs="Arial"/>
          <w:sz w:val="22"/>
          <w:szCs w:val="22"/>
        </w:rPr>
      </w:pPr>
      <w:r w:rsidRPr="00454D43">
        <w:rPr>
          <w:rFonts w:ascii="Arial" w:hAnsi="Arial" w:cs="Arial"/>
          <w:b/>
          <w:sz w:val="22"/>
          <w:szCs w:val="22"/>
        </w:rPr>
        <w:t>zástupce ve věcech smluvních:</w:t>
      </w:r>
      <w:r w:rsidRPr="00454D43">
        <w:rPr>
          <w:rFonts w:ascii="Arial" w:hAnsi="Arial" w:cs="Arial"/>
          <w:b/>
          <w:sz w:val="22"/>
          <w:szCs w:val="22"/>
        </w:rPr>
        <w:tab/>
      </w:r>
      <w:r w:rsidRPr="00454D43">
        <w:rPr>
          <w:rFonts w:ascii="Arial" w:hAnsi="Arial" w:cs="Arial"/>
          <w:sz w:val="22"/>
          <w:szCs w:val="22"/>
        </w:rPr>
        <w:t xml:space="preserve">ředitelka závodu </w:t>
      </w:r>
      <w:r w:rsidR="005F1F58">
        <w:rPr>
          <w:rFonts w:ascii="Arial" w:hAnsi="Arial" w:cs="Arial"/>
          <w:sz w:val="22"/>
          <w:szCs w:val="22"/>
        </w:rPr>
        <w:t>Karlovy Vary</w:t>
      </w:r>
    </w:p>
    <w:p w:rsidR="00FB3606" w:rsidRDefault="00FB3606" w:rsidP="00FB3606">
      <w:pPr>
        <w:tabs>
          <w:tab w:val="left" w:pos="3828"/>
        </w:tabs>
        <w:ind w:left="3828" w:hanging="3828"/>
        <w:jc w:val="both"/>
        <w:rPr>
          <w:rFonts w:ascii="Arial" w:hAnsi="Arial" w:cs="Arial"/>
          <w:sz w:val="22"/>
          <w:szCs w:val="22"/>
        </w:rPr>
      </w:pPr>
      <w:r w:rsidRPr="00454D43">
        <w:rPr>
          <w:rFonts w:ascii="Arial" w:hAnsi="Arial" w:cs="Arial"/>
          <w:b/>
          <w:sz w:val="22"/>
          <w:szCs w:val="22"/>
        </w:rPr>
        <w:t>zástupce ve věcech technických:</w:t>
      </w:r>
      <w:r w:rsidRPr="00454D43">
        <w:rPr>
          <w:rFonts w:ascii="Arial" w:hAnsi="Arial" w:cs="Arial"/>
          <w:b/>
          <w:sz w:val="22"/>
          <w:szCs w:val="22"/>
        </w:rPr>
        <w:tab/>
      </w:r>
      <w:r w:rsidR="005F1F58" w:rsidRPr="0073163A">
        <w:rPr>
          <w:rFonts w:ascii="Arial" w:hAnsi="Arial" w:cs="Arial"/>
          <w:sz w:val="22"/>
          <w:szCs w:val="22"/>
        </w:rPr>
        <w:t xml:space="preserve">vedoucí provozu </w:t>
      </w:r>
      <w:r w:rsidR="005F1F58">
        <w:rPr>
          <w:rFonts w:ascii="Arial" w:hAnsi="Arial" w:cs="Arial"/>
          <w:sz w:val="22"/>
          <w:szCs w:val="22"/>
        </w:rPr>
        <w:t>Otovice</w:t>
      </w:r>
    </w:p>
    <w:p w:rsidR="005F1F58" w:rsidRPr="00454D43" w:rsidRDefault="005F1F58" w:rsidP="00FB3606">
      <w:pPr>
        <w:tabs>
          <w:tab w:val="left" w:pos="3828"/>
        </w:tabs>
        <w:ind w:left="3828" w:hanging="3828"/>
        <w:jc w:val="both"/>
        <w:rPr>
          <w:rFonts w:ascii="Arial" w:hAnsi="Arial" w:cs="Arial"/>
          <w:sz w:val="22"/>
          <w:szCs w:val="22"/>
        </w:rPr>
      </w:pPr>
      <w:r>
        <w:rPr>
          <w:rFonts w:ascii="Arial" w:hAnsi="Arial" w:cs="Arial"/>
          <w:b/>
          <w:sz w:val="22"/>
          <w:szCs w:val="22"/>
        </w:rPr>
        <w:tab/>
      </w:r>
    </w:p>
    <w:p w:rsidR="005F1F58" w:rsidRPr="0073163A" w:rsidRDefault="00BA4AAC" w:rsidP="005F1F58">
      <w:pPr>
        <w:tabs>
          <w:tab w:val="left" w:pos="3828"/>
        </w:tabs>
        <w:jc w:val="both"/>
        <w:rPr>
          <w:rFonts w:ascii="Arial" w:hAnsi="Arial" w:cs="Arial"/>
          <w:sz w:val="22"/>
          <w:szCs w:val="22"/>
        </w:rPr>
      </w:pPr>
      <w:bookmarkStart w:id="1" w:name="_Hlk81223650"/>
      <w:r w:rsidRPr="00432702">
        <w:rPr>
          <w:rFonts w:ascii="Arial" w:hAnsi="Arial" w:cs="Arial"/>
          <w:b/>
          <w:sz w:val="22"/>
          <w:szCs w:val="22"/>
        </w:rPr>
        <w:t>technický dozor investora</w:t>
      </w:r>
      <w:r>
        <w:rPr>
          <w:rFonts w:ascii="Arial" w:hAnsi="Arial" w:cs="Arial"/>
          <w:b/>
          <w:sz w:val="22"/>
          <w:szCs w:val="22"/>
        </w:rPr>
        <w:t xml:space="preserve"> (TDI)</w:t>
      </w:r>
      <w:r w:rsidRPr="00432702">
        <w:rPr>
          <w:rFonts w:ascii="Arial" w:hAnsi="Arial" w:cs="Arial"/>
          <w:b/>
          <w:sz w:val="22"/>
          <w:szCs w:val="22"/>
        </w:rPr>
        <w:t>:</w:t>
      </w:r>
      <w:r w:rsidRPr="00432702">
        <w:rPr>
          <w:rFonts w:ascii="Arial" w:hAnsi="Arial" w:cs="Arial"/>
          <w:b/>
          <w:sz w:val="22"/>
          <w:szCs w:val="22"/>
        </w:rPr>
        <w:tab/>
      </w:r>
      <w:r w:rsidR="005F1F58">
        <w:rPr>
          <w:rFonts w:ascii="Arial" w:hAnsi="Arial" w:cs="Arial"/>
          <w:sz w:val="22"/>
          <w:szCs w:val="22"/>
        </w:rPr>
        <w:t>vedoucí úseku K. Vary</w:t>
      </w:r>
    </w:p>
    <w:p w:rsidR="00BA4AAC" w:rsidRPr="00432702" w:rsidRDefault="005F1F58" w:rsidP="005F1F58">
      <w:pPr>
        <w:tabs>
          <w:tab w:val="left" w:pos="3828"/>
        </w:tabs>
        <w:jc w:val="both"/>
        <w:rPr>
          <w:rFonts w:ascii="Arial" w:hAnsi="Arial" w:cs="Arial"/>
          <w:sz w:val="22"/>
          <w:szCs w:val="22"/>
        </w:rPr>
      </w:pPr>
      <w:r w:rsidRPr="0073163A">
        <w:rPr>
          <w:rFonts w:ascii="Arial" w:hAnsi="Arial" w:cs="Arial"/>
          <w:sz w:val="22"/>
          <w:szCs w:val="22"/>
        </w:rPr>
        <w:tab/>
        <w:t xml:space="preserve"> </w:t>
      </w:r>
    </w:p>
    <w:bookmarkEnd w:id="1"/>
    <w:p w:rsidR="005F1C02" w:rsidRPr="00454D43" w:rsidRDefault="005F1C02" w:rsidP="005F1C02">
      <w:pPr>
        <w:tabs>
          <w:tab w:val="left" w:pos="3828"/>
        </w:tabs>
        <w:jc w:val="both"/>
        <w:rPr>
          <w:rFonts w:ascii="Arial" w:hAnsi="Arial" w:cs="Arial"/>
          <w:b/>
          <w:sz w:val="22"/>
          <w:szCs w:val="22"/>
        </w:rPr>
      </w:pPr>
      <w:r w:rsidRPr="00454D43">
        <w:rPr>
          <w:rFonts w:ascii="Arial" w:hAnsi="Arial" w:cs="Arial"/>
          <w:b/>
          <w:sz w:val="22"/>
          <w:szCs w:val="22"/>
        </w:rPr>
        <w:t>bankovní spojení:</w:t>
      </w:r>
      <w:r w:rsidRPr="00454D43">
        <w:rPr>
          <w:rFonts w:ascii="Arial" w:hAnsi="Arial" w:cs="Arial"/>
          <w:b/>
          <w:sz w:val="22"/>
          <w:szCs w:val="22"/>
        </w:rPr>
        <w:tab/>
        <w:t xml:space="preserve"> </w:t>
      </w:r>
    </w:p>
    <w:p w:rsidR="005F1C02" w:rsidRPr="00454D43" w:rsidRDefault="005F1C02" w:rsidP="005F1C02">
      <w:pPr>
        <w:tabs>
          <w:tab w:val="left" w:pos="3828"/>
        </w:tabs>
        <w:jc w:val="both"/>
        <w:rPr>
          <w:rFonts w:ascii="Arial" w:hAnsi="Arial" w:cs="Arial"/>
          <w:b/>
          <w:sz w:val="22"/>
          <w:szCs w:val="22"/>
        </w:rPr>
      </w:pPr>
      <w:r w:rsidRPr="00454D43">
        <w:rPr>
          <w:rFonts w:ascii="Arial" w:hAnsi="Arial" w:cs="Arial"/>
          <w:b/>
          <w:sz w:val="22"/>
          <w:szCs w:val="22"/>
        </w:rPr>
        <w:t>číslo účtu:</w:t>
      </w:r>
      <w:r w:rsidRPr="00454D43">
        <w:rPr>
          <w:rFonts w:ascii="Arial" w:hAnsi="Arial" w:cs="Arial"/>
          <w:b/>
          <w:sz w:val="22"/>
          <w:szCs w:val="22"/>
        </w:rPr>
        <w:tab/>
        <w:t xml:space="preserve"> </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5F1F58" w:rsidRPr="00242215" w:rsidRDefault="00C04E18" w:rsidP="005F1F58">
      <w:pPr>
        <w:tabs>
          <w:tab w:val="left" w:pos="3960"/>
        </w:tabs>
        <w:jc w:val="both"/>
        <w:rPr>
          <w:rFonts w:ascii="Arial" w:hAnsi="Arial" w:cs="Arial"/>
          <w:b/>
          <w:sz w:val="22"/>
          <w:szCs w:val="22"/>
        </w:rPr>
      </w:pPr>
      <w:r w:rsidRPr="00A82F1F">
        <w:rPr>
          <w:rFonts w:ascii="Arial" w:hAnsi="Arial" w:cs="Arial"/>
          <w:b/>
          <w:sz w:val="22"/>
          <w:szCs w:val="22"/>
        </w:rPr>
        <w:t>Zhotovitel:</w:t>
      </w:r>
      <w:r w:rsidR="00A82F1F" w:rsidRPr="00A82F1F">
        <w:rPr>
          <w:rFonts w:ascii="Arial" w:hAnsi="Arial" w:cs="Arial"/>
          <w:b/>
          <w:sz w:val="22"/>
          <w:szCs w:val="22"/>
        </w:rPr>
        <w:tab/>
      </w:r>
      <w:r w:rsidR="005F1F58">
        <w:rPr>
          <w:rFonts w:ascii="Arial" w:hAnsi="Arial" w:cs="Arial"/>
          <w:b/>
          <w:sz w:val="22"/>
          <w:szCs w:val="22"/>
        </w:rPr>
        <w:t xml:space="preserve">Jana </w:t>
      </w:r>
      <w:proofErr w:type="spellStart"/>
      <w:r w:rsidR="005F1F58">
        <w:rPr>
          <w:rFonts w:ascii="Arial" w:hAnsi="Arial" w:cs="Arial"/>
          <w:b/>
          <w:sz w:val="22"/>
          <w:szCs w:val="22"/>
        </w:rPr>
        <w:t>Vnenčáková</w:t>
      </w:r>
      <w:proofErr w:type="spellEnd"/>
    </w:p>
    <w:p w:rsidR="00C04E18" w:rsidRDefault="00C04E18" w:rsidP="00C04E18">
      <w:pPr>
        <w:tabs>
          <w:tab w:val="left" w:pos="3960"/>
        </w:tabs>
        <w:jc w:val="both"/>
        <w:rPr>
          <w:rFonts w:ascii="Arial" w:hAnsi="Arial" w:cs="Arial"/>
          <w:sz w:val="22"/>
          <w:szCs w:val="22"/>
        </w:rPr>
      </w:pPr>
      <w:r w:rsidRPr="00A82F1F">
        <w:rPr>
          <w:rFonts w:ascii="Arial" w:hAnsi="Arial" w:cs="Arial"/>
          <w:b/>
          <w:sz w:val="22"/>
          <w:szCs w:val="22"/>
        </w:rPr>
        <w:t>sídlo:</w:t>
      </w:r>
      <w:r w:rsidR="00A82F1F" w:rsidRPr="00A82F1F">
        <w:rPr>
          <w:rFonts w:ascii="Arial" w:hAnsi="Arial" w:cs="Arial"/>
          <w:b/>
          <w:sz w:val="22"/>
          <w:szCs w:val="22"/>
        </w:rPr>
        <w:tab/>
      </w:r>
      <w:r w:rsidR="00242215" w:rsidRPr="0089689B">
        <w:rPr>
          <w:rFonts w:ascii="Arial" w:hAnsi="Arial" w:cs="Arial"/>
          <w:sz w:val="22"/>
          <w:szCs w:val="22"/>
        </w:rPr>
        <w:t>Tř. Osvoboditelů 895</w:t>
      </w:r>
    </w:p>
    <w:p w:rsidR="00242215" w:rsidRPr="00A82F1F" w:rsidRDefault="00242215" w:rsidP="00C04E18">
      <w:pPr>
        <w:tabs>
          <w:tab w:val="left" w:pos="3960"/>
        </w:tabs>
        <w:jc w:val="both"/>
        <w:rPr>
          <w:rFonts w:ascii="Arial" w:hAnsi="Arial" w:cs="Arial"/>
          <w:sz w:val="22"/>
          <w:szCs w:val="22"/>
        </w:rPr>
      </w:pPr>
      <w:r>
        <w:rPr>
          <w:rFonts w:ascii="Arial" w:hAnsi="Arial" w:cs="Arial"/>
          <w:sz w:val="22"/>
          <w:szCs w:val="22"/>
        </w:rPr>
        <w:tab/>
        <w:t xml:space="preserve">357 </w:t>
      </w:r>
      <w:proofErr w:type="gramStart"/>
      <w:r>
        <w:rPr>
          <w:rFonts w:ascii="Arial" w:hAnsi="Arial" w:cs="Arial"/>
          <w:sz w:val="22"/>
          <w:szCs w:val="22"/>
        </w:rPr>
        <w:t>31  Horní</w:t>
      </w:r>
      <w:proofErr w:type="gramEnd"/>
      <w:r>
        <w:rPr>
          <w:rFonts w:ascii="Arial" w:hAnsi="Arial" w:cs="Arial"/>
          <w:sz w:val="22"/>
          <w:szCs w:val="22"/>
        </w:rPr>
        <w:t xml:space="preserve"> Slavkov</w:t>
      </w:r>
    </w:p>
    <w:p w:rsidR="00C04E18" w:rsidRPr="00A82F1F" w:rsidRDefault="00C04E18" w:rsidP="00C04E18">
      <w:pPr>
        <w:tabs>
          <w:tab w:val="left" w:pos="3960"/>
        </w:tabs>
        <w:jc w:val="both"/>
        <w:rPr>
          <w:rFonts w:ascii="Arial" w:hAnsi="Arial" w:cs="Arial"/>
          <w:b/>
          <w:sz w:val="22"/>
          <w:szCs w:val="22"/>
        </w:rPr>
      </w:pPr>
      <w:r w:rsidRPr="00A82F1F">
        <w:rPr>
          <w:rFonts w:ascii="Arial" w:hAnsi="Arial" w:cs="Arial"/>
          <w:b/>
          <w:sz w:val="22"/>
          <w:szCs w:val="22"/>
        </w:rPr>
        <w:t>IČO:</w:t>
      </w:r>
      <w:r w:rsidRPr="00A82F1F">
        <w:rPr>
          <w:rFonts w:ascii="Arial" w:hAnsi="Arial" w:cs="Arial"/>
          <w:b/>
          <w:sz w:val="22"/>
          <w:szCs w:val="22"/>
        </w:rPr>
        <w:tab/>
      </w:r>
      <w:r w:rsidR="005F1F58" w:rsidRPr="0089689B">
        <w:rPr>
          <w:rFonts w:ascii="Arial" w:hAnsi="Arial" w:cs="Arial"/>
          <w:sz w:val="22"/>
          <w:szCs w:val="22"/>
        </w:rPr>
        <w:t>64191613</w:t>
      </w:r>
    </w:p>
    <w:p w:rsidR="00C04E18" w:rsidRPr="00A82F1F" w:rsidRDefault="00C04E18" w:rsidP="00C04E18">
      <w:pPr>
        <w:tabs>
          <w:tab w:val="left" w:pos="3960"/>
        </w:tabs>
        <w:jc w:val="both"/>
        <w:rPr>
          <w:rFonts w:ascii="Arial" w:hAnsi="Arial" w:cs="Arial"/>
          <w:sz w:val="22"/>
          <w:szCs w:val="22"/>
        </w:rPr>
      </w:pPr>
      <w:r w:rsidRPr="00A82F1F">
        <w:rPr>
          <w:rFonts w:ascii="Arial" w:hAnsi="Arial" w:cs="Arial"/>
          <w:b/>
          <w:sz w:val="22"/>
          <w:szCs w:val="22"/>
        </w:rPr>
        <w:t>DIČ:</w:t>
      </w:r>
      <w:r w:rsidRPr="00A82F1F">
        <w:rPr>
          <w:rFonts w:ascii="Arial" w:hAnsi="Arial" w:cs="Arial"/>
          <w:b/>
          <w:sz w:val="22"/>
          <w:szCs w:val="22"/>
        </w:rPr>
        <w:tab/>
      </w:r>
      <w:r w:rsidR="00242215" w:rsidRPr="00242215">
        <w:rPr>
          <w:rFonts w:ascii="Arial" w:hAnsi="Arial" w:cs="Arial"/>
          <w:b/>
          <w:sz w:val="22"/>
          <w:szCs w:val="22"/>
        </w:rPr>
        <w:t>Nejsem plátce DPH</w:t>
      </w:r>
      <w:r w:rsidR="00A82F1F" w:rsidRPr="00A82F1F">
        <w:rPr>
          <w:rFonts w:ascii="Arial" w:hAnsi="Arial" w:cs="Arial"/>
          <w:b/>
          <w:sz w:val="22"/>
          <w:szCs w:val="22"/>
        </w:rPr>
        <w:tab/>
      </w:r>
    </w:p>
    <w:p w:rsidR="00C04E18" w:rsidRPr="00A82F1F" w:rsidRDefault="00C04E18" w:rsidP="00C04E18">
      <w:pPr>
        <w:tabs>
          <w:tab w:val="left" w:pos="3960"/>
        </w:tabs>
        <w:ind w:left="3960" w:hanging="3960"/>
        <w:jc w:val="both"/>
        <w:rPr>
          <w:rFonts w:ascii="Arial" w:hAnsi="Arial" w:cs="Arial"/>
          <w:sz w:val="22"/>
          <w:szCs w:val="22"/>
        </w:rPr>
      </w:pPr>
      <w:r w:rsidRPr="00A82F1F">
        <w:rPr>
          <w:rFonts w:ascii="Arial" w:hAnsi="Arial" w:cs="Arial"/>
          <w:b/>
          <w:sz w:val="22"/>
          <w:szCs w:val="22"/>
        </w:rPr>
        <w:t>zastoupený:</w:t>
      </w:r>
      <w:r w:rsidRPr="00A82F1F">
        <w:rPr>
          <w:rFonts w:ascii="Arial" w:hAnsi="Arial" w:cs="Arial"/>
          <w:b/>
          <w:sz w:val="22"/>
          <w:szCs w:val="22"/>
        </w:rPr>
        <w:tab/>
      </w:r>
    </w:p>
    <w:p w:rsidR="00A82F1F" w:rsidRPr="00A82F1F" w:rsidRDefault="00A82F1F" w:rsidP="00C04E18">
      <w:pPr>
        <w:tabs>
          <w:tab w:val="left" w:pos="3960"/>
        </w:tabs>
        <w:jc w:val="both"/>
        <w:rPr>
          <w:rFonts w:ascii="Arial" w:hAnsi="Arial" w:cs="Arial"/>
          <w:b/>
          <w:sz w:val="22"/>
          <w:szCs w:val="22"/>
        </w:rPr>
      </w:pPr>
      <w:r w:rsidRPr="00A82F1F">
        <w:rPr>
          <w:rFonts w:ascii="Arial" w:hAnsi="Arial" w:cs="Arial"/>
          <w:b/>
          <w:sz w:val="22"/>
          <w:szCs w:val="22"/>
        </w:rPr>
        <w:t>zástupce ve věcech smluvních:</w:t>
      </w:r>
      <w:r w:rsidRPr="00A82F1F">
        <w:rPr>
          <w:rFonts w:ascii="Arial" w:hAnsi="Arial" w:cs="Arial"/>
          <w:b/>
          <w:sz w:val="22"/>
          <w:szCs w:val="22"/>
        </w:rPr>
        <w:tab/>
      </w:r>
    </w:p>
    <w:p w:rsidR="00242215" w:rsidRPr="0089689B" w:rsidRDefault="00C04E18" w:rsidP="00242215">
      <w:pPr>
        <w:tabs>
          <w:tab w:val="left" w:pos="3960"/>
        </w:tabs>
        <w:jc w:val="both"/>
        <w:rPr>
          <w:rFonts w:ascii="Arial" w:hAnsi="Arial" w:cs="Arial"/>
          <w:sz w:val="22"/>
          <w:szCs w:val="22"/>
        </w:rPr>
      </w:pPr>
      <w:r w:rsidRPr="00A82F1F">
        <w:rPr>
          <w:rFonts w:ascii="Arial" w:hAnsi="Arial" w:cs="Arial"/>
          <w:b/>
          <w:sz w:val="22"/>
          <w:szCs w:val="22"/>
        </w:rPr>
        <w:t>osoba odpovědná za provedení díla:</w:t>
      </w:r>
      <w:r w:rsidRPr="00A82F1F">
        <w:rPr>
          <w:rFonts w:ascii="Arial" w:hAnsi="Arial" w:cs="Arial"/>
          <w:sz w:val="22"/>
          <w:szCs w:val="22"/>
        </w:rPr>
        <w:tab/>
      </w:r>
    </w:p>
    <w:p w:rsidR="00C04E18" w:rsidRPr="00242215" w:rsidRDefault="00242215" w:rsidP="00242215">
      <w:pPr>
        <w:tabs>
          <w:tab w:val="left" w:pos="3960"/>
        </w:tabs>
        <w:jc w:val="both"/>
        <w:rPr>
          <w:rFonts w:ascii="Arial" w:hAnsi="Arial" w:cs="Arial"/>
          <w:sz w:val="22"/>
          <w:szCs w:val="22"/>
        </w:rPr>
      </w:pPr>
      <w:r>
        <w:rPr>
          <w:rFonts w:ascii="Arial" w:hAnsi="Arial" w:cs="Arial"/>
          <w:sz w:val="22"/>
          <w:szCs w:val="22"/>
        </w:rPr>
        <w:tab/>
      </w:r>
    </w:p>
    <w:p w:rsidR="00C04E18" w:rsidRPr="00A82F1F" w:rsidRDefault="00C04E18" w:rsidP="00C04E18">
      <w:pPr>
        <w:tabs>
          <w:tab w:val="left" w:pos="3960"/>
        </w:tabs>
        <w:jc w:val="both"/>
        <w:rPr>
          <w:rFonts w:ascii="Arial" w:hAnsi="Arial" w:cs="Arial"/>
          <w:b/>
          <w:sz w:val="22"/>
          <w:szCs w:val="22"/>
        </w:rPr>
      </w:pPr>
      <w:r w:rsidRPr="00A82F1F">
        <w:rPr>
          <w:rFonts w:ascii="Arial" w:hAnsi="Arial" w:cs="Arial"/>
          <w:b/>
          <w:sz w:val="22"/>
          <w:szCs w:val="22"/>
        </w:rPr>
        <w:t>bankovní spojení:</w:t>
      </w:r>
      <w:r w:rsidRPr="00A82F1F">
        <w:rPr>
          <w:rFonts w:ascii="Arial" w:hAnsi="Arial" w:cs="Arial"/>
          <w:sz w:val="22"/>
          <w:szCs w:val="22"/>
        </w:rPr>
        <w:tab/>
      </w:r>
    </w:p>
    <w:p w:rsidR="00242215" w:rsidRPr="0089689B" w:rsidRDefault="00C04E18" w:rsidP="00242215">
      <w:pPr>
        <w:tabs>
          <w:tab w:val="left" w:pos="3960"/>
        </w:tabs>
        <w:jc w:val="both"/>
        <w:rPr>
          <w:rFonts w:ascii="Arial" w:hAnsi="Arial" w:cs="Arial"/>
          <w:sz w:val="22"/>
          <w:szCs w:val="22"/>
        </w:rPr>
      </w:pPr>
      <w:r w:rsidRPr="00A82F1F">
        <w:rPr>
          <w:rFonts w:ascii="Arial" w:hAnsi="Arial" w:cs="Arial"/>
          <w:b/>
          <w:sz w:val="22"/>
          <w:szCs w:val="22"/>
        </w:rPr>
        <w:t>číslo účtu:</w:t>
      </w:r>
      <w:r w:rsidRPr="00A82F1F">
        <w:rPr>
          <w:rFonts w:ascii="Arial" w:hAnsi="Arial" w:cs="Arial"/>
          <w:b/>
          <w:sz w:val="22"/>
          <w:szCs w:val="22"/>
        </w:rPr>
        <w:tab/>
      </w:r>
    </w:p>
    <w:p w:rsidR="00C04E18" w:rsidRDefault="00C04E18" w:rsidP="00C04E18">
      <w:pPr>
        <w:tabs>
          <w:tab w:val="left" w:pos="3960"/>
        </w:tabs>
        <w:jc w:val="both"/>
        <w:rPr>
          <w:rFonts w:ascii="Arial" w:hAnsi="Arial" w:cs="Arial"/>
          <w:sz w:val="22"/>
          <w:szCs w:val="22"/>
        </w:rPr>
      </w:pPr>
    </w:p>
    <w:p w:rsidR="00242215" w:rsidRPr="00A82F1F" w:rsidRDefault="00242215" w:rsidP="00C04E18">
      <w:pPr>
        <w:tabs>
          <w:tab w:val="left" w:pos="3960"/>
        </w:tabs>
        <w:jc w:val="both"/>
        <w:rPr>
          <w:rFonts w:ascii="Arial" w:hAnsi="Arial" w:cs="Arial"/>
          <w:sz w:val="22"/>
          <w:szCs w:val="22"/>
        </w:rPr>
      </w:pPr>
    </w:p>
    <w:p w:rsidR="00242215" w:rsidRDefault="00242215" w:rsidP="00242215">
      <w:pPr>
        <w:widowControl w:val="0"/>
        <w:spacing w:line="240" w:lineRule="atLeast"/>
        <w:rPr>
          <w:rFonts w:ascii="Arial" w:hAnsi="Arial" w:cs="Arial"/>
          <w:color w:val="000000"/>
          <w:sz w:val="22"/>
          <w:szCs w:val="22"/>
        </w:rPr>
      </w:pPr>
      <w:r>
        <w:rPr>
          <w:rFonts w:ascii="Arial" w:hAnsi="Arial" w:cs="Arial"/>
          <w:sz w:val="22"/>
          <w:szCs w:val="22"/>
        </w:rPr>
        <w:t>Zhotovitel</w:t>
      </w:r>
      <w:r>
        <w:rPr>
          <w:rFonts w:ascii="Arial" w:hAnsi="Arial" w:cs="Arial"/>
          <w:snapToGrid w:val="0"/>
          <w:sz w:val="22"/>
          <w:szCs w:val="22"/>
        </w:rPr>
        <w:t xml:space="preserve"> je držitelem ŽL vydaného v </w:t>
      </w:r>
      <w:proofErr w:type="spellStart"/>
      <w:r>
        <w:rPr>
          <w:rFonts w:ascii="Arial" w:hAnsi="Arial" w:cs="Arial"/>
          <w:snapToGrid w:val="0"/>
          <w:sz w:val="22"/>
          <w:szCs w:val="22"/>
        </w:rPr>
        <w:t>Mar</w:t>
      </w:r>
      <w:proofErr w:type="spellEnd"/>
      <w:r>
        <w:rPr>
          <w:rFonts w:ascii="Arial" w:hAnsi="Arial" w:cs="Arial"/>
          <w:snapToGrid w:val="0"/>
          <w:sz w:val="22"/>
          <w:szCs w:val="22"/>
        </w:rPr>
        <w:t>. Lázních</w:t>
      </w:r>
      <w:r>
        <w:rPr>
          <w:rFonts w:ascii="Arial" w:hAnsi="Arial" w:cs="Arial"/>
          <w:snapToGrid w:val="0"/>
          <w:sz w:val="22"/>
          <w:szCs w:val="22"/>
        </w:rPr>
        <w:tab/>
        <w:t>. pod e. č. ZIV/21/387/JS.</w:t>
      </w:r>
    </w:p>
    <w:p w:rsidR="00C04E18" w:rsidRPr="00454D43" w:rsidRDefault="00C04E18" w:rsidP="00C04E18">
      <w:pPr>
        <w:pStyle w:val="Zkladntext"/>
        <w:widowControl/>
        <w:spacing w:before="120"/>
        <w:jc w:val="center"/>
        <w:rPr>
          <w:rFonts w:cs="Arial"/>
          <w:color w:val="auto"/>
          <w:sz w:val="22"/>
          <w:szCs w:val="22"/>
        </w:rPr>
      </w:pPr>
    </w:p>
    <w:p w:rsidR="00C04E18" w:rsidRPr="00454D43" w:rsidRDefault="00C04E18" w:rsidP="00C04E1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footerReference w:type="default" r:id="rId8"/>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242215" w:rsidRPr="0073163A" w:rsidRDefault="00242215" w:rsidP="00242215">
      <w:pPr>
        <w:keepNext/>
        <w:spacing w:before="120" w:after="120"/>
        <w:ind w:right="142"/>
        <w:rPr>
          <w:rFonts w:ascii="Arial" w:hAnsi="Arial" w:cs="Arial"/>
          <w:b/>
          <w:sz w:val="22"/>
          <w:szCs w:val="22"/>
        </w:rPr>
      </w:pPr>
      <w:r>
        <w:rPr>
          <w:rFonts w:ascii="Arial" w:hAnsi="Arial" w:cs="Arial"/>
          <w:b/>
          <w:sz w:val="22"/>
          <w:szCs w:val="22"/>
        </w:rPr>
        <w:t xml:space="preserve">VT Stoka – </w:t>
      </w:r>
      <w:proofErr w:type="gramStart"/>
      <w:r>
        <w:rPr>
          <w:rFonts w:ascii="Arial" w:hAnsi="Arial" w:cs="Arial"/>
          <w:b/>
          <w:sz w:val="22"/>
          <w:szCs w:val="22"/>
        </w:rPr>
        <w:t>Údolí - ÚBP</w:t>
      </w:r>
      <w:proofErr w:type="gramEnd"/>
    </w:p>
    <w:p w:rsidR="0075094D" w:rsidRPr="00454D43" w:rsidRDefault="0075094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242215" w:rsidRPr="009D1299" w:rsidRDefault="006B4DA8" w:rsidP="0005091F">
      <w:pPr>
        <w:pStyle w:val="Zkladntext"/>
        <w:widowControl/>
        <w:numPr>
          <w:ilvl w:val="0"/>
          <w:numId w:val="1"/>
        </w:numPr>
        <w:ind w:left="426" w:hanging="426"/>
        <w:jc w:val="both"/>
        <w:rPr>
          <w:rFonts w:cs="Arial"/>
          <w:b/>
          <w:color w:val="auto"/>
          <w:sz w:val="22"/>
          <w:szCs w:val="22"/>
        </w:rPr>
      </w:pPr>
      <w:r w:rsidRPr="009D1299">
        <w:rPr>
          <w:rFonts w:cs="Arial"/>
          <w:color w:val="auto"/>
          <w:sz w:val="22"/>
          <w:szCs w:val="22"/>
        </w:rPr>
        <w:t xml:space="preserve">Zhotovitel </w:t>
      </w:r>
      <w:r w:rsidRPr="009D1299">
        <w:rPr>
          <w:rFonts w:cs="Arial"/>
          <w:sz w:val="22"/>
          <w:szCs w:val="22"/>
        </w:rPr>
        <w:t>se zavazuje provést výše uvedené dílo v rozsahu výzvy k podání nabídky do výběrového řízení vypsaného objednatelem pod č.j. POH/0</w:t>
      </w:r>
      <w:r w:rsidR="00242215" w:rsidRPr="009D1299">
        <w:rPr>
          <w:rFonts w:cs="Arial"/>
          <w:sz w:val="22"/>
          <w:szCs w:val="22"/>
        </w:rPr>
        <w:t>2753</w:t>
      </w:r>
      <w:r w:rsidRPr="009D1299">
        <w:rPr>
          <w:rFonts w:cs="Arial"/>
          <w:sz w:val="22"/>
          <w:szCs w:val="22"/>
        </w:rPr>
        <w:t>/202</w:t>
      </w:r>
      <w:r w:rsidR="00242215" w:rsidRPr="009D1299">
        <w:rPr>
          <w:rFonts w:cs="Arial"/>
          <w:sz w:val="22"/>
          <w:szCs w:val="22"/>
        </w:rPr>
        <w:t>2</w:t>
      </w:r>
      <w:r w:rsidRPr="009D1299">
        <w:rPr>
          <w:rFonts w:cs="Arial"/>
          <w:sz w:val="22"/>
          <w:szCs w:val="22"/>
        </w:rPr>
        <w:br/>
        <w:t>dne 16.1.2023 a přijaté cenové nabídky zhotovitele k výběrovému řízení</w:t>
      </w:r>
      <w:r w:rsidR="00242215" w:rsidRPr="009D1299">
        <w:rPr>
          <w:rFonts w:cs="Arial"/>
          <w:sz w:val="22"/>
          <w:szCs w:val="22"/>
        </w:rPr>
        <w:t>.</w:t>
      </w:r>
      <w:r w:rsidRPr="009D1299">
        <w:rPr>
          <w:rFonts w:cs="Arial"/>
          <w:sz w:val="22"/>
          <w:szCs w:val="22"/>
        </w:rPr>
        <w:t xml:space="preserve"> </w:t>
      </w:r>
    </w:p>
    <w:p w:rsidR="00242215" w:rsidRPr="009D1299" w:rsidRDefault="00242215" w:rsidP="009D1299">
      <w:pPr>
        <w:pStyle w:val="Zkladntext"/>
        <w:widowControl/>
        <w:ind w:left="426"/>
        <w:jc w:val="both"/>
        <w:rPr>
          <w:rFonts w:cs="Arial"/>
          <w:b/>
          <w:color w:val="auto"/>
          <w:sz w:val="22"/>
          <w:szCs w:val="22"/>
        </w:rPr>
      </w:pPr>
      <w:r w:rsidRPr="009D1299">
        <w:rPr>
          <w:sz w:val="22"/>
          <w:szCs w:val="22"/>
        </w:rPr>
        <w:t>Předmětem díla je</w:t>
      </w:r>
      <w:r w:rsidRPr="009D1299">
        <w:rPr>
          <w:rFonts w:cs="Arial"/>
          <w:b/>
          <w:color w:val="auto"/>
          <w:sz w:val="22"/>
          <w:szCs w:val="22"/>
        </w:rPr>
        <w:t xml:space="preserve"> </w:t>
      </w:r>
      <w:r w:rsidRPr="009D1299">
        <w:rPr>
          <w:rFonts w:cs="Arial"/>
          <w:bCs/>
          <w:sz w:val="22"/>
          <w:szCs w:val="22"/>
        </w:rPr>
        <w:t xml:space="preserve">provedení údržby břehových porostů na VT Stoka v k. </w:t>
      </w:r>
      <w:proofErr w:type="spellStart"/>
      <w:r w:rsidRPr="009D1299">
        <w:rPr>
          <w:rFonts w:cs="Arial"/>
          <w:bCs/>
          <w:sz w:val="22"/>
          <w:szCs w:val="22"/>
        </w:rPr>
        <w:t>ú.</w:t>
      </w:r>
      <w:proofErr w:type="spellEnd"/>
      <w:r w:rsidRPr="009D1299">
        <w:rPr>
          <w:rFonts w:cs="Arial"/>
          <w:bCs/>
          <w:sz w:val="22"/>
          <w:szCs w:val="22"/>
        </w:rPr>
        <w:t xml:space="preserve"> Údolí u Lokte a Horní Slavkov, ř. km 2,539 - 3,720. Jedná se o kácení celkem 30 ks vzrostlých stromů a mýcení cca 100 m</w:t>
      </w:r>
      <w:r w:rsidRPr="009D1299">
        <w:rPr>
          <w:rFonts w:cs="Arial"/>
          <w:bCs/>
          <w:sz w:val="22"/>
          <w:szCs w:val="22"/>
          <w:vertAlign w:val="superscript"/>
        </w:rPr>
        <w:t>2</w:t>
      </w:r>
      <w:r w:rsidRPr="009D1299">
        <w:rPr>
          <w:rFonts w:cs="Arial"/>
          <w:bCs/>
          <w:sz w:val="22"/>
          <w:szCs w:val="22"/>
        </w:rPr>
        <w:t xml:space="preserve"> křovin. Stromy jsou převážně suché nebo s velkou ztrátou vitality, olše napadené </w:t>
      </w:r>
      <w:proofErr w:type="spellStart"/>
      <w:r w:rsidRPr="009D1299">
        <w:rPr>
          <w:rFonts w:cs="Arial"/>
          <w:bCs/>
          <w:sz w:val="22"/>
          <w:szCs w:val="22"/>
        </w:rPr>
        <w:t>Phytopthorou</w:t>
      </w:r>
      <w:proofErr w:type="spellEnd"/>
      <w:r w:rsidRPr="009D1299">
        <w:rPr>
          <w:rFonts w:cs="Arial"/>
          <w:bCs/>
          <w:sz w:val="22"/>
          <w:szCs w:val="22"/>
        </w:rPr>
        <w:t xml:space="preserve"> </w:t>
      </w:r>
      <w:proofErr w:type="spellStart"/>
      <w:r w:rsidRPr="009D1299">
        <w:rPr>
          <w:rFonts w:cs="Arial"/>
          <w:bCs/>
          <w:sz w:val="22"/>
          <w:szCs w:val="22"/>
        </w:rPr>
        <w:t>alni</w:t>
      </w:r>
      <w:proofErr w:type="spellEnd"/>
      <w:r w:rsidRPr="009D1299">
        <w:rPr>
          <w:rFonts w:cs="Arial"/>
          <w:bCs/>
          <w:sz w:val="22"/>
          <w:szCs w:val="22"/>
        </w:rPr>
        <w:t xml:space="preserve"> se ztrouchnivělým kmenem. Jelikož se stromy nacházejí v blízkosti frekventované komunikace, RD a několika tras vzdušného vedení, jejich pád by mohl ohrozit životy nebo způsobit škody na majetku. Jedná se o rizikové kácení za pomocí speciální horolezecké techniky. </w:t>
      </w:r>
    </w:p>
    <w:p w:rsidR="00242215" w:rsidRPr="009D1299" w:rsidRDefault="00242215" w:rsidP="009D1299">
      <w:pPr>
        <w:pStyle w:val="Zkladntext"/>
        <w:ind w:left="426" w:right="-2"/>
        <w:jc w:val="both"/>
        <w:rPr>
          <w:rFonts w:cs="Arial"/>
          <w:bCs/>
          <w:sz w:val="22"/>
          <w:szCs w:val="22"/>
        </w:rPr>
      </w:pPr>
      <w:r w:rsidRPr="009D1299">
        <w:rPr>
          <w:rFonts w:cs="Arial"/>
          <w:bCs/>
          <w:sz w:val="22"/>
          <w:szCs w:val="22"/>
        </w:rPr>
        <w:t xml:space="preserve">Taxace je provedena ve 3 úsecích 1.úsek, říční km 2,539-2,710, s odkupem dřevní hmoty, 14 ks stromů -12 </w:t>
      </w:r>
      <w:proofErr w:type="spellStart"/>
      <w:r w:rsidRPr="009D1299">
        <w:rPr>
          <w:rFonts w:cs="Arial"/>
          <w:bCs/>
          <w:sz w:val="22"/>
          <w:szCs w:val="22"/>
        </w:rPr>
        <w:t>plm</w:t>
      </w:r>
      <w:proofErr w:type="spellEnd"/>
      <w:r w:rsidRPr="009D1299">
        <w:rPr>
          <w:rFonts w:cs="Arial"/>
          <w:bCs/>
          <w:sz w:val="22"/>
          <w:szCs w:val="22"/>
        </w:rPr>
        <w:t xml:space="preserve">. 2.úsek, říční km 2,710-2,760, s odkupem dřevní hmoty, 5 ks stromů – 3 </w:t>
      </w:r>
      <w:proofErr w:type="spellStart"/>
      <w:r w:rsidRPr="009D1299">
        <w:rPr>
          <w:rFonts w:cs="Arial"/>
          <w:bCs/>
          <w:sz w:val="22"/>
          <w:szCs w:val="22"/>
        </w:rPr>
        <w:t>plm</w:t>
      </w:r>
      <w:proofErr w:type="spellEnd"/>
      <w:r w:rsidRPr="009D1299">
        <w:rPr>
          <w:rFonts w:cs="Arial"/>
          <w:bCs/>
          <w:sz w:val="22"/>
          <w:szCs w:val="22"/>
        </w:rPr>
        <w:t xml:space="preserve">. 3.úsek, říční km 3,660-3,720, bez odkupu dřevní hmoty, 11 ks stromů - 11 </w:t>
      </w:r>
      <w:proofErr w:type="spellStart"/>
      <w:r w:rsidRPr="009D1299">
        <w:rPr>
          <w:rFonts w:cs="Arial"/>
          <w:bCs/>
          <w:sz w:val="22"/>
          <w:szCs w:val="22"/>
        </w:rPr>
        <w:t>plm</w:t>
      </w:r>
      <w:proofErr w:type="spellEnd"/>
      <w:r w:rsidRPr="009D1299">
        <w:rPr>
          <w:rFonts w:cs="Arial"/>
          <w:bCs/>
          <w:sz w:val="22"/>
          <w:szCs w:val="22"/>
        </w:rPr>
        <w:t xml:space="preserve">. </w:t>
      </w:r>
    </w:p>
    <w:p w:rsidR="00242215" w:rsidRPr="009D1299" w:rsidRDefault="00242215" w:rsidP="009D1299">
      <w:pPr>
        <w:pStyle w:val="Zkladntext"/>
        <w:ind w:left="426" w:right="-2"/>
        <w:jc w:val="both"/>
        <w:rPr>
          <w:rFonts w:cs="Arial"/>
          <w:bCs/>
          <w:sz w:val="22"/>
          <w:szCs w:val="22"/>
        </w:rPr>
      </w:pPr>
      <w:r w:rsidRPr="009D1299">
        <w:rPr>
          <w:rFonts w:cs="Arial"/>
          <w:bCs/>
          <w:sz w:val="22"/>
          <w:szCs w:val="22"/>
        </w:rPr>
        <w:t>Součástí zakázky je také úklid lokality a přístupových cest.</w:t>
      </w:r>
    </w:p>
    <w:p w:rsidR="006B4DA8" w:rsidRDefault="006B4DA8" w:rsidP="006B4DA8">
      <w:pPr>
        <w:pStyle w:val="Zkladntext"/>
        <w:widowControl/>
        <w:ind w:left="426"/>
        <w:jc w:val="both"/>
        <w:rPr>
          <w:rFonts w:cs="Arial"/>
          <w:sz w:val="22"/>
          <w:szCs w:val="22"/>
        </w:rPr>
      </w:pPr>
    </w:p>
    <w:p w:rsidR="006B4DA8" w:rsidRPr="0095290C" w:rsidRDefault="006B4DA8" w:rsidP="006B4DA8">
      <w:pPr>
        <w:pStyle w:val="A-odstavecodsazen"/>
        <w:ind w:left="426"/>
        <w:rPr>
          <w:b/>
          <w:bCs/>
        </w:rPr>
      </w:pPr>
      <w:r w:rsidRPr="0095290C">
        <w:rPr>
          <w:b/>
          <w:bCs/>
        </w:rPr>
        <w:t xml:space="preserve">Zhotovitel odkoupí vytěženou dřevní hmotu o předpokládaném objemu </w:t>
      </w:r>
      <w:r w:rsidR="009D1299" w:rsidRPr="0095290C">
        <w:rPr>
          <w:b/>
          <w:bCs/>
        </w:rPr>
        <w:t>15</w:t>
      </w:r>
      <w:r w:rsidR="00964E94" w:rsidRPr="0095290C">
        <w:rPr>
          <w:b/>
          <w:bCs/>
        </w:rPr>
        <w:t xml:space="preserve"> </w:t>
      </w:r>
      <w:r w:rsidRPr="0095290C">
        <w:rPr>
          <w:b/>
          <w:bCs/>
          <w:color w:val="000000"/>
        </w:rPr>
        <w:t>plm (m3)</w:t>
      </w:r>
      <w:r w:rsidRPr="0095290C">
        <w:rPr>
          <w:b/>
          <w:bCs/>
        </w:rPr>
        <w:t xml:space="preserve"> za jednotkovou cenu </w:t>
      </w:r>
      <w:r w:rsidR="009D1299" w:rsidRPr="0095290C">
        <w:rPr>
          <w:b/>
          <w:bCs/>
        </w:rPr>
        <w:t>800,-</w:t>
      </w:r>
      <w:r w:rsidRPr="0095290C">
        <w:rPr>
          <w:b/>
          <w:bCs/>
        </w:rPr>
        <w:t xml:space="preserve"> Kč bez DPH za 1 plm.</w:t>
      </w:r>
    </w:p>
    <w:p w:rsidR="006B4DA8" w:rsidRPr="00495CFC" w:rsidRDefault="006B4DA8" w:rsidP="006B4DA8">
      <w:pPr>
        <w:pStyle w:val="Zkladntext"/>
        <w:widowControl/>
        <w:ind w:left="426"/>
        <w:jc w:val="both"/>
        <w:rPr>
          <w:rFonts w:cs="Arial"/>
          <w:sz w:val="22"/>
          <w:szCs w:val="22"/>
        </w:rPr>
      </w:pPr>
      <w:bookmarkStart w:id="2" w:name="_Hlk114731744"/>
      <w:r w:rsidRPr="0095290C">
        <w:rPr>
          <w:rFonts w:cs="Arial"/>
          <w:sz w:val="22"/>
          <w:szCs w:val="22"/>
        </w:rPr>
        <w:t>Nezpracovaná dřevní hmota (větve a křoví) bude likvidována na místě štěpkováním nebo pálením (po předchozím nahlášení příslušnému HZS).</w:t>
      </w:r>
    </w:p>
    <w:p w:rsidR="006B4DA8" w:rsidRDefault="006B4DA8" w:rsidP="006B4DA8">
      <w:pPr>
        <w:pStyle w:val="A-odstavecodsazen"/>
        <w:ind w:left="426"/>
        <w:rPr>
          <w:bCs/>
        </w:rPr>
      </w:pPr>
    </w:p>
    <w:p w:rsidR="006B4DA8" w:rsidRPr="00A840A0" w:rsidRDefault="006B4DA8" w:rsidP="006B4DA8">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6B4DA8" w:rsidRPr="00BA7011" w:rsidRDefault="006B4DA8" w:rsidP="006B4DA8">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6B4DA8" w:rsidRPr="00A840A0" w:rsidRDefault="006B4DA8" w:rsidP="006B4DA8">
      <w:pPr>
        <w:pStyle w:val="Zkladntext"/>
        <w:ind w:left="426"/>
        <w:jc w:val="both"/>
        <w:rPr>
          <w:rFonts w:cs="Arial"/>
          <w:sz w:val="22"/>
          <w:szCs w:val="22"/>
        </w:rPr>
      </w:pPr>
      <w:r w:rsidRPr="00A840A0">
        <w:rPr>
          <w:rFonts w:cs="Arial"/>
          <w:sz w:val="22"/>
          <w:szCs w:val="22"/>
        </w:rPr>
        <w:t xml:space="preserve">Veškeré odpady vzniklé v průběhu </w:t>
      </w:r>
      <w:r>
        <w:rPr>
          <w:rFonts w:cs="Arial"/>
          <w:sz w:val="22"/>
          <w:szCs w:val="22"/>
        </w:rPr>
        <w:t xml:space="preserve">provádění díla </w:t>
      </w:r>
      <w:r w:rsidRPr="00A840A0">
        <w:rPr>
          <w:rFonts w:cs="Arial"/>
          <w:sz w:val="22"/>
          <w:szCs w:val="22"/>
        </w:rPr>
        <w:t>budou řádně zneškodňovány vytříděné podle druhů a kategorizace odpadů.</w:t>
      </w:r>
    </w:p>
    <w:p w:rsidR="006B4DA8" w:rsidRPr="00A840A0" w:rsidRDefault="006B4DA8" w:rsidP="006B4DA8">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6B4DA8" w:rsidRPr="00A840A0" w:rsidRDefault="006B4DA8" w:rsidP="006B4DA8">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Pr>
          <w:rFonts w:cs="Arial"/>
          <w:sz w:val="22"/>
          <w:szCs w:val="22"/>
        </w:rPr>
        <w:br/>
      </w:r>
      <w:r w:rsidRPr="00A840A0">
        <w:rPr>
          <w:rFonts w:cs="Arial"/>
          <w:sz w:val="22"/>
          <w:szCs w:val="22"/>
        </w:rPr>
        <w:t xml:space="preserve">k realizaci využíván, bude uklizen a vyčištěn od všech odpadů. </w:t>
      </w:r>
    </w:p>
    <w:bookmarkEnd w:id="2"/>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3"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3"/>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35919">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Default="00307139" w:rsidP="009D1299">
      <w:pPr>
        <w:tabs>
          <w:tab w:val="left" w:pos="426"/>
        </w:tabs>
        <w:overflowPunct/>
        <w:jc w:val="both"/>
        <w:textAlignment w:val="auto"/>
        <w:rPr>
          <w:rFonts w:ascii="Arial" w:hAnsi="Arial" w:cs="Arial"/>
          <w:color w:val="000000"/>
          <w:sz w:val="22"/>
          <w:szCs w:val="22"/>
        </w:rPr>
      </w:pPr>
    </w:p>
    <w:p w:rsidR="00307139" w:rsidRDefault="00307139" w:rsidP="008460D5">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77434D" w:rsidRDefault="0077434D" w:rsidP="0077434D">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AC1EBB" w:rsidRDefault="00AC1EBB" w:rsidP="0077434D">
      <w:pPr>
        <w:tabs>
          <w:tab w:val="left" w:pos="426"/>
        </w:tabs>
        <w:overflowPunct/>
        <w:ind w:left="426" w:hanging="426"/>
        <w:jc w:val="both"/>
        <w:textAlignment w:val="auto"/>
        <w:rPr>
          <w:rFonts w:ascii="Arial" w:hAnsi="Arial" w:cs="Arial"/>
          <w:color w:val="000000"/>
          <w:sz w:val="22"/>
          <w:szCs w:val="22"/>
        </w:rPr>
      </w:pPr>
    </w:p>
    <w:p w:rsidR="0075094D" w:rsidRPr="00AC1EBB" w:rsidRDefault="0075094D" w:rsidP="008460D5">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 xml:space="preserve">předání místa plnění díla. </w:t>
      </w:r>
      <w:r w:rsidRPr="00C1346A">
        <w:rPr>
          <w:rFonts w:ascii="Arial" w:hAnsi="Arial" w:cs="Arial"/>
          <w:color w:val="000000"/>
          <w:sz w:val="22"/>
          <w:szCs w:val="22"/>
        </w:rPr>
        <w:t>Zhotovitel je povinen si převzít místo plnění nejpozději do 30 dnů ode dne účinnosti smlouvy.</w:t>
      </w:r>
    </w:p>
    <w:p w:rsidR="00AC1EBB" w:rsidRPr="00072FF0" w:rsidRDefault="00AC1EBB" w:rsidP="00AC1EBB">
      <w:pPr>
        <w:pStyle w:val="Odstavecseseznamem"/>
        <w:overflowPunct/>
        <w:ind w:left="1080"/>
        <w:jc w:val="both"/>
        <w:textAlignment w:val="auto"/>
        <w:rPr>
          <w:rFonts w:ascii="Arial" w:hAnsi="Arial" w:cs="Arial"/>
          <w:bCs/>
          <w:color w:val="000000"/>
          <w:sz w:val="22"/>
          <w:szCs w:val="22"/>
        </w:rPr>
      </w:pPr>
    </w:p>
    <w:p w:rsidR="0077434D" w:rsidRDefault="0077434D" w:rsidP="008460D5">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nejpozději </w:t>
      </w:r>
      <w:r w:rsidRPr="00937B32">
        <w:rPr>
          <w:rFonts w:ascii="Arial" w:hAnsi="Arial" w:cs="Arial"/>
          <w:b/>
          <w:color w:val="auto"/>
          <w:sz w:val="22"/>
          <w:szCs w:val="22"/>
        </w:rPr>
        <w:t xml:space="preserve">do </w:t>
      </w:r>
      <w:r w:rsidR="00AC1EBB">
        <w:rPr>
          <w:rFonts w:ascii="Arial" w:hAnsi="Arial" w:cs="Arial"/>
          <w:b/>
          <w:color w:val="auto"/>
          <w:sz w:val="22"/>
          <w:szCs w:val="22"/>
        </w:rPr>
        <w:t>2</w:t>
      </w:r>
      <w:r>
        <w:rPr>
          <w:rFonts w:ascii="Arial" w:hAnsi="Arial" w:cs="Arial"/>
          <w:b/>
          <w:color w:val="auto"/>
          <w:sz w:val="22"/>
          <w:szCs w:val="22"/>
        </w:rPr>
        <w:t>4.</w:t>
      </w:r>
      <w:r w:rsidR="00AC1EBB">
        <w:rPr>
          <w:rFonts w:ascii="Arial" w:hAnsi="Arial" w:cs="Arial"/>
          <w:b/>
          <w:color w:val="auto"/>
          <w:sz w:val="22"/>
          <w:szCs w:val="22"/>
        </w:rPr>
        <w:t>3</w:t>
      </w:r>
      <w:r>
        <w:rPr>
          <w:rFonts w:ascii="Arial" w:hAnsi="Arial" w:cs="Arial"/>
          <w:b/>
          <w:color w:val="auto"/>
          <w:sz w:val="22"/>
          <w:szCs w:val="22"/>
        </w:rPr>
        <w:t>.2023</w:t>
      </w:r>
    </w:p>
    <w:p w:rsidR="0077434D" w:rsidRDefault="0077434D" w:rsidP="0077434D">
      <w:pPr>
        <w:overflowPunct/>
        <w:ind w:firstLine="426"/>
        <w:jc w:val="both"/>
        <w:textAlignment w:val="auto"/>
        <w:rPr>
          <w:rFonts w:ascii="Arial" w:hAnsi="Arial" w:cs="Arial"/>
          <w:b/>
          <w:sz w:val="22"/>
          <w:szCs w:val="22"/>
        </w:rPr>
      </w:pPr>
      <w:r w:rsidRPr="00CA4B58">
        <w:rPr>
          <w:rFonts w:ascii="Arial" w:hAnsi="Arial" w:cs="Arial"/>
          <w:sz w:val="22"/>
          <w:szCs w:val="22"/>
        </w:rPr>
        <w:t>Kácení nebo ořez dřevin je možné provádět pouze v době vegetačního klidu</w:t>
      </w:r>
      <w:r w:rsidRPr="00CA4B58">
        <w:rPr>
          <w:rFonts w:ascii="Arial" w:hAnsi="Arial" w:cs="Arial"/>
          <w:b/>
          <w:sz w:val="22"/>
          <w:szCs w:val="22"/>
        </w:rPr>
        <w:t>.</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77434D">
        <w:rPr>
          <w:rFonts w:ascii="Arial" w:hAnsi="Arial" w:cs="Arial"/>
          <w:color w:val="000000"/>
          <w:sz w:val="22"/>
          <w:szCs w:val="22"/>
        </w:rPr>
        <w:t>d</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8460D5">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04E18" w:rsidRPr="006B4DA8" w:rsidRDefault="0075094D" w:rsidP="00C04E18">
      <w:pPr>
        <w:ind w:left="360"/>
        <w:jc w:val="both"/>
        <w:rPr>
          <w:rFonts w:ascii="Arial" w:hAnsi="Arial" w:cs="Arial"/>
          <w:b/>
          <w:sz w:val="22"/>
          <w:szCs w:val="22"/>
        </w:rPr>
      </w:pPr>
      <w:r w:rsidRPr="006B4DA8">
        <w:rPr>
          <w:rFonts w:ascii="Arial" w:hAnsi="Arial" w:cs="Arial"/>
          <w:b/>
          <w:sz w:val="22"/>
          <w:szCs w:val="22"/>
        </w:rPr>
        <w:t xml:space="preserve">Celková smluvní cena za dílo: </w:t>
      </w:r>
      <w:r w:rsidR="00C04E18" w:rsidRPr="00EA5459">
        <w:rPr>
          <w:rFonts w:ascii="Arial" w:hAnsi="Arial" w:cs="Arial"/>
          <w:b/>
          <w:sz w:val="22"/>
          <w:szCs w:val="22"/>
        </w:rPr>
        <w:tab/>
      </w:r>
      <w:r w:rsidR="00AC1EBB">
        <w:rPr>
          <w:rFonts w:ascii="Arial" w:hAnsi="Arial" w:cs="Arial"/>
          <w:b/>
          <w:sz w:val="22"/>
          <w:szCs w:val="22"/>
        </w:rPr>
        <w:tab/>
      </w:r>
      <w:r w:rsidR="00AC1EBB">
        <w:rPr>
          <w:rFonts w:ascii="Arial" w:hAnsi="Arial" w:cs="Arial"/>
          <w:b/>
          <w:sz w:val="22"/>
          <w:szCs w:val="22"/>
        </w:rPr>
        <w:tab/>
      </w:r>
      <w:r w:rsidR="00AC1EBB">
        <w:rPr>
          <w:rFonts w:ascii="Arial" w:hAnsi="Arial" w:cs="Arial"/>
          <w:b/>
          <w:sz w:val="22"/>
          <w:szCs w:val="22"/>
        </w:rPr>
        <w:tab/>
      </w:r>
      <w:r w:rsidR="00AC1EBB">
        <w:rPr>
          <w:rFonts w:ascii="Arial" w:hAnsi="Arial" w:cs="Arial"/>
          <w:b/>
          <w:sz w:val="22"/>
          <w:szCs w:val="22"/>
        </w:rPr>
        <w:tab/>
        <w:t>122</w:t>
      </w:r>
      <w:r w:rsidR="00EA5459">
        <w:rPr>
          <w:rFonts w:ascii="Arial" w:hAnsi="Arial" w:cs="Arial"/>
          <w:b/>
          <w:sz w:val="22"/>
          <w:szCs w:val="22"/>
        </w:rPr>
        <w:t>.</w:t>
      </w:r>
      <w:r w:rsidR="00AC1EBB">
        <w:rPr>
          <w:rFonts w:ascii="Arial" w:hAnsi="Arial" w:cs="Arial"/>
          <w:b/>
          <w:sz w:val="22"/>
          <w:szCs w:val="22"/>
        </w:rPr>
        <w:t>90</w:t>
      </w:r>
      <w:r w:rsidR="00EA5459" w:rsidRPr="00EA5459">
        <w:rPr>
          <w:rFonts w:ascii="Arial" w:hAnsi="Arial" w:cs="Arial"/>
          <w:b/>
          <w:sz w:val="22"/>
          <w:szCs w:val="22"/>
        </w:rPr>
        <w:t>0</w:t>
      </w:r>
      <w:r w:rsidR="006B4DA8" w:rsidRPr="00EA5459">
        <w:rPr>
          <w:rFonts w:ascii="Arial" w:hAnsi="Arial" w:cs="Arial"/>
          <w:b/>
          <w:sz w:val="22"/>
          <w:szCs w:val="22"/>
        </w:rPr>
        <w:t>,00</w:t>
      </w:r>
      <w:r w:rsidR="00C04E18" w:rsidRPr="00EA5459">
        <w:rPr>
          <w:rFonts w:ascii="Arial" w:hAnsi="Arial" w:cs="Arial"/>
          <w:b/>
          <w:sz w:val="22"/>
          <w:szCs w:val="22"/>
        </w:rPr>
        <w:t xml:space="preserve"> </w:t>
      </w:r>
      <w:r w:rsidR="00C04E18" w:rsidRPr="006B4DA8">
        <w:rPr>
          <w:rFonts w:ascii="Arial" w:hAnsi="Arial" w:cs="Arial"/>
          <w:b/>
          <w:sz w:val="22"/>
          <w:szCs w:val="22"/>
        </w:rPr>
        <w:t>Kč</w:t>
      </w:r>
      <w:r w:rsidRPr="006B4DA8">
        <w:rPr>
          <w:rFonts w:ascii="Arial" w:hAnsi="Arial" w:cs="Arial"/>
          <w:b/>
          <w:sz w:val="22"/>
          <w:szCs w:val="22"/>
        </w:rPr>
        <w:t xml:space="preserve"> </w:t>
      </w:r>
    </w:p>
    <w:p w:rsidR="0075094D" w:rsidRPr="006B4DA8" w:rsidRDefault="0075094D" w:rsidP="00AC1EBB">
      <w:pPr>
        <w:jc w:val="both"/>
        <w:rPr>
          <w:rFonts w:ascii="Arial" w:hAnsi="Arial" w:cs="Arial"/>
          <w:b/>
          <w:sz w:val="22"/>
          <w:szCs w:val="22"/>
        </w:rPr>
      </w:pPr>
    </w:p>
    <w:p w:rsidR="00273D36" w:rsidRPr="00273D36" w:rsidRDefault="0075094D" w:rsidP="00273D36">
      <w:pPr>
        <w:widowControl w:val="0"/>
        <w:numPr>
          <w:ilvl w:val="0"/>
          <w:numId w:val="9"/>
        </w:numPr>
        <w:jc w:val="both"/>
        <w:rPr>
          <w:rFonts w:ascii="Arial" w:hAnsi="Arial" w:cs="Arial"/>
          <w:sz w:val="22"/>
          <w:szCs w:val="22"/>
        </w:rPr>
      </w:pPr>
      <w:r w:rsidRPr="006B4DA8">
        <w:rPr>
          <w:rFonts w:ascii="Arial" w:hAnsi="Arial" w:cs="Arial"/>
          <w:b/>
          <w:sz w:val="22"/>
          <w:szCs w:val="22"/>
        </w:rPr>
        <w:t>Odkoupení dřevní hmoty</w:t>
      </w:r>
      <w:r w:rsidRPr="006B4DA8">
        <w:rPr>
          <w:rFonts w:ascii="Arial" w:hAnsi="Arial" w:cs="Arial"/>
          <w:sz w:val="22"/>
          <w:szCs w:val="22"/>
        </w:rPr>
        <w:t xml:space="preserve"> – Vytěženou dřevní hmotu odkoupí zhotovitel od objednatele za cenu </w:t>
      </w:r>
      <w:r w:rsidR="00AC1EBB">
        <w:rPr>
          <w:rFonts w:ascii="Arial" w:hAnsi="Arial" w:cs="Arial"/>
          <w:b/>
          <w:sz w:val="22"/>
          <w:szCs w:val="22"/>
        </w:rPr>
        <w:t>12</w:t>
      </w:r>
      <w:r w:rsidR="00EA5459" w:rsidRPr="00EA5459">
        <w:rPr>
          <w:rFonts w:ascii="Arial" w:hAnsi="Arial" w:cs="Arial"/>
          <w:b/>
          <w:sz w:val="22"/>
          <w:szCs w:val="22"/>
        </w:rPr>
        <w:t>.</w:t>
      </w:r>
      <w:r w:rsidR="00AC1EBB">
        <w:rPr>
          <w:rFonts w:ascii="Arial" w:hAnsi="Arial" w:cs="Arial"/>
          <w:b/>
          <w:sz w:val="22"/>
          <w:szCs w:val="22"/>
        </w:rPr>
        <w:t>0</w:t>
      </w:r>
      <w:r w:rsidR="00EA5459" w:rsidRPr="00EA5459">
        <w:rPr>
          <w:rFonts w:ascii="Arial" w:hAnsi="Arial" w:cs="Arial"/>
          <w:b/>
          <w:sz w:val="22"/>
          <w:szCs w:val="22"/>
        </w:rPr>
        <w:t>00</w:t>
      </w:r>
      <w:r w:rsidR="006B4DA8" w:rsidRPr="00EA5459">
        <w:rPr>
          <w:rFonts w:ascii="Arial" w:hAnsi="Arial" w:cs="Arial"/>
          <w:b/>
          <w:sz w:val="22"/>
          <w:szCs w:val="22"/>
        </w:rPr>
        <w:t xml:space="preserve">,00 </w:t>
      </w:r>
      <w:r w:rsidRPr="006B4DA8">
        <w:rPr>
          <w:rFonts w:ascii="Arial" w:hAnsi="Arial" w:cs="Arial"/>
          <w:b/>
          <w:sz w:val="22"/>
          <w:szCs w:val="22"/>
        </w:rPr>
        <w:t xml:space="preserve">Kč bez </w:t>
      </w:r>
      <w:r w:rsidRPr="0095290C">
        <w:rPr>
          <w:rFonts w:ascii="Arial" w:hAnsi="Arial" w:cs="Arial"/>
          <w:b/>
          <w:sz w:val="22"/>
          <w:szCs w:val="22"/>
        </w:rPr>
        <w:t>DPH</w:t>
      </w:r>
      <w:r w:rsidRPr="0095290C">
        <w:rPr>
          <w:rFonts w:ascii="Arial" w:hAnsi="Arial" w:cs="Arial"/>
          <w:sz w:val="22"/>
          <w:szCs w:val="22"/>
        </w:rPr>
        <w:t xml:space="preserve"> (výpočet: </w:t>
      </w:r>
      <w:r w:rsidR="00AC1EBB" w:rsidRPr="0095290C">
        <w:rPr>
          <w:rFonts w:ascii="Arial" w:hAnsi="Arial" w:cs="Arial"/>
          <w:sz w:val="22"/>
          <w:szCs w:val="22"/>
        </w:rPr>
        <w:t>800</w:t>
      </w:r>
      <w:r w:rsidRPr="0095290C">
        <w:rPr>
          <w:rFonts w:ascii="Arial" w:hAnsi="Arial" w:cs="Arial"/>
          <w:color w:val="FF0000"/>
          <w:sz w:val="22"/>
          <w:szCs w:val="22"/>
        </w:rPr>
        <w:t xml:space="preserve"> </w:t>
      </w:r>
      <w:r w:rsidRPr="0095290C">
        <w:rPr>
          <w:rFonts w:ascii="Arial" w:hAnsi="Arial" w:cs="Arial"/>
          <w:sz w:val="22"/>
          <w:szCs w:val="22"/>
        </w:rPr>
        <w:t xml:space="preserve">Kč bez DPH x </w:t>
      </w:r>
      <w:r w:rsidR="00AC1EBB" w:rsidRPr="0095290C">
        <w:rPr>
          <w:rFonts w:ascii="Arial" w:hAnsi="Arial" w:cs="Arial"/>
          <w:sz w:val="22"/>
          <w:szCs w:val="22"/>
        </w:rPr>
        <w:t>15</w:t>
      </w:r>
      <w:r w:rsidRPr="0095290C">
        <w:rPr>
          <w:rFonts w:ascii="Arial" w:hAnsi="Arial" w:cs="Arial"/>
          <w:sz w:val="22"/>
          <w:szCs w:val="22"/>
        </w:rPr>
        <w:t xml:space="preserve"> </w:t>
      </w:r>
      <w:proofErr w:type="spellStart"/>
      <w:r w:rsidRPr="0095290C">
        <w:rPr>
          <w:rFonts w:ascii="Arial" w:hAnsi="Arial" w:cs="Arial"/>
          <w:sz w:val="22"/>
          <w:szCs w:val="22"/>
        </w:rPr>
        <w:t>plm</w:t>
      </w:r>
      <w:proofErr w:type="spellEnd"/>
      <w:r w:rsidRPr="0095290C">
        <w:rPr>
          <w:rFonts w:ascii="Arial" w:hAnsi="Arial" w:cs="Arial"/>
          <w:sz w:val="22"/>
          <w:szCs w:val="22"/>
        </w:rPr>
        <w:t>). K ceně</w:t>
      </w:r>
      <w:r w:rsidRPr="00217483">
        <w:rPr>
          <w:rFonts w:ascii="Arial" w:hAnsi="Arial" w:cs="Arial"/>
          <w:sz w:val="22"/>
          <w:szCs w:val="22"/>
        </w:rPr>
        <w:t xml:space="preserve"> vytěžené dřevní hmoty bude připočtena</w:t>
      </w:r>
      <w:r w:rsidR="00273D36">
        <w:rPr>
          <w:rFonts w:ascii="Arial" w:hAnsi="Arial" w:cs="Arial"/>
          <w:sz w:val="22"/>
          <w:szCs w:val="22"/>
        </w:rPr>
        <w:t xml:space="preserve"> platná sazba</w:t>
      </w:r>
      <w:r w:rsidRPr="00217483">
        <w:rPr>
          <w:rFonts w:ascii="Arial" w:hAnsi="Arial" w:cs="Arial"/>
          <w:sz w:val="22"/>
          <w:szCs w:val="22"/>
        </w:rPr>
        <w:t xml:space="preserve"> DPH</w:t>
      </w:r>
      <w:r w:rsidR="00273D36">
        <w:rPr>
          <w:rFonts w:ascii="Arial" w:hAnsi="Arial" w:cs="Arial"/>
          <w:sz w:val="22"/>
          <w:szCs w:val="22"/>
        </w:rPr>
        <w:t>.</w:t>
      </w:r>
      <w:r w:rsidRPr="00217483">
        <w:rPr>
          <w:rFonts w:ascii="Arial" w:hAnsi="Arial" w:cs="Arial"/>
          <w:sz w:val="22"/>
          <w:szCs w:val="22"/>
        </w:rPr>
        <w:t xml:space="preserve"> </w:t>
      </w:r>
      <w:r w:rsidRPr="0075094D">
        <w:rPr>
          <w:rFonts w:ascii="Arial" w:hAnsi="Arial" w:cs="Arial"/>
          <w:sz w:val="22"/>
          <w:szCs w:val="22"/>
        </w:rPr>
        <w:t>Úhrada za odkup dřevní hmoty bude provedena vzájemným zápočtem dokladů při fakturaci prací zhotovitelem.</w:t>
      </w:r>
    </w:p>
    <w:p w:rsidR="00E06371" w:rsidRPr="00454D43" w:rsidRDefault="00E06371" w:rsidP="00E06371">
      <w:pPr>
        <w:ind w:firstLine="360"/>
        <w:jc w:val="both"/>
        <w:rPr>
          <w:rFonts w:ascii="Arial" w:hAnsi="Arial" w:cs="Arial"/>
          <w:b/>
          <w:sz w:val="22"/>
          <w:szCs w:val="22"/>
        </w:rPr>
      </w:pPr>
    </w:p>
    <w:p w:rsidR="0001739A" w:rsidRPr="00454D43" w:rsidRDefault="0001739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8460D5">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75094D" w:rsidRPr="00491B84" w:rsidRDefault="0075094D" w:rsidP="008460D5">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75094D" w:rsidRPr="002B7D40" w:rsidRDefault="0075094D" w:rsidP="0075094D">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2B7D40">
        <w:rPr>
          <w:rFonts w:ascii="Arial" w:hAnsi="Arial" w:cs="Arial"/>
          <w:i w:val="0"/>
          <w:color w:val="auto"/>
          <w:sz w:val="22"/>
          <w:szCs w:val="22"/>
        </w:rPr>
        <w:t>:</w:t>
      </w:r>
      <w:r w:rsidR="00E41327" w:rsidRPr="002B7D40">
        <w:rPr>
          <w:rFonts w:ascii="Arial" w:hAnsi="Arial" w:cs="Arial"/>
          <w:b/>
          <w:i w:val="0"/>
          <w:color w:val="auto"/>
          <w:sz w:val="22"/>
          <w:szCs w:val="22"/>
        </w:rPr>
        <w:t xml:space="preserve"> </w:t>
      </w:r>
    </w:p>
    <w:p w:rsidR="0075094D" w:rsidRPr="00D363E8" w:rsidRDefault="0075094D" w:rsidP="0075094D">
      <w:pPr>
        <w:ind w:left="426"/>
        <w:jc w:val="both"/>
        <w:rPr>
          <w:rFonts w:ascii="Arial" w:hAnsi="Arial" w:cs="Arial"/>
          <w:sz w:val="22"/>
          <w:szCs w:val="22"/>
        </w:rPr>
      </w:pPr>
    </w:p>
    <w:p w:rsidR="0075094D" w:rsidRPr="00D363E8" w:rsidRDefault="0075094D" w:rsidP="008460D5">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95290C"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95290C">
        <w:rPr>
          <w:rFonts w:ascii="Arial" w:hAnsi="Arial" w:cs="Arial"/>
          <w:color w:val="auto"/>
          <w:sz w:val="22"/>
          <w:szCs w:val="22"/>
        </w:rPr>
        <w:t xml:space="preserve">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w:t>
      </w:r>
      <w:r w:rsidR="00454D43" w:rsidRPr="0095290C">
        <w:rPr>
          <w:rFonts w:ascii="Arial" w:hAnsi="Arial" w:cs="Arial"/>
          <w:color w:val="auto"/>
          <w:sz w:val="22"/>
          <w:szCs w:val="22"/>
        </w:rPr>
        <w:t>zhotovitel</w:t>
      </w:r>
      <w:r w:rsidR="00FF5046" w:rsidRPr="0095290C">
        <w:rPr>
          <w:rFonts w:ascii="Arial" w:hAnsi="Arial" w:cs="Arial"/>
          <w:color w:val="auto"/>
          <w:sz w:val="22"/>
          <w:szCs w:val="22"/>
        </w:rPr>
        <w:t>i</w:t>
      </w:r>
      <w:r w:rsidRPr="0095290C">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8460D5">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8460D5">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8460D5">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8460D5">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8460D5">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8460D5">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8460D5">
      <w:pPr>
        <w:pStyle w:val="A-odstavecodsazensodrkami"/>
        <w:numPr>
          <w:ilvl w:val="0"/>
          <w:numId w:val="2"/>
        </w:numPr>
      </w:pPr>
      <w:r>
        <w:lastRenderedPageBreak/>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8460D5">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460D5">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460D5">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8460D5">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75094D" w:rsidRDefault="00E97587" w:rsidP="008460D5">
      <w:pPr>
        <w:widowControl w:val="0"/>
        <w:numPr>
          <w:ilvl w:val="0"/>
          <w:numId w:val="6"/>
        </w:numPr>
        <w:jc w:val="both"/>
        <w:rPr>
          <w:rFonts w:ascii="Arial" w:hAnsi="Arial" w:cs="Arial"/>
          <w:sz w:val="22"/>
          <w:szCs w:val="22"/>
        </w:rPr>
      </w:pPr>
      <w:r w:rsidRPr="0075094D">
        <w:rPr>
          <w:rFonts w:ascii="Arial" w:hAnsi="Arial" w:cs="Arial"/>
          <w:sz w:val="22"/>
          <w:szCs w:val="22"/>
        </w:rPr>
        <w:t xml:space="preserve">Objednatel je oprávněn požadovat náhradu škody způsobenou mu </w:t>
      </w:r>
      <w:r w:rsidR="00454D43" w:rsidRPr="0075094D">
        <w:rPr>
          <w:rFonts w:ascii="Arial" w:hAnsi="Arial" w:cs="Arial"/>
          <w:sz w:val="22"/>
          <w:szCs w:val="22"/>
        </w:rPr>
        <w:t>zhotovitel</w:t>
      </w:r>
      <w:r w:rsidR="00FF5046" w:rsidRPr="0075094D">
        <w:rPr>
          <w:rFonts w:ascii="Arial" w:hAnsi="Arial" w:cs="Arial"/>
          <w:sz w:val="22"/>
          <w:szCs w:val="22"/>
        </w:rPr>
        <w:t>em</w:t>
      </w:r>
      <w:r w:rsidRPr="0075094D">
        <w:rPr>
          <w:rFonts w:ascii="Arial" w:hAnsi="Arial" w:cs="Arial"/>
          <w:sz w:val="22"/>
          <w:szCs w:val="22"/>
        </w:rPr>
        <w:t xml:space="preserve"> porušením povinností </w:t>
      </w:r>
      <w:r w:rsidR="00454D43" w:rsidRPr="0075094D">
        <w:rPr>
          <w:rFonts w:ascii="Arial" w:hAnsi="Arial" w:cs="Arial"/>
          <w:sz w:val="22"/>
          <w:szCs w:val="22"/>
        </w:rPr>
        <w:t>zhotovitel</w:t>
      </w:r>
      <w:r w:rsidR="00FF5046" w:rsidRPr="0075094D">
        <w:rPr>
          <w:rFonts w:ascii="Arial" w:hAnsi="Arial" w:cs="Arial"/>
          <w:sz w:val="22"/>
          <w:szCs w:val="22"/>
        </w:rPr>
        <w:t>e</w:t>
      </w:r>
      <w:r w:rsidRPr="0075094D">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75094D" w:rsidRDefault="0075094D" w:rsidP="0075094D">
      <w:pPr>
        <w:pStyle w:val="Zkladntext"/>
        <w:widowControl/>
        <w:jc w:val="center"/>
        <w:rPr>
          <w:rFonts w:cs="Arial"/>
          <w:b/>
          <w:color w:val="auto"/>
          <w:sz w:val="22"/>
          <w:szCs w:val="22"/>
          <w:u w:val="single"/>
        </w:rPr>
      </w:pPr>
    </w:p>
    <w:p w:rsidR="00964E94" w:rsidRDefault="00964E94" w:rsidP="00AC1EBB">
      <w:pPr>
        <w:pStyle w:val="Zkladntext"/>
        <w:widowControl/>
        <w:rPr>
          <w:rFonts w:cs="Arial"/>
          <w:b/>
          <w:color w:val="auto"/>
          <w:sz w:val="22"/>
          <w:szCs w:val="22"/>
          <w:u w:val="single"/>
        </w:rPr>
      </w:pPr>
    </w:p>
    <w:p w:rsidR="00307139" w:rsidRDefault="00307139" w:rsidP="0075094D">
      <w:pPr>
        <w:pStyle w:val="Zkladntext"/>
        <w:widowControl/>
        <w:jc w:val="center"/>
        <w:rPr>
          <w:rFonts w:cs="Arial"/>
          <w:b/>
          <w:color w:val="auto"/>
          <w:sz w:val="22"/>
          <w:szCs w:val="22"/>
          <w:u w:val="single"/>
        </w:rPr>
      </w:pPr>
      <w:r w:rsidRPr="0075094D">
        <w:rPr>
          <w:rFonts w:cs="Arial"/>
          <w:b/>
          <w:color w:val="auto"/>
          <w:sz w:val="22"/>
          <w:szCs w:val="22"/>
          <w:u w:val="single"/>
        </w:rPr>
        <w:t>Čl. IX. OSTATNÍ USTANOVENÍ</w:t>
      </w:r>
    </w:p>
    <w:p w:rsidR="008460D5" w:rsidRDefault="008460D5" w:rsidP="0075094D">
      <w:pPr>
        <w:pStyle w:val="Zkladntext"/>
        <w:widowControl/>
        <w:jc w:val="center"/>
        <w:rPr>
          <w:rFonts w:cs="Arial"/>
          <w:b/>
          <w:color w:val="auto"/>
          <w:sz w:val="22"/>
          <w:szCs w:val="22"/>
          <w:u w:val="single"/>
        </w:rPr>
      </w:pPr>
    </w:p>
    <w:p w:rsidR="00EB044F" w:rsidRPr="0075094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75094D">
        <w:rPr>
          <w:rFonts w:cs="Arial"/>
          <w:color w:val="auto"/>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EB044F">
        <w:rPr>
          <w:rFonts w:cs="Arial"/>
          <w:color w:val="auto"/>
          <w:sz w:val="22"/>
          <w:szCs w:val="22"/>
        </w:rPr>
        <w:lastRenderedPageBreak/>
        <w:t>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r w:rsidR="00F534B1">
        <w:rPr>
          <w:rFonts w:cs="Arial"/>
          <w:snapToGrid w:val="0"/>
          <w:color w:val="auto"/>
          <w:sz w:val="22"/>
          <w:szCs w:val="22"/>
        </w:rPr>
        <w:t>.</w:t>
      </w:r>
      <w:bookmarkStart w:id="4" w:name="_GoBack"/>
      <w:bookmarkEnd w:id="4"/>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8460D5">
      <w:pPr>
        <w:pStyle w:val="Zkladntext"/>
        <w:keepNext/>
        <w:widowControl/>
        <w:numPr>
          <w:ilvl w:val="0"/>
          <w:numId w:val="3"/>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CB48DD" w:rsidRDefault="00CB48DD"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 xml:space="preserve">Pokud není ve smlouvě uvedeno jinak, řídí se všechny vztahy mezi smluvními stranami ustanoveními občanského zákoníku. </w:t>
      </w:r>
    </w:p>
    <w:p w:rsidR="00307139" w:rsidRP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75094D" w:rsidRDefault="0075094D" w:rsidP="008460D5">
      <w:pPr>
        <w:pStyle w:val="Zkladntext"/>
        <w:widowControl/>
        <w:numPr>
          <w:ilvl w:val="0"/>
          <w:numId w:val="12"/>
        </w:numPr>
        <w:jc w:val="both"/>
        <w:rPr>
          <w:rFonts w:cs="Arial"/>
          <w:sz w:val="22"/>
          <w:szCs w:val="22"/>
        </w:rPr>
      </w:pPr>
      <w:bookmarkStart w:id="5" w:name="_Hlk123712055"/>
      <w:r>
        <w:rPr>
          <w:rFonts w:cs="Arial"/>
          <w:sz w:val="22"/>
          <w:szCs w:val="22"/>
        </w:rPr>
        <w:t>n</w:t>
      </w:r>
      <w:r w:rsidRPr="00072FF0">
        <w:rPr>
          <w:rFonts w:cs="Arial"/>
          <w:sz w:val="22"/>
          <w:szCs w:val="22"/>
        </w:rPr>
        <w:t>epřevzetí místa plnění</w:t>
      </w:r>
      <w:r>
        <w:rPr>
          <w:rFonts w:cs="Arial"/>
          <w:sz w:val="22"/>
          <w:szCs w:val="22"/>
        </w:rPr>
        <w:t xml:space="preserve"> ve stanovené lhůtě (</w:t>
      </w:r>
      <w:r w:rsidRPr="00072FF0">
        <w:rPr>
          <w:rFonts w:cs="Arial"/>
          <w:sz w:val="22"/>
          <w:szCs w:val="22"/>
        </w:rPr>
        <w:t>do 30 dnů ode dne účinnosti smlouvy</w:t>
      </w:r>
      <w:r>
        <w:rPr>
          <w:rFonts w:cs="Arial"/>
          <w:sz w:val="22"/>
          <w:szCs w:val="22"/>
        </w:rPr>
        <w:t>)</w:t>
      </w:r>
      <w:r w:rsidRPr="00072FF0">
        <w:rPr>
          <w:rFonts w:cs="Arial"/>
          <w:sz w:val="22"/>
          <w:szCs w:val="22"/>
        </w:rPr>
        <w:t>.</w:t>
      </w:r>
      <w:bookmarkEnd w:id="5"/>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460D5">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8460D5">
      <w:pPr>
        <w:pStyle w:val="Zkladntext"/>
        <w:widowControl/>
        <w:numPr>
          <w:ilvl w:val="0"/>
          <w:numId w:val="10"/>
        </w:numPr>
        <w:tabs>
          <w:tab w:val="left" w:pos="360"/>
        </w:tabs>
        <w:jc w:val="both"/>
        <w:rPr>
          <w:rFonts w:cs="Arial"/>
          <w:b/>
          <w:sz w:val="22"/>
          <w:szCs w:val="22"/>
        </w:rPr>
      </w:pPr>
      <w:r w:rsidRPr="002B7D40">
        <w:rPr>
          <w:rFonts w:cs="Arial"/>
          <w:color w:val="auto"/>
          <w:sz w:val="22"/>
          <w:szCs w:val="22"/>
        </w:rPr>
        <w:t xml:space="preserve">Zhotovitel prohlašuje, že se seznámil se zásadami, hodnotami a cíli </w:t>
      </w:r>
      <w:proofErr w:type="spellStart"/>
      <w:r w:rsidRPr="002B7D40">
        <w:rPr>
          <w:rFonts w:cs="Arial"/>
          <w:color w:val="auto"/>
          <w:sz w:val="22"/>
          <w:szCs w:val="22"/>
        </w:rPr>
        <w:t>Compliance</w:t>
      </w:r>
      <w:proofErr w:type="spellEnd"/>
      <w:r w:rsidRPr="002B7D40">
        <w:rPr>
          <w:rFonts w:cs="Arial"/>
          <w:color w:val="auto"/>
          <w:sz w:val="22"/>
          <w:szCs w:val="22"/>
        </w:rPr>
        <w:t xml:space="preserve"> programu Povodí Ohře, </w:t>
      </w:r>
      <w:proofErr w:type="spellStart"/>
      <w:r w:rsidRPr="002B7D40">
        <w:rPr>
          <w:rFonts w:cs="Arial"/>
          <w:color w:val="auto"/>
          <w:sz w:val="22"/>
          <w:szCs w:val="22"/>
        </w:rPr>
        <w:t>s.p</w:t>
      </w:r>
      <w:proofErr w:type="spellEnd"/>
      <w:r w:rsidRPr="002B7D40">
        <w:rPr>
          <w:rFonts w:cs="Arial"/>
          <w:color w:val="auto"/>
          <w:sz w:val="22"/>
          <w:szCs w:val="22"/>
        </w:rPr>
        <w:t xml:space="preserve">. (viz http://www.poh.cz/protikorupcni-a-compliance-program/d-1346/p1=1458), dále s Etickým kodexem Povodí Ohře, státní podnik a Protikorupčním programem Povodí Ohře, státní podnik. Zhotovitel se při plnění této Smlouvy zavazuje po </w:t>
      </w:r>
      <w:r w:rsidRPr="007D516F">
        <w:rPr>
          <w:rFonts w:cs="Arial"/>
          <w:color w:val="auto"/>
          <w:sz w:val="22"/>
          <w:szCs w:val="22"/>
        </w:rPr>
        <w:lastRenderedPageBreak/>
        <w:t>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8460D5">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8460D5">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8460D5">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2B7D40">
        <w:rPr>
          <w:color w:val="auto"/>
          <w:sz w:val="22"/>
          <w:szCs w:val="22"/>
        </w:rPr>
        <w:t>na http://www.poh.cz/informace-o-zpracovani-osobnich-udaju/d-1369/p1=1459</w:t>
      </w:r>
      <w:r w:rsidRPr="002B7D40">
        <w:rPr>
          <w:rFonts w:ascii="Helv" w:hAnsi="Helv" w:cs="Helv"/>
          <w:color w:val="auto"/>
          <w:sz w:val="22"/>
          <w:szCs w:val="22"/>
        </w:rPr>
        <w:br/>
      </w:r>
    </w:p>
    <w:p w:rsidR="002B7D40" w:rsidRPr="00243EDC" w:rsidRDefault="002B7D40" w:rsidP="002B7D40">
      <w:pPr>
        <w:pStyle w:val="Zkladntext"/>
        <w:widowControl/>
        <w:numPr>
          <w:ilvl w:val="0"/>
          <w:numId w:val="10"/>
        </w:numPr>
        <w:tabs>
          <w:tab w:val="left" w:pos="360"/>
        </w:tabs>
        <w:ind w:right="-2"/>
        <w:jc w:val="both"/>
        <w:rPr>
          <w:rFonts w:cs="Arial"/>
          <w:bCs/>
          <w:color w:val="auto"/>
          <w:sz w:val="22"/>
          <w:szCs w:val="22"/>
        </w:rPr>
      </w:pPr>
      <w:r w:rsidRPr="00243EDC">
        <w:rPr>
          <w:rFonts w:cs="Arial"/>
          <w:color w:val="auto"/>
          <w:sz w:val="22"/>
          <w:szCs w:val="22"/>
        </w:rPr>
        <w:t xml:space="preserve">Na svědectví tohoto smluvní strany tímto podepisují smlouvu. Tato smlouva je vyhotovena ve dvou vyhotoveních, z nichž každé má platnost originálu. </w:t>
      </w:r>
      <w:r w:rsidRPr="00243EDC">
        <w:rPr>
          <w:rFonts w:cs="Arial"/>
          <w:bCs/>
          <w:color w:val="auto"/>
          <w:sz w:val="22"/>
          <w:szCs w:val="22"/>
        </w:rPr>
        <w:t>Každá ze smluvních stran obdrží jedno vyhotovení smlouvy.</w:t>
      </w:r>
    </w:p>
    <w:p w:rsidR="00FA0A1B" w:rsidRDefault="00FA0A1B" w:rsidP="00307139">
      <w:pPr>
        <w:keepNext/>
        <w:jc w:val="both"/>
        <w:rPr>
          <w:rFonts w:ascii="Arial" w:hAnsi="Arial" w:cs="Arial"/>
          <w:sz w:val="22"/>
          <w:szCs w:val="22"/>
        </w:rPr>
      </w:pPr>
    </w:p>
    <w:p w:rsidR="00EB64F4" w:rsidRDefault="00EB64F4" w:rsidP="00307139">
      <w:pPr>
        <w:keepNext/>
        <w:jc w:val="both"/>
        <w:rPr>
          <w:rFonts w:ascii="Arial" w:hAnsi="Arial" w:cs="Arial"/>
          <w:sz w:val="22"/>
          <w:szCs w:val="22"/>
        </w:rPr>
      </w:pPr>
    </w:p>
    <w:p w:rsidR="00273D36" w:rsidRPr="00243EDC" w:rsidRDefault="00273D36" w:rsidP="00273D36">
      <w:pPr>
        <w:pStyle w:val="Zkladntext"/>
        <w:widowControl/>
        <w:tabs>
          <w:tab w:val="left" w:pos="360"/>
        </w:tabs>
        <w:ind w:right="-2"/>
        <w:jc w:val="both"/>
        <w:rPr>
          <w:rFonts w:cs="Arial"/>
          <w:b/>
          <w:bCs/>
          <w:sz w:val="22"/>
          <w:szCs w:val="22"/>
        </w:rPr>
      </w:pPr>
      <w:r w:rsidRPr="00243EDC">
        <w:rPr>
          <w:rFonts w:cs="Arial"/>
          <w:b/>
          <w:bCs/>
          <w:sz w:val="22"/>
          <w:szCs w:val="22"/>
        </w:rPr>
        <w:t>Přílohy</w:t>
      </w:r>
    </w:p>
    <w:p w:rsidR="00273D36" w:rsidRPr="00243EDC" w:rsidRDefault="00273D36" w:rsidP="00273D36">
      <w:pPr>
        <w:keepNext/>
        <w:ind w:right="-2"/>
        <w:jc w:val="both"/>
        <w:rPr>
          <w:rFonts w:ascii="Arial" w:hAnsi="Arial" w:cs="Arial"/>
          <w:sz w:val="22"/>
          <w:szCs w:val="22"/>
        </w:rPr>
      </w:pPr>
      <w:r>
        <w:rPr>
          <w:rFonts w:ascii="Arial" w:hAnsi="Arial" w:cs="Arial"/>
          <w:sz w:val="22"/>
          <w:szCs w:val="22"/>
        </w:rPr>
        <w:t>N</w:t>
      </w:r>
      <w:r w:rsidRPr="00243EDC">
        <w:rPr>
          <w:rFonts w:ascii="Arial" w:hAnsi="Arial" w:cs="Arial"/>
          <w:sz w:val="22"/>
          <w:szCs w:val="22"/>
        </w:rPr>
        <w:t>abídk</w:t>
      </w:r>
      <w:r>
        <w:rPr>
          <w:rFonts w:ascii="Arial" w:hAnsi="Arial" w:cs="Arial"/>
          <w:sz w:val="22"/>
          <w:szCs w:val="22"/>
        </w:rPr>
        <w:t>ová cena</w:t>
      </w:r>
      <w:r w:rsidRPr="00243EDC">
        <w:rPr>
          <w:rFonts w:ascii="Arial" w:hAnsi="Arial" w:cs="Arial"/>
          <w:sz w:val="22"/>
          <w:szCs w:val="22"/>
        </w:rPr>
        <w:t xml:space="preserve"> zhotovitele</w:t>
      </w:r>
    </w:p>
    <w:p w:rsidR="00273D36" w:rsidRPr="00243EDC" w:rsidRDefault="00273D36" w:rsidP="00273D36">
      <w:pPr>
        <w:keepNext/>
        <w:ind w:right="-2"/>
        <w:jc w:val="both"/>
        <w:rPr>
          <w:rFonts w:ascii="Arial" w:hAnsi="Arial" w:cs="Arial"/>
          <w:sz w:val="22"/>
          <w:szCs w:val="22"/>
        </w:rPr>
      </w:pPr>
      <w:r w:rsidRPr="00243EDC">
        <w:rPr>
          <w:rFonts w:ascii="Arial" w:hAnsi="Arial" w:cs="Arial"/>
          <w:sz w:val="22"/>
          <w:szCs w:val="22"/>
        </w:rPr>
        <w:t>Výzva</w:t>
      </w:r>
      <w:r>
        <w:rPr>
          <w:rFonts w:ascii="Arial" w:hAnsi="Arial" w:cs="Arial"/>
          <w:sz w:val="22"/>
          <w:szCs w:val="22"/>
        </w:rPr>
        <w:t xml:space="preserve"> z 16.1.2023</w:t>
      </w:r>
    </w:p>
    <w:p w:rsidR="00273D36" w:rsidRDefault="00273D36" w:rsidP="00307139">
      <w:pPr>
        <w:keepNext/>
        <w:jc w:val="both"/>
        <w:rPr>
          <w:rFonts w:ascii="Arial" w:hAnsi="Arial" w:cs="Arial"/>
          <w:sz w:val="22"/>
          <w:szCs w:val="22"/>
        </w:rPr>
      </w:pPr>
    </w:p>
    <w:p w:rsidR="00273D36" w:rsidRDefault="00273D36" w:rsidP="00307139">
      <w:pPr>
        <w:keepNext/>
        <w:jc w:val="both"/>
        <w:rPr>
          <w:rFonts w:ascii="Arial" w:hAnsi="Arial" w:cs="Arial"/>
          <w:sz w:val="22"/>
          <w:szCs w:val="22"/>
        </w:rPr>
      </w:pPr>
    </w:p>
    <w:p w:rsidR="00C04E18" w:rsidRDefault="00AC1EBB" w:rsidP="00C04E18">
      <w:pPr>
        <w:keepNext/>
        <w:jc w:val="both"/>
        <w:rPr>
          <w:rFonts w:ascii="Arial" w:hAnsi="Arial" w:cs="Arial"/>
          <w:sz w:val="22"/>
          <w:szCs w:val="22"/>
        </w:rPr>
      </w:pPr>
      <w:r>
        <w:rPr>
          <w:rFonts w:ascii="Arial" w:hAnsi="Arial" w:cs="Arial"/>
          <w:sz w:val="22"/>
          <w:szCs w:val="22"/>
        </w:rPr>
        <w:t>v</w:t>
      </w:r>
      <w:r w:rsidR="002B7D40">
        <w:rPr>
          <w:rFonts w:ascii="Arial" w:hAnsi="Arial" w:cs="Arial"/>
          <w:sz w:val="22"/>
          <w:szCs w:val="22"/>
        </w:rPr>
        <w:t> </w:t>
      </w:r>
      <w:r>
        <w:rPr>
          <w:rFonts w:ascii="Arial" w:hAnsi="Arial" w:cs="Arial"/>
          <w:sz w:val="22"/>
          <w:szCs w:val="22"/>
        </w:rPr>
        <w:t>K</w:t>
      </w:r>
      <w:r w:rsidR="002B7D40">
        <w:rPr>
          <w:rFonts w:ascii="Arial" w:hAnsi="Arial" w:cs="Arial"/>
          <w:sz w:val="22"/>
          <w:szCs w:val="22"/>
        </w:rPr>
        <w:t>.</w:t>
      </w:r>
      <w:r>
        <w:rPr>
          <w:rFonts w:ascii="Arial" w:hAnsi="Arial" w:cs="Arial"/>
          <w:sz w:val="22"/>
          <w:szCs w:val="22"/>
        </w:rPr>
        <w:t xml:space="preserve"> Varech dne ……………</w:t>
      </w:r>
      <w:r w:rsidR="002B7D40">
        <w:rPr>
          <w:rFonts w:ascii="Arial" w:hAnsi="Arial" w:cs="Arial"/>
          <w:sz w:val="22"/>
          <w:szCs w:val="22"/>
        </w:rPr>
        <w:t>……</w:t>
      </w:r>
      <w:r w:rsidR="002B7D40">
        <w:rPr>
          <w:rFonts w:ascii="Arial" w:hAnsi="Arial" w:cs="Arial"/>
          <w:sz w:val="22"/>
          <w:szCs w:val="22"/>
        </w:rPr>
        <w:tab/>
      </w:r>
      <w:r w:rsidR="002B7D40">
        <w:rPr>
          <w:rFonts w:ascii="Arial" w:hAnsi="Arial" w:cs="Arial"/>
          <w:sz w:val="22"/>
          <w:szCs w:val="22"/>
        </w:rPr>
        <w:tab/>
      </w:r>
      <w:r w:rsidR="002B7D40">
        <w:rPr>
          <w:rFonts w:ascii="Arial" w:hAnsi="Arial" w:cs="Arial"/>
          <w:sz w:val="22"/>
          <w:szCs w:val="22"/>
        </w:rPr>
        <w:tab/>
        <w:t>v K. Varech dne ………………….</w:t>
      </w:r>
    </w:p>
    <w:p w:rsidR="002B7D40" w:rsidRDefault="002B7D40" w:rsidP="00C04E18">
      <w:pPr>
        <w:keepNext/>
        <w:jc w:val="both"/>
        <w:rPr>
          <w:rFonts w:ascii="Arial" w:hAnsi="Arial" w:cs="Arial"/>
          <w:sz w:val="22"/>
          <w:szCs w:val="22"/>
        </w:rPr>
      </w:pPr>
    </w:p>
    <w:p w:rsidR="00AC1EBB" w:rsidRPr="00454D43" w:rsidRDefault="00AC1EBB" w:rsidP="00C04E18">
      <w:pPr>
        <w:keepNext/>
        <w:jc w:val="both"/>
        <w:rPr>
          <w:rFonts w:ascii="Arial" w:hAnsi="Arial" w:cs="Arial"/>
          <w:sz w:val="22"/>
          <w:szCs w:val="22"/>
        </w:rPr>
      </w:pPr>
      <w:r>
        <w:rPr>
          <w:rFonts w:ascii="Arial" w:hAnsi="Arial" w:cs="Arial"/>
          <w:sz w:val="22"/>
          <w:szCs w:val="22"/>
        </w:rPr>
        <w:t>oprávněný zástupce objednatele</w:t>
      </w:r>
      <w:r w:rsidR="002B7D40">
        <w:rPr>
          <w:rFonts w:ascii="Arial" w:hAnsi="Arial" w:cs="Arial"/>
          <w:sz w:val="22"/>
          <w:szCs w:val="22"/>
        </w:rPr>
        <w:tab/>
      </w:r>
      <w:r w:rsidR="002B7D40">
        <w:rPr>
          <w:rFonts w:ascii="Arial" w:hAnsi="Arial" w:cs="Arial"/>
          <w:sz w:val="22"/>
          <w:szCs w:val="22"/>
        </w:rPr>
        <w:tab/>
      </w:r>
      <w:r w:rsidR="002B7D40">
        <w:rPr>
          <w:rFonts w:ascii="Arial" w:hAnsi="Arial" w:cs="Arial"/>
          <w:sz w:val="22"/>
          <w:szCs w:val="22"/>
        </w:rPr>
        <w:tab/>
        <w:t>oprávněný zástupce zhotovitele</w:t>
      </w:r>
    </w:p>
    <w:p w:rsidR="00C04E18" w:rsidRDefault="00C04E18" w:rsidP="00C04E18">
      <w:pPr>
        <w:keepNext/>
        <w:jc w:val="both"/>
        <w:rPr>
          <w:rFonts w:ascii="Arial" w:hAnsi="Arial" w:cs="Arial"/>
          <w:sz w:val="22"/>
          <w:szCs w:val="22"/>
        </w:rPr>
      </w:pPr>
    </w:p>
    <w:p w:rsidR="00EB64F4" w:rsidRDefault="00EB64F4" w:rsidP="00C04E18">
      <w:pPr>
        <w:keepNext/>
        <w:jc w:val="both"/>
        <w:rPr>
          <w:rFonts w:ascii="Arial" w:hAnsi="Arial" w:cs="Arial"/>
          <w:sz w:val="22"/>
          <w:szCs w:val="22"/>
        </w:rPr>
      </w:pPr>
    </w:p>
    <w:p w:rsidR="00EB64F4" w:rsidRPr="00454D43" w:rsidRDefault="00EB64F4" w:rsidP="00C04E18">
      <w:pPr>
        <w:keepNext/>
        <w:jc w:val="both"/>
        <w:rPr>
          <w:rFonts w:ascii="Arial" w:hAnsi="Arial" w:cs="Arial"/>
          <w:sz w:val="22"/>
          <w:szCs w:val="22"/>
        </w:rPr>
      </w:pPr>
    </w:p>
    <w:p w:rsidR="00C04E18" w:rsidRPr="00454D43" w:rsidRDefault="00C04E18" w:rsidP="00C04E18">
      <w:pPr>
        <w:keepNext/>
        <w:jc w:val="both"/>
        <w:rPr>
          <w:rFonts w:ascii="Arial" w:hAnsi="Arial" w:cs="Arial"/>
          <w:sz w:val="22"/>
          <w:szCs w:val="22"/>
        </w:rPr>
      </w:pPr>
    </w:p>
    <w:p w:rsidR="00C04E18" w:rsidRPr="00454D43" w:rsidRDefault="00C04E18" w:rsidP="00C04E18">
      <w:pPr>
        <w:keepNext/>
        <w:jc w:val="both"/>
        <w:rPr>
          <w:rFonts w:ascii="Arial" w:hAnsi="Arial" w:cs="Arial"/>
          <w:sz w:val="22"/>
          <w:szCs w:val="22"/>
        </w:rPr>
      </w:pPr>
    </w:p>
    <w:p w:rsidR="00C04E18" w:rsidRPr="00454D43" w:rsidRDefault="00C04E18" w:rsidP="00C04E18">
      <w:pPr>
        <w:keepNext/>
        <w:jc w:val="both"/>
        <w:rPr>
          <w:rFonts w:ascii="Arial" w:hAnsi="Arial" w:cs="Arial"/>
          <w:sz w:val="22"/>
          <w:szCs w:val="22"/>
        </w:rPr>
      </w:pPr>
    </w:p>
    <w:p w:rsidR="00C04E18" w:rsidRPr="00454D43" w:rsidRDefault="00C04E18" w:rsidP="00C04E18">
      <w:pPr>
        <w:keepNext/>
        <w:jc w:val="both"/>
        <w:rPr>
          <w:rFonts w:ascii="Arial" w:hAnsi="Arial" w:cs="Arial"/>
          <w:sz w:val="22"/>
          <w:szCs w:val="22"/>
        </w:rPr>
      </w:pPr>
    </w:p>
    <w:p w:rsidR="00C04E18" w:rsidRPr="00454D43" w:rsidRDefault="00C04E18" w:rsidP="00C04E18">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C04E18" w:rsidRPr="00454D43" w:rsidRDefault="00AC1EBB" w:rsidP="00C04E18">
      <w:pPr>
        <w:keepNext/>
        <w:jc w:val="both"/>
        <w:rPr>
          <w:rFonts w:ascii="Arial" w:hAnsi="Arial" w:cs="Arial"/>
          <w:sz w:val="22"/>
          <w:szCs w:val="22"/>
        </w:rPr>
      </w:pPr>
      <w:r>
        <w:rPr>
          <w:rFonts w:ascii="Arial" w:hAnsi="Arial" w:cs="Arial"/>
          <w:sz w:val="22"/>
          <w:szCs w:val="22"/>
        </w:rPr>
        <w:tab/>
      </w:r>
      <w:r w:rsidR="00C04E18" w:rsidRPr="00454D43">
        <w:rPr>
          <w:rFonts w:ascii="Arial" w:hAnsi="Arial" w:cs="Arial"/>
          <w:sz w:val="22"/>
          <w:szCs w:val="22"/>
        </w:rPr>
        <w:tab/>
      </w:r>
      <w:r w:rsidR="00E41327">
        <w:rPr>
          <w:rFonts w:ascii="Arial" w:hAnsi="Arial" w:cs="Arial"/>
          <w:sz w:val="22"/>
          <w:szCs w:val="22"/>
        </w:rPr>
        <w:tab/>
      </w:r>
      <w:r w:rsidR="00E41327">
        <w:rPr>
          <w:rFonts w:ascii="Arial" w:hAnsi="Arial" w:cs="Arial"/>
          <w:sz w:val="22"/>
          <w:szCs w:val="22"/>
        </w:rPr>
        <w:tab/>
      </w:r>
      <w:r w:rsidR="00E41327">
        <w:rPr>
          <w:rFonts w:ascii="Arial" w:hAnsi="Arial" w:cs="Arial"/>
          <w:sz w:val="22"/>
          <w:szCs w:val="22"/>
        </w:rPr>
        <w:tab/>
      </w:r>
      <w:r w:rsidR="00E41327">
        <w:rPr>
          <w:rFonts w:ascii="Arial" w:hAnsi="Arial" w:cs="Arial"/>
          <w:sz w:val="22"/>
          <w:szCs w:val="22"/>
        </w:rPr>
        <w:tab/>
      </w:r>
      <w:r w:rsidR="00C04E18" w:rsidRPr="00454D43">
        <w:rPr>
          <w:rFonts w:ascii="Arial" w:hAnsi="Arial" w:cs="Arial"/>
          <w:sz w:val="22"/>
          <w:szCs w:val="22"/>
        </w:rPr>
        <w:tab/>
      </w:r>
      <w:r w:rsidR="002B7D40">
        <w:rPr>
          <w:rFonts w:ascii="Arial" w:hAnsi="Arial" w:cs="Arial"/>
          <w:sz w:val="22"/>
          <w:szCs w:val="22"/>
        </w:rPr>
        <w:t xml:space="preserve">Jana </w:t>
      </w:r>
      <w:proofErr w:type="spellStart"/>
      <w:r w:rsidR="002B7D40">
        <w:rPr>
          <w:rFonts w:ascii="Arial" w:hAnsi="Arial" w:cs="Arial"/>
          <w:sz w:val="22"/>
          <w:szCs w:val="22"/>
        </w:rPr>
        <w:t>Vnenčáková</w:t>
      </w:r>
      <w:proofErr w:type="spellEnd"/>
    </w:p>
    <w:p w:rsidR="00C04E18" w:rsidRPr="00454D43" w:rsidRDefault="00AC1EBB" w:rsidP="00C04E18">
      <w:pPr>
        <w:jc w:val="both"/>
        <w:rPr>
          <w:rFonts w:ascii="Arial" w:hAnsi="Arial" w:cs="Arial"/>
          <w:sz w:val="22"/>
          <w:szCs w:val="22"/>
        </w:rPr>
      </w:pPr>
      <w:r>
        <w:rPr>
          <w:rFonts w:ascii="Arial" w:hAnsi="Arial" w:cs="Arial"/>
          <w:sz w:val="22"/>
          <w:szCs w:val="22"/>
        </w:rPr>
        <w:t>ředitelka závodu Karlovy Vary</w:t>
      </w:r>
      <w:r w:rsidR="00C04E18" w:rsidRPr="00454D43">
        <w:rPr>
          <w:rFonts w:ascii="Arial" w:hAnsi="Arial" w:cs="Arial"/>
          <w:sz w:val="22"/>
          <w:szCs w:val="22"/>
        </w:rPr>
        <w:tab/>
      </w:r>
      <w:r w:rsidR="00C04E18" w:rsidRPr="00454D43">
        <w:rPr>
          <w:rFonts w:ascii="Arial" w:hAnsi="Arial" w:cs="Arial"/>
          <w:sz w:val="22"/>
          <w:szCs w:val="22"/>
        </w:rPr>
        <w:tab/>
      </w:r>
      <w:r w:rsidR="00C04E18" w:rsidRPr="00454D43">
        <w:rPr>
          <w:rFonts w:ascii="Arial" w:hAnsi="Arial" w:cs="Arial"/>
          <w:sz w:val="22"/>
          <w:szCs w:val="22"/>
        </w:rPr>
        <w:tab/>
      </w:r>
      <w:r w:rsidR="002B7D40">
        <w:rPr>
          <w:rFonts w:ascii="Arial" w:hAnsi="Arial" w:cs="Arial"/>
          <w:sz w:val="22"/>
          <w:szCs w:val="22"/>
        </w:rPr>
        <w:t>zhotovitel</w:t>
      </w:r>
    </w:p>
    <w:p w:rsidR="00C04E18" w:rsidRPr="00454D43" w:rsidRDefault="00AC1EBB" w:rsidP="00C04E18">
      <w:pPr>
        <w:keepNext/>
        <w:jc w:val="both"/>
        <w:rPr>
          <w:rFonts w:ascii="Arial" w:hAnsi="Arial" w:cs="Arial"/>
          <w:sz w:val="22"/>
          <w:szCs w:val="22"/>
        </w:rPr>
      </w:pPr>
      <w:r>
        <w:rPr>
          <w:rFonts w:ascii="Arial" w:hAnsi="Arial" w:cs="Arial"/>
          <w:sz w:val="22"/>
          <w:szCs w:val="22"/>
        </w:rPr>
        <w:t>Povodí Ohře, státní podnik</w:t>
      </w:r>
      <w:r w:rsidR="009C05AE">
        <w:rPr>
          <w:rFonts w:ascii="Arial" w:hAnsi="Arial" w:cs="Arial"/>
          <w:sz w:val="22"/>
          <w:szCs w:val="22"/>
        </w:rPr>
        <w:tab/>
      </w:r>
      <w:r w:rsidR="009C05AE">
        <w:rPr>
          <w:rFonts w:ascii="Arial" w:hAnsi="Arial" w:cs="Arial"/>
          <w:sz w:val="22"/>
          <w:szCs w:val="22"/>
        </w:rPr>
        <w:tab/>
      </w:r>
      <w:r w:rsidR="009C05AE">
        <w:rPr>
          <w:rFonts w:ascii="Arial" w:hAnsi="Arial" w:cs="Arial"/>
          <w:sz w:val="22"/>
          <w:szCs w:val="22"/>
        </w:rPr>
        <w:tab/>
      </w:r>
      <w:r w:rsidR="009C05AE">
        <w:rPr>
          <w:rFonts w:ascii="Arial" w:hAnsi="Arial" w:cs="Arial"/>
          <w:sz w:val="22"/>
          <w:szCs w:val="22"/>
        </w:rPr>
        <w:tab/>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EA" w:rsidRDefault="00794FEA">
      <w:r>
        <w:separator/>
      </w:r>
    </w:p>
  </w:endnote>
  <w:endnote w:type="continuationSeparator" w:id="0">
    <w:p w:rsidR="00794FEA" w:rsidRDefault="0079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EA" w:rsidRDefault="00794FEA">
      <w:r>
        <w:separator/>
      </w:r>
    </w:p>
  </w:footnote>
  <w:footnote w:type="continuationSeparator" w:id="0">
    <w:p w:rsidR="00794FEA" w:rsidRDefault="00794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EDD6113"/>
    <w:multiLevelType w:val="hybridMultilevel"/>
    <w:tmpl w:val="C46C1D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49EC3760"/>
    <w:multiLevelType w:val="hybridMultilevel"/>
    <w:tmpl w:val="3D9621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53E0BD3"/>
    <w:multiLevelType w:val="hybridMultilevel"/>
    <w:tmpl w:val="23200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2"/>
  </w:num>
  <w:num w:numId="3">
    <w:abstractNumId w:val="9"/>
  </w:num>
  <w:num w:numId="4">
    <w:abstractNumId w:val="11"/>
  </w:num>
  <w:num w:numId="5">
    <w:abstractNumId w:val="5"/>
  </w:num>
  <w:num w:numId="6">
    <w:abstractNumId w:val="4"/>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0"/>
  </w:num>
  <w:num w:numId="11">
    <w:abstractNumId w:val="1"/>
  </w:num>
  <w:num w:numId="12">
    <w:abstractNumId w:val="13"/>
  </w:num>
  <w:num w:numId="13">
    <w:abstractNumId w:val="8"/>
  </w:num>
  <w:num w:numId="14">
    <w:abstractNumId w:val="3"/>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2714"/>
    <w:rsid w:val="00013DF1"/>
    <w:rsid w:val="0001739A"/>
    <w:rsid w:val="00020E2C"/>
    <w:rsid w:val="00025C2F"/>
    <w:rsid w:val="00032AD0"/>
    <w:rsid w:val="00036169"/>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2DA3"/>
    <w:rsid w:val="000F3C57"/>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975DB"/>
    <w:rsid w:val="001A3B7B"/>
    <w:rsid w:val="001A688B"/>
    <w:rsid w:val="001B07ED"/>
    <w:rsid w:val="001C04BD"/>
    <w:rsid w:val="001C2360"/>
    <w:rsid w:val="001D008B"/>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42215"/>
    <w:rsid w:val="00255B29"/>
    <w:rsid w:val="00271CF6"/>
    <w:rsid w:val="002727B2"/>
    <w:rsid w:val="00273665"/>
    <w:rsid w:val="00273D36"/>
    <w:rsid w:val="002810BB"/>
    <w:rsid w:val="002841E7"/>
    <w:rsid w:val="002A59FE"/>
    <w:rsid w:val="002B1846"/>
    <w:rsid w:val="002B32CB"/>
    <w:rsid w:val="002B7D40"/>
    <w:rsid w:val="002C50E0"/>
    <w:rsid w:val="002D1039"/>
    <w:rsid w:val="002D299B"/>
    <w:rsid w:val="002E61C2"/>
    <w:rsid w:val="002E73A1"/>
    <w:rsid w:val="002F1AC1"/>
    <w:rsid w:val="002F45A9"/>
    <w:rsid w:val="00302394"/>
    <w:rsid w:val="00302783"/>
    <w:rsid w:val="00306A1E"/>
    <w:rsid w:val="00307139"/>
    <w:rsid w:val="00312AFD"/>
    <w:rsid w:val="00312BF9"/>
    <w:rsid w:val="003139A9"/>
    <w:rsid w:val="0032351C"/>
    <w:rsid w:val="00327DB4"/>
    <w:rsid w:val="003301E8"/>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33D8"/>
    <w:rsid w:val="00443755"/>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5ACC"/>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1F58"/>
    <w:rsid w:val="005F217B"/>
    <w:rsid w:val="005F34D9"/>
    <w:rsid w:val="005F473A"/>
    <w:rsid w:val="00600628"/>
    <w:rsid w:val="00602394"/>
    <w:rsid w:val="0060531F"/>
    <w:rsid w:val="00633795"/>
    <w:rsid w:val="0067189F"/>
    <w:rsid w:val="0068009D"/>
    <w:rsid w:val="00681859"/>
    <w:rsid w:val="0068788B"/>
    <w:rsid w:val="00687E88"/>
    <w:rsid w:val="0069081D"/>
    <w:rsid w:val="006A302C"/>
    <w:rsid w:val="006B0725"/>
    <w:rsid w:val="006B4DA8"/>
    <w:rsid w:val="006C4B77"/>
    <w:rsid w:val="006C64E2"/>
    <w:rsid w:val="006D29A4"/>
    <w:rsid w:val="006D36AC"/>
    <w:rsid w:val="006D4CF2"/>
    <w:rsid w:val="006D6504"/>
    <w:rsid w:val="006E5F9A"/>
    <w:rsid w:val="006F41C0"/>
    <w:rsid w:val="007111BD"/>
    <w:rsid w:val="00714263"/>
    <w:rsid w:val="00734FF3"/>
    <w:rsid w:val="00736FCB"/>
    <w:rsid w:val="00740ADB"/>
    <w:rsid w:val="0074616E"/>
    <w:rsid w:val="0075094D"/>
    <w:rsid w:val="00767317"/>
    <w:rsid w:val="00771122"/>
    <w:rsid w:val="0077434D"/>
    <w:rsid w:val="00784BAF"/>
    <w:rsid w:val="00785E48"/>
    <w:rsid w:val="00787C27"/>
    <w:rsid w:val="00790434"/>
    <w:rsid w:val="0079435D"/>
    <w:rsid w:val="00794FEA"/>
    <w:rsid w:val="007A041D"/>
    <w:rsid w:val="007A1A1D"/>
    <w:rsid w:val="007B15C4"/>
    <w:rsid w:val="007D4BE6"/>
    <w:rsid w:val="007D5107"/>
    <w:rsid w:val="007E3DAD"/>
    <w:rsid w:val="007F14CA"/>
    <w:rsid w:val="007F41FE"/>
    <w:rsid w:val="007F60BA"/>
    <w:rsid w:val="007F7071"/>
    <w:rsid w:val="007F7B0E"/>
    <w:rsid w:val="00801E9D"/>
    <w:rsid w:val="00811B43"/>
    <w:rsid w:val="008156E1"/>
    <w:rsid w:val="0081696E"/>
    <w:rsid w:val="00821D11"/>
    <w:rsid w:val="00830AC2"/>
    <w:rsid w:val="00831DCA"/>
    <w:rsid w:val="008347C2"/>
    <w:rsid w:val="00844FF1"/>
    <w:rsid w:val="008460D5"/>
    <w:rsid w:val="00855734"/>
    <w:rsid w:val="00855A6C"/>
    <w:rsid w:val="00856705"/>
    <w:rsid w:val="00860849"/>
    <w:rsid w:val="0086126A"/>
    <w:rsid w:val="00863475"/>
    <w:rsid w:val="00864AB4"/>
    <w:rsid w:val="00872CA3"/>
    <w:rsid w:val="00883D67"/>
    <w:rsid w:val="0088678E"/>
    <w:rsid w:val="0089405A"/>
    <w:rsid w:val="00895D11"/>
    <w:rsid w:val="008A107C"/>
    <w:rsid w:val="008A6E84"/>
    <w:rsid w:val="008C1FBE"/>
    <w:rsid w:val="008C390F"/>
    <w:rsid w:val="008D07D7"/>
    <w:rsid w:val="008D36CC"/>
    <w:rsid w:val="008F3607"/>
    <w:rsid w:val="009177F7"/>
    <w:rsid w:val="00917F5B"/>
    <w:rsid w:val="00921CCC"/>
    <w:rsid w:val="00921EEE"/>
    <w:rsid w:val="009231A4"/>
    <w:rsid w:val="0092548D"/>
    <w:rsid w:val="00927588"/>
    <w:rsid w:val="0094603D"/>
    <w:rsid w:val="009515EF"/>
    <w:rsid w:val="0095255A"/>
    <w:rsid w:val="0095290C"/>
    <w:rsid w:val="009545B1"/>
    <w:rsid w:val="0095748D"/>
    <w:rsid w:val="0096148E"/>
    <w:rsid w:val="00963F3F"/>
    <w:rsid w:val="00964E94"/>
    <w:rsid w:val="0098025D"/>
    <w:rsid w:val="009843E0"/>
    <w:rsid w:val="00985301"/>
    <w:rsid w:val="00985B9D"/>
    <w:rsid w:val="00991B86"/>
    <w:rsid w:val="00995E3E"/>
    <w:rsid w:val="00996588"/>
    <w:rsid w:val="009A120B"/>
    <w:rsid w:val="009A39F9"/>
    <w:rsid w:val="009A3FBD"/>
    <w:rsid w:val="009C05AE"/>
    <w:rsid w:val="009C5A32"/>
    <w:rsid w:val="009D1299"/>
    <w:rsid w:val="009D2E1E"/>
    <w:rsid w:val="009D5612"/>
    <w:rsid w:val="009E623B"/>
    <w:rsid w:val="00A1328C"/>
    <w:rsid w:val="00A1375D"/>
    <w:rsid w:val="00A2023D"/>
    <w:rsid w:val="00A43B3A"/>
    <w:rsid w:val="00A71E04"/>
    <w:rsid w:val="00A72B4B"/>
    <w:rsid w:val="00A82F1F"/>
    <w:rsid w:val="00A8568B"/>
    <w:rsid w:val="00A903B8"/>
    <w:rsid w:val="00A919B5"/>
    <w:rsid w:val="00A930F6"/>
    <w:rsid w:val="00A96475"/>
    <w:rsid w:val="00A96966"/>
    <w:rsid w:val="00AA0137"/>
    <w:rsid w:val="00AA1BE2"/>
    <w:rsid w:val="00AB1358"/>
    <w:rsid w:val="00AB3ADF"/>
    <w:rsid w:val="00AB507D"/>
    <w:rsid w:val="00AC1EBB"/>
    <w:rsid w:val="00AC3E52"/>
    <w:rsid w:val="00AD1BFF"/>
    <w:rsid w:val="00AD1CF0"/>
    <w:rsid w:val="00AD439D"/>
    <w:rsid w:val="00AE6E47"/>
    <w:rsid w:val="00AF0169"/>
    <w:rsid w:val="00AF42B0"/>
    <w:rsid w:val="00B0309E"/>
    <w:rsid w:val="00B20CF7"/>
    <w:rsid w:val="00B34EBF"/>
    <w:rsid w:val="00B368E0"/>
    <w:rsid w:val="00B4669A"/>
    <w:rsid w:val="00B63BF5"/>
    <w:rsid w:val="00B640F3"/>
    <w:rsid w:val="00B76C65"/>
    <w:rsid w:val="00B813B2"/>
    <w:rsid w:val="00B847DF"/>
    <w:rsid w:val="00B92AF5"/>
    <w:rsid w:val="00BA4AAC"/>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35919"/>
    <w:rsid w:val="00C4732D"/>
    <w:rsid w:val="00C516BF"/>
    <w:rsid w:val="00C56345"/>
    <w:rsid w:val="00C66556"/>
    <w:rsid w:val="00C7519E"/>
    <w:rsid w:val="00C754D6"/>
    <w:rsid w:val="00C9156E"/>
    <w:rsid w:val="00CA4B58"/>
    <w:rsid w:val="00CB48DD"/>
    <w:rsid w:val="00CC0E56"/>
    <w:rsid w:val="00CD082E"/>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1327"/>
    <w:rsid w:val="00E437CA"/>
    <w:rsid w:val="00E44420"/>
    <w:rsid w:val="00E44E9E"/>
    <w:rsid w:val="00E5236C"/>
    <w:rsid w:val="00E53251"/>
    <w:rsid w:val="00E55D0F"/>
    <w:rsid w:val="00E56266"/>
    <w:rsid w:val="00E567AE"/>
    <w:rsid w:val="00E610AD"/>
    <w:rsid w:val="00E62F14"/>
    <w:rsid w:val="00E705B8"/>
    <w:rsid w:val="00E72F5E"/>
    <w:rsid w:val="00E83DA6"/>
    <w:rsid w:val="00E8418F"/>
    <w:rsid w:val="00E851EC"/>
    <w:rsid w:val="00E8734A"/>
    <w:rsid w:val="00E954F6"/>
    <w:rsid w:val="00E95E53"/>
    <w:rsid w:val="00E97587"/>
    <w:rsid w:val="00EA48DE"/>
    <w:rsid w:val="00EA5459"/>
    <w:rsid w:val="00EA6E4C"/>
    <w:rsid w:val="00EB044F"/>
    <w:rsid w:val="00EB418C"/>
    <w:rsid w:val="00EB64F4"/>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34B1"/>
    <w:rsid w:val="00F54D46"/>
    <w:rsid w:val="00F5552E"/>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0521B"/>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Export0"/>
    <w:link w:val="A-odstavecodsazenChar"/>
    <w:rsid w:val="006B4DA8"/>
    <w:pPr>
      <w:ind w:left="720"/>
      <w:jc w:val="both"/>
    </w:pPr>
    <w:rPr>
      <w:rFonts w:ascii="Arial" w:hAnsi="Arial" w:cs="Arial"/>
      <w:sz w:val="22"/>
      <w:szCs w:val="22"/>
      <w:lang w:val="cs-CZ"/>
    </w:rPr>
  </w:style>
  <w:style w:type="character" w:customStyle="1" w:styleId="A-odstavecodsazenChar">
    <w:name w:val="A-odstavec odsazený Char"/>
    <w:link w:val="A-odstavecodsazen"/>
    <w:rsid w:val="006B4DA8"/>
    <w:rPr>
      <w:rFonts w:ascii="Arial" w:hAnsi="Arial" w:cs="Arial"/>
      <w:sz w:val="22"/>
      <w:szCs w:val="22"/>
    </w:rPr>
  </w:style>
  <w:style w:type="character" w:styleId="Nevyeenzmnka">
    <w:name w:val="Unresolved Mention"/>
    <w:basedOn w:val="Standardnpsmoodstavce"/>
    <w:uiPriority w:val="99"/>
    <w:semiHidden/>
    <w:unhideWhenUsed/>
    <w:rsid w:val="00AC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1AA6-3219-48D1-8786-AE84FEA6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72</TotalTime>
  <Pages>1</Pages>
  <Words>2497</Words>
  <Characters>14738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8</cp:revision>
  <cp:lastPrinted>2005-07-18T05:22:00Z</cp:lastPrinted>
  <dcterms:created xsi:type="dcterms:W3CDTF">2023-02-10T05:15:00Z</dcterms:created>
  <dcterms:modified xsi:type="dcterms:W3CDTF">2023-02-15T11:11:00Z</dcterms:modified>
</cp:coreProperties>
</file>