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AD" w:rsidRDefault="000F00AD">
      <w:pPr>
        <w:spacing w:line="1" w:lineRule="exact"/>
      </w:pPr>
    </w:p>
    <w:p w:rsidR="000F00AD" w:rsidRDefault="00742EE6">
      <w:pPr>
        <w:pStyle w:val="Zkladntext30"/>
        <w:framePr w:wrap="none" w:vAnchor="page" w:hAnchor="page" w:x="904" w:y="943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MORAVIA STEEL</w:t>
      </w:r>
    </w:p>
    <w:p w:rsidR="000F00AD" w:rsidRDefault="00742EE6">
      <w:pPr>
        <w:framePr w:wrap="none" w:vAnchor="page" w:hAnchor="page" w:x="899" w:y="125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42670" cy="5422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426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AD" w:rsidRDefault="00742EE6">
      <w:pPr>
        <w:pStyle w:val="Zkladntext20"/>
        <w:framePr w:w="1910" w:h="802" w:hRule="exact" w:wrap="none" w:vAnchor="page" w:hAnchor="page" w:x="865" w:y="2071"/>
        <w:shd w:val="clear" w:color="auto" w:fill="auto"/>
        <w:ind w:left="5" w:right="4"/>
      </w:pPr>
      <w:r>
        <w:t>MORA VIA STEEL a.s.</w:t>
      </w:r>
      <w:r>
        <w:br/>
        <w:t>Průmyslová 1000</w:t>
      </w:r>
      <w:r>
        <w:br/>
        <w:t>Staré Město</w:t>
      </w:r>
    </w:p>
    <w:p w:rsidR="000F00AD" w:rsidRDefault="00742EE6">
      <w:pPr>
        <w:pStyle w:val="Zkladntext20"/>
        <w:framePr w:w="1910" w:h="802" w:hRule="exact" w:wrap="none" w:vAnchor="page" w:hAnchor="page" w:x="865" w:y="2071"/>
        <w:shd w:val="clear" w:color="auto" w:fill="auto"/>
        <w:ind w:left="5" w:right="4"/>
      </w:pPr>
      <w:r>
        <w:t>739 61 Třinec</w:t>
      </w:r>
    </w:p>
    <w:p w:rsidR="000F00AD" w:rsidRDefault="00742EE6">
      <w:pPr>
        <w:pStyle w:val="Zkladntext20"/>
        <w:framePr w:w="1661" w:h="662" w:hRule="exact" w:wrap="none" w:vAnchor="page" w:hAnchor="page" w:x="3529" w:y="2042"/>
        <w:shd w:val="clear" w:color="auto" w:fill="auto"/>
        <w:spacing w:line="240" w:lineRule="auto"/>
      </w:pPr>
      <w:r>
        <w:t>IČO: 63474808</w:t>
      </w:r>
    </w:p>
    <w:p w:rsidR="000F00AD" w:rsidRDefault="00742EE6">
      <w:pPr>
        <w:pStyle w:val="Zkladntext20"/>
        <w:framePr w:w="1661" w:h="662" w:hRule="exact" w:wrap="none" w:vAnchor="page" w:hAnchor="page" w:x="3529" w:y="2042"/>
        <w:shd w:val="clear" w:color="auto" w:fill="auto"/>
        <w:spacing w:line="221" w:lineRule="auto"/>
      </w:pPr>
      <w:r>
        <w:t>DIČ: CZ699002812</w:t>
      </w:r>
    </w:p>
    <w:p w:rsidR="000F00AD" w:rsidRDefault="00742EE6">
      <w:pPr>
        <w:pStyle w:val="Zkladntext20"/>
        <w:framePr w:w="1661" w:h="662" w:hRule="exact" w:wrap="none" w:vAnchor="page" w:hAnchor="page" w:x="3529" w:y="2042"/>
        <w:shd w:val="clear" w:color="auto" w:fill="auto"/>
        <w:spacing w:line="221" w:lineRule="auto"/>
      </w:pPr>
      <w:r>
        <w:t>Člen skupiny DPH</w:t>
      </w:r>
    </w:p>
    <w:p w:rsidR="000F00AD" w:rsidRDefault="00742EE6">
      <w:pPr>
        <w:pStyle w:val="Nadpis10"/>
        <w:framePr w:w="4675" w:h="1061" w:hRule="exact" w:wrap="none" w:vAnchor="page" w:hAnchor="page" w:x="6001" w:y="1077"/>
        <w:shd w:val="clear" w:color="auto" w:fill="auto"/>
      </w:pPr>
      <w:bookmarkStart w:id="0" w:name="bookmark0"/>
      <w:bookmarkStart w:id="1" w:name="bookmark1"/>
      <w:r>
        <w:t xml:space="preserve">KUPNÍ SMLOUVA </w:t>
      </w:r>
      <w:r>
        <w:rPr>
          <w:rFonts w:ascii="Arial" w:eastAsia="Arial" w:hAnsi="Arial" w:cs="Arial"/>
          <w:b w:val="0"/>
          <w:bCs w:val="0"/>
          <w:smallCaps/>
          <w:sz w:val="32"/>
          <w:szCs w:val="32"/>
        </w:rPr>
        <w:t>č.</w:t>
      </w:r>
      <w:r>
        <w:t xml:space="preserve"> 41703780</w:t>
      </w:r>
      <w:bookmarkEnd w:id="0"/>
      <w:bookmarkEnd w:id="1"/>
    </w:p>
    <w:p w:rsidR="000F00AD" w:rsidRDefault="00742EE6">
      <w:pPr>
        <w:pStyle w:val="Zkladntext20"/>
        <w:framePr w:w="4675" w:h="1061" w:hRule="exact" w:wrap="none" w:vAnchor="page" w:hAnchor="page" w:x="6001" w:y="1077"/>
        <w:shd w:val="clear" w:color="auto" w:fill="auto"/>
        <w:spacing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TŘINEC: </w:t>
      </w:r>
      <w:proofErr w:type="gramStart"/>
      <w:r>
        <w:rPr>
          <w:sz w:val="17"/>
          <w:szCs w:val="17"/>
        </w:rPr>
        <w:t>08.02.2023</w:t>
      </w:r>
      <w:proofErr w:type="gramEnd"/>
    </w:p>
    <w:p w:rsidR="000F00AD" w:rsidRDefault="00742EE6">
      <w:pPr>
        <w:pStyle w:val="Zkladntext20"/>
        <w:framePr w:w="4675" w:h="1061" w:hRule="exact" w:wrap="none" w:vAnchor="page" w:hAnchor="page" w:x="6001" w:y="1077"/>
        <w:shd w:val="clear" w:color="auto" w:fill="auto"/>
        <w:spacing w:line="194" w:lineRule="auto"/>
        <w:rPr>
          <w:sz w:val="17"/>
          <w:szCs w:val="17"/>
        </w:rPr>
      </w:pPr>
      <w:r>
        <w:rPr>
          <w:sz w:val="17"/>
          <w:szCs w:val="17"/>
        </w:rPr>
        <w:t>ČÍSLO OBJEDNÁVKY: OJ01.214-00017/23</w:t>
      </w:r>
    </w:p>
    <w:p w:rsidR="000F00AD" w:rsidRDefault="00742EE6">
      <w:pPr>
        <w:pStyle w:val="Zkladntext20"/>
        <w:framePr w:w="4675" w:h="1061" w:hRule="exact" w:wrap="none" w:vAnchor="page" w:hAnchor="page" w:x="6001" w:y="1077"/>
        <w:shd w:val="clear" w:color="auto" w:fill="auto"/>
        <w:spacing w:line="206" w:lineRule="auto"/>
        <w:rPr>
          <w:sz w:val="17"/>
          <w:szCs w:val="17"/>
        </w:rPr>
      </w:pPr>
      <w:r>
        <w:rPr>
          <w:sz w:val="17"/>
          <w:szCs w:val="17"/>
        </w:rPr>
        <w:t xml:space="preserve">DATUM OBJEDNÁVKY: </w:t>
      </w:r>
      <w:proofErr w:type="gramStart"/>
      <w:r>
        <w:rPr>
          <w:sz w:val="17"/>
          <w:szCs w:val="17"/>
        </w:rPr>
        <w:t>07.02.2023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970"/>
        <w:gridCol w:w="912"/>
        <w:gridCol w:w="202"/>
        <w:gridCol w:w="950"/>
        <w:gridCol w:w="1114"/>
        <w:gridCol w:w="552"/>
        <w:gridCol w:w="562"/>
        <w:gridCol w:w="864"/>
        <w:gridCol w:w="235"/>
        <w:gridCol w:w="1248"/>
        <w:gridCol w:w="974"/>
        <w:gridCol w:w="1272"/>
      </w:tblGrid>
      <w:tr w:rsidR="000F00AD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after="140" w:line="20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Příjemce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materiálu: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09" w:lineRule="auto"/>
              <w:ind w:left="200" w:firstLine="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DOPRAVNÍ PODNIK měst Mostu a Litvínova, a.s.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09" w:lineRule="auto"/>
              <w:ind w:left="200" w:firstLine="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tř. Budovatelů 1395/23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09" w:lineRule="auto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434 01 Most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after="60" w:line="209" w:lineRule="auto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Česká republika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after="1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Kupující: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DOPRAVNÍ PODNIK měst Mostu a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14" w:lineRule="auto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Litvínova, a.s.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04" w:lineRule="auto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tř. Budovatelů 1395/23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04" w:lineRule="auto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434 01 Most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09" w:lineRule="auto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Česká republika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2709"/>
              </w:tabs>
              <w:spacing w:after="60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IČO: 62242504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>DIČ: CZ62242504</w:t>
            </w: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0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^Platební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podmínka - položky: 1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dnů po datu faktury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3814"/>
              </w:tabs>
              <w:spacing w:line="221" w:lineRule="auto"/>
              <w:ind w:firstLine="18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 prospěch účtu č. 1021018415/5500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  <w:t>IBAN: CZ17 5500 0000 0010 2101 8415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16" w:lineRule="auto"/>
              <w:ind w:firstLine="18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Raiffeisenbank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a.s.,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., Hvězdová 1716/2b, 140 78 Praha 4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28" w:lineRule="auto"/>
              <w:ind w:firstLine="18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B.I.C.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 RZBCCZPP</w:t>
            </w: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0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Dodací podmínky - položky: 1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76" w:lineRule="auto"/>
              <w:ind w:left="180" w:firstLine="2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Způsob přepravy: Silniční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přeprava - včetně dopravy Dodací doložka: CPT LITVÍNOV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76" w:lineRule="auto"/>
              <w:ind w:firstLine="18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Dle INCOTERMS 2020</w:t>
            </w: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Termín dodání: KVĚTEN 2023</w:t>
            </w: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5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Kolejnice širokopatní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objednávky: OJ01.214-00017/23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ze dne: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07.02.2023</w:t>
            </w:r>
            <w:proofErr w:type="gramEnd"/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Pol.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Zakázka č.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30" w:lineRule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Termín expedice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Jakost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Rozměr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Délka M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Tol.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délky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MM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Množství v 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Počet KS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Cena bez DPH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216" w:lineRule="auto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CZK/T</w:t>
            </w: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3100040117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18.05.2023</w:t>
            </w:r>
            <w:proofErr w:type="gramEnd"/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jc w:val="right"/>
              <w:rPr>
                <w:sz w:val="17"/>
                <w:szCs w:val="17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jc w:val="right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jc w:val="right"/>
              <w:rPr>
                <w:sz w:val="17"/>
                <w:szCs w:val="17"/>
              </w:rPr>
            </w:pP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83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jc w:val="right"/>
              <w:rPr>
                <w:sz w:val="17"/>
                <w:szCs w:val="17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0AD" w:rsidRDefault="000F00AD">
            <w:pPr>
              <w:framePr w:w="10325" w:h="12821" w:wrap="none" w:vAnchor="page" w:hAnchor="page" w:x="760" w:y="2877"/>
              <w:rPr>
                <w:sz w:val="10"/>
                <w:szCs w:val="10"/>
              </w:rPr>
            </w:pP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10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Položky: 1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4298"/>
              </w:tabs>
              <w:ind w:firstLine="1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MATERIÁLOVÁ NORMA: EN13674-1+A1:2017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ab/>
              <w:t>DĚROVÁNÍ: NEDÉROVÁNO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4294"/>
              </w:tabs>
              <w:ind w:firstLine="1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TDP: TPD 202-30 X.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A.69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ab/>
              <w:t>PŘEJÍMKA: PŘEJÍMKA TK TŽ, a.s.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4294"/>
              </w:tabs>
              <w:ind w:firstLine="1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ROZMĚROVÁ NORMA: TPD 202-30 X,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A.56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ab/>
              <w:t>TYP ATESTU: Inspekční čert. EN 10204Z3.1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after="160"/>
              <w:ind w:firstLine="1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VÁHOVÁ TOLERANCE:+0,0 -0,0 %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ind w:firstLine="1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HS TEXTY A JINÉ TEXTY: Dodáme neděrované</w:t>
            </w: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2491"/>
              </w:tabs>
              <w:spacing w:before="8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Částka celkem bez DPH 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  <w:t>815.206,65 CZK</w:t>
            </w: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185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Ostatní ujednání: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197" w:lineRule="auto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V ostatním se práva a povinností vzniklé z této 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kupní smlouvy řídi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Yšeobt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STEEL a.s. účinnými od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01.01.2014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(dále též "Podmínky"),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jejichžzněr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, součást (viz rubová strana smlouvy) a současné je zveřejněné a dostupné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hllp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tvH’w.trz.czáveb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irzocel.iisfdink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obchodnt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dokumentace_cz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). Kup Podmínek, že mu z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cela porozuměl a bere na vědomí práva a povinnosti, Pro akceptaci tohoto návrhu kupní smlouvy kupujícím stanoví prodávají!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uzavřena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okamžikem, kdy akceptace tohoto návrhu kupní smlouvy kupuji včetně jakékoliv změn neměnících podstatně podmínky tohoto návrh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smi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knnniíLl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li'iiin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tiňtnh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Htiíl.tixiutú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tKtifumú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tu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irÁviičnúmi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Á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ltit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mlu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tinivnhin</w:t>
            </w:r>
            <w:proofErr w:type="spellEnd"/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spacing w:line="197" w:lineRule="auto"/>
              <w:rPr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zenými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obchodními a dodacími podmínkami společnosti MORA VIA i je připojené k tomuto návrhu smlouvy, jako jeho příloha a nedílná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veebových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stránkách prodávajícího n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a adrese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ujici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podpisem této kupní smlouvy prohlašuje, že je mu znám obsah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áeré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jsou obsahem Podmínek.</w:t>
            </w:r>
          </w:p>
          <w:p w:rsidR="000F00AD" w:rsidRDefault="00742EE6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3086"/>
                <w:tab w:val="left" w:pos="4162"/>
              </w:tabs>
              <w:spacing w:line="197" w:lineRule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:í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Ihutu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uvedenou níže (dále též "akceptační lhůta"). Kupní smlouva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cim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(bez jakýchkoliv dodatků, výhrad, omezeni, jiných změn či odchylek,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ouvy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dojde prodávajícímu. Ke vzniku kupní smlouvy je nezbytné,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aby , i, tínáni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dnniétl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ni 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itláv.illt-ímit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ab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ntvtkně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nhn'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nl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tliiilě</w:t>
            </w:r>
            <w:proofErr w:type="spellEnd"/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tabs>
                <w:tab w:val="left" w:pos="2176"/>
              </w:tabs>
              <w:spacing w:after="400" w:line="211" w:lineRule="auto"/>
              <w:ind w:firstLine="160"/>
              <w:rPr>
                <w:sz w:val="17"/>
                <w:szCs w:val="17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spacing w:after="200"/>
              <w:ind w:firstLine="1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spacing w:after="300" w:line="194" w:lineRule="auto"/>
              <w:rPr>
                <w:sz w:val="17"/>
                <w:szCs w:val="17"/>
              </w:rPr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0AD" w:rsidRDefault="000F00AD">
            <w:pPr>
              <w:pStyle w:val="Jin0"/>
              <w:framePr w:w="10325" w:h="12821" w:wrap="none" w:vAnchor="page" w:hAnchor="page" w:x="760" w:y="2877"/>
              <w:shd w:val="clear" w:color="auto" w:fill="auto"/>
              <w:spacing w:after="120" w:line="254" w:lineRule="auto"/>
              <w:rPr>
                <w:sz w:val="17"/>
                <w:szCs w:val="17"/>
              </w:rPr>
            </w:pPr>
          </w:p>
        </w:tc>
      </w:tr>
      <w:tr w:rsidR="000F00AD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0AD" w:rsidRDefault="000F00AD">
            <w:pPr>
              <w:framePr w:w="10325" w:h="12821" w:wrap="none" w:vAnchor="page" w:hAnchor="page" w:x="760" w:y="2877"/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0AD" w:rsidRDefault="000F00AD">
            <w:pPr>
              <w:framePr w:w="10325" w:h="12821" w:wrap="none" w:vAnchor="page" w:hAnchor="page" w:x="760" w:y="2877"/>
              <w:rPr>
                <w:sz w:val="10"/>
                <w:szCs w:val="10"/>
              </w:rPr>
            </w:pPr>
          </w:p>
        </w:tc>
        <w:tc>
          <w:tcPr>
            <w:tcW w:w="7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0AD" w:rsidRDefault="000F00AD">
            <w:pPr>
              <w:framePr w:w="10325" w:h="12821" w:wrap="none" w:vAnchor="page" w:hAnchor="page" w:x="760" w:y="2877"/>
              <w:rPr>
                <w:sz w:val="10"/>
                <w:szCs w:val="10"/>
              </w:rPr>
            </w:pPr>
          </w:p>
        </w:tc>
      </w:tr>
    </w:tbl>
    <w:p w:rsidR="000F00AD" w:rsidRDefault="00742EE6">
      <w:pPr>
        <w:pStyle w:val="Titulektabulky0"/>
        <w:framePr w:w="7042" w:h="461" w:hRule="exact" w:wrap="none" w:vAnchor="page" w:hAnchor="page" w:x="2363" w:y="15703"/>
        <w:shd w:val="clear" w:color="auto" w:fill="auto"/>
      </w:pPr>
      <w:r>
        <w:t xml:space="preserve">Registrace v obchodním rejstříku u Krajského soudu v Ostravě, </w:t>
      </w:r>
      <w:r>
        <w:t>oddíl B, vložka 1297.</w:t>
      </w:r>
      <w:r>
        <w:br/>
        <w:t>1 z3</w:t>
      </w:r>
    </w:p>
    <w:p w:rsidR="000F00AD" w:rsidRDefault="000F00AD">
      <w:pPr>
        <w:spacing w:line="1" w:lineRule="exact"/>
        <w:sectPr w:rsidR="000F00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00AD" w:rsidRDefault="000F00AD">
      <w:pPr>
        <w:spacing w:line="1" w:lineRule="exact"/>
      </w:pPr>
      <w:bookmarkStart w:id="2" w:name="_GoBack"/>
      <w:bookmarkEnd w:id="2"/>
    </w:p>
    <w:sectPr w:rsidR="000F00AD" w:rsidSect="00AA5E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2EE6">
      <w:r>
        <w:separator/>
      </w:r>
    </w:p>
  </w:endnote>
  <w:endnote w:type="continuationSeparator" w:id="0">
    <w:p w:rsidR="00000000" w:rsidRDefault="0074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AD" w:rsidRDefault="000F00AD"/>
  </w:footnote>
  <w:footnote w:type="continuationSeparator" w:id="0">
    <w:p w:rsidR="000F00AD" w:rsidRDefault="000F00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2382"/>
    <w:multiLevelType w:val="multilevel"/>
    <w:tmpl w:val="E75E90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53B21"/>
    <w:multiLevelType w:val="multilevel"/>
    <w:tmpl w:val="208600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407DD"/>
    <w:multiLevelType w:val="multilevel"/>
    <w:tmpl w:val="A0D21CA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F6A59"/>
    <w:multiLevelType w:val="multilevel"/>
    <w:tmpl w:val="38F2ED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D379A6"/>
    <w:multiLevelType w:val="multilevel"/>
    <w:tmpl w:val="63CAA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551265"/>
    <w:multiLevelType w:val="multilevel"/>
    <w:tmpl w:val="D652C9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417E70"/>
    <w:multiLevelType w:val="multilevel"/>
    <w:tmpl w:val="DAB857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E7972"/>
    <w:multiLevelType w:val="multilevel"/>
    <w:tmpl w:val="A88A34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04639F"/>
    <w:multiLevelType w:val="multilevel"/>
    <w:tmpl w:val="10F857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DA389C"/>
    <w:multiLevelType w:val="multilevel"/>
    <w:tmpl w:val="EBF2405A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F00AD"/>
    <w:rsid w:val="000F00AD"/>
    <w:rsid w:val="00742EE6"/>
    <w:rsid w:val="00A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firstLine="38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ind w:firstLine="1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190" w:lineRule="auto"/>
      <w:jc w:val="center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E9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firstLine="38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ind w:firstLine="1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190" w:lineRule="auto"/>
      <w:jc w:val="center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E9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SDP_C358_2p23021412190</vt:lpstr>
    </vt:vector>
  </TitlesOfParts>
  <Company>HP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SDP_C358_2p23021412190</dc:title>
  <dc:creator>Marcela Valová</dc:creator>
  <cp:lastModifiedBy>Marcela Valová</cp:lastModifiedBy>
  <cp:revision>2</cp:revision>
  <dcterms:created xsi:type="dcterms:W3CDTF">2023-02-14T12:07:00Z</dcterms:created>
  <dcterms:modified xsi:type="dcterms:W3CDTF">2023-02-14T12:07:00Z</dcterms:modified>
</cp:coreProperties>
</file>