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867" w:h="378" w:hRule="exact" w:wrap="none" w:vAnchor="page" w:hAnchor="page" w:x="1398" w:y="1362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3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</w:r>
      <w:bookmarkEnd w:id="0"/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 w:hanging="320"/>
      </w:pPr>
      <w:r>
        <w:rPr>
          <w:rStyle w:val="CharStyle7"/>
        </w:rPr>
        <w:t>objednatel: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EKO servis Zábřeh s.r.o.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Dvorská 1491/19 IČ: 25896903 DIČ: CZ25896903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240" w:line="281" w:lineRule="exact"/>
        <w:ind w:left="0" w:right="4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Zastoupen: Milanem Doubravským ve věcech smluvních zastoupen: Milanem Doubravským ve věcech technických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320" w:right="0" w:hanging="320"/>
      </w:pPr>
      <w:r>
        <w:rPr>
          <w:rStyle w:val="CharStyle7"/>
        </w:rPr>
        <w:t>zhotovitel: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PLOTY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UNGER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S.R.O.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Nová 207</w:t>
      </w:r>
    </w:p>
    <w:p>
      <w:pPr>
        <w:pStyle w:val="Style5"/>
        <w:framePr w:w="8867" w:h="4406" w:hRule="exact" w:wrap="none" w:vAnchor="page" w:hAnchor="page" w:x="1398" w:y="1999"/>
        <w:tabs>
          <w:tab w:leader="none" w:pos="8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273 51 Velké Přítočno IČO:</w:t>
        <w:tab/>
        <w:t>02741326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 CZ02741326</w:t>
      </w:r>
    </w:p>
    <w:p>
      <w:pPr>
        <w:pStyle w:val="Style5"/>
        <w:framePr w:w="8867" w:h="4406" w:hRule="exact" w:wrap="none" w:vAnchor="page" w:hAnchor="page" w:x="1398" w:y="1999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0" w:right="4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zastoupen: Radkem Ungerem ve věcech smluvních zastoupen: Pavlem Kolářem ve věcech technických</w:t>
      </w:r>
    </w:p>
    <w:p>
      <w:pPr>
        <w:pStyle w:val="Style5"/>
        <w:framePr w:w="8867" w:h="6023" w:hRule="exact" w:wrap="none" w:vAnchor="page" w:hAnchor="page" w:x="1398" w:y="6914"/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Zhotoveni 3 kusů kotců pro psy v rozsahu uvedeném v kalkulaci přijaté objednávky ě. 172100103</w:t>
      </w:r>
    </w:p>
    <w:p>
      <w:pPr>
        <w:pStyle w:val="Style5"/>
        <w:framePr w:w="8867" w:h="6023" w:hRule="exact" w:wrap="none" w:vAnchor="page" w:hAnchor="page" w:x="1398" w:y="6914"/>
        <w:widowControl w:val="0"/>
        <w:keepNext w:val="0"/>
        <w:keepLines w:val="0"/>
        <w:shd w:val="clear" w:color="auto" w:fill="auto"/>
        <w:bidi w:val="0"/>
        <w:jc w:val="left"/>
        <w:spacing w:before="0" w:after="246" w:line="284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příloha ě. 1. a nabídky Č.17NA00112 viz příloha ě. 2, pod č zakázky 17ZAK00102</w:t>
      </w:r>
    </w:p>
    <w:p>
      <w:pPr>
        <w:pStyle w:val="Style5"/>
        <w:numPr>
          <w:ilvl w:val="0"/>
          <w:numId w:val="1"/>
        </w:numPr>
        <w:framePr w:w="8867" w:h="6023" w:hRule="exact" w:wrap="none" w:vAnchor="page" w:hAnchor="page" w:x="1398" w:y="6914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7" w:lineRule="exact"/>
        <w:ind w:left="0" w:right="0" w:firstLine="0"/>
      </w:pPr>
      <w:r>
        <w:rPr>
          <w:rStyle w:val="CharStyle7"/>
        </w:rPr>
        <w:t>Provedení prací</w:t>
      </w:r>
    </w:p>
    <w:p>
      <w:pPr>
        <w:pStyle w:val="Style5"/>
        <w:framePr w:w="8867" w:h="6023" w:hRule="exact" w:wrap="none" w:vAnchor="page" w:hAnchor="page" w:x="1398" w:y="6914"/>
        <w:widowControl w:val="0"/>
        <w:keepNext w:val="0"/>
        <w:keepLines w:val="0"/>
        <w:shd w:val="clear" w:color="auto" w:fill="auto"/>
        <w:bidi w:val="0"/>
        <w:jc w:val="left"/>
        <w:spacing w:before="0" w:after="234" w:line="27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Oplocení bude provedeno na základě kalkulace zakázky ě. 172100103 viz. příloha č. 1. A nabídky Č.17NA00112 viz příloha ě. 2, pod č. zakázky 17ZAK00102</w:t>
      </w:r>
    </w:p>
    <w:p>
      <w:pPr>
        <w:pStyle w:val="Style5"/>
        <w:numPr>
          <w:ilvl w:val="0"/>
          <w:numId w:val="1"/>
        </w:numPr>
        <w:framePr w:w="8867" w:h="6023" w:hRule="exact" w:wrap="none" w:vAnchor="page" w:hAnchor="page" w:x="1398" w:y="6914"/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4" w:lineRule="exact"/>
        <w:ind w:left="0" w:right="0" w:firstLine="0"/>
      </w:pPr>
      <w:r>
        <w:rPr>
          <w:rStyle w:val="CharStyle7"/>
        </w:rPr>
        <w:t>Cena</w:t>
      </w:r>
    </w:p>
    <w:p>
      <w:pPr>
        <w:pStyle w:val="Style5"/>
        <w:framePr w:w="8867" w:h="6023" w:hRule="exact" w:wrap="none" w:vAnchor="page" w:hAnchor="page" w:x="1398" w:y="6914"/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základě kalkulace přijaté objednávky ě. 172100103 viz příloha č. 1. nabídky Č.17NA00112viz příloha č.2,pod ě .zakázky 17ZAK00102 která je nedílnou součástí této smlouvy je smluvně sjednána tato cena:</w:t>
      </w:r>
    </w:p>
    <w:p>
      <w:pPr>
        <w:pStyle w:val="Style5"/>
        <w:numPr>
          <w:ilvl w:val="0"/>
          <w:numId w:val="3"/>
        </w:numPr>
        <w:framePr w:w="8867" w:h="6023" w:hRule="exact" w:wrap="none" w:vAnchor="page" w:hAnchor="page" w:x="1398" w:y="6914"/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celkem bez DPH je 53.047,73 Kč, přičemž tato cena může být upravena podle skutečně realizované montáže a materiálu, přičemž úprava ceny bude vycházet</w:t>
      </w:r>
    </w:p>
    <w:p>
      <w:pPr>
        <w:pStyle w:val="Style5"/>
        <w:framePr w:w="8867" w:h="6023" w:hRule="exact" w:wrap="none" w:vAnchor="page" w:hAnchor="page" w:x="1398" w:y="6914"/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3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 jednotkových cen, které jsou uvedeny v příloze č. 1. A ě. 2.</w:t>
      </w:r>
    </w:p>
    <w:p>
      <w:pPr>
        <w:pStyle w:val="Style5"/>
        <w:numPr>
          <w:ilvl w:val="0"/>
          <w:numId w:val="3"/>
        </w:numPr>
        <w:framePr w:w="8867" w:h="6023" w:hRule="exact" w:wrap="none" w:vAnchor="page" w:hAnchor="page" w:x="1398" w:y="6914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6" w:line="28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 je 21 %.</w:t>
      </w:r>
    </w:p>
    <w:p>
      <w:pPr>
        <w:pStyle w:val="Style5"/>
        <w:numPr>
          <w:ilvl w:val="0"/>
          <w:numId w:val="1"/>
        </w:numPr>
        <w:framePr w:w="8867" w:h="6023" w:hRule="exact" w:wrap="none" w:vAnchor="page" w:hAnchor="page" w:x="1398" w:y="6914"/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rStyle w:val="CharStyle7"/>
        </w:rPr>
        <w:t>Způsob pflatbv</w:t>
      </w:r>
    </w:p>
    <w:p>
      <w:pPr>
        <w:pStyle w:val="Style5"/>
        <w:framePr w:w="8867" w:h="6023" w:hRule="exact" w:wrap="none" w:vAnchor="page" w:hAnchor="page" w:x="1398" w:y="6914"/>
        <w:widowControl w:val="0"/>
        <w:keepNext w:val="0"/>
        <w:keepLines w:val="0"/>
        <w:shd w:val="clear" w:color="auto" w:fill="auto"/>
        <w:bidi w:val="0"/>
        <w:jc w:val="left"/>
        <w:spacing w:before="0" w:after="0" w:line="295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Výše uvedená cena bez DPH bude hrazena v přenesené daňové povinnosti následujícím způsobem:</w:t>
      </w:r>
    </w:p>
    <w:p>
      <w:pPr>
        <w:pStyle w:val="Style5"/>
        <w:numPr>
          <w:ilvl w:val="0"/>
          <w:numId w:val="5"/>
        </w:numPr>
        <w:framePr w:w="8867" w:h="6023" w:hRule="exact" w:wrap="none" w:vAnchor="page" w:hAnchor="page" w:x="1398" w:y="6914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uhradí Fakturu ve výši 100% ceny díla.</w:t>
      </w:r>
    </w:p>
    <w:p>
      <w:pPr>
        <w:pStyle w:val="Style5"/>
        <w:numPr>
          <w:ilvl w:val="0"/>
          <w:numId w:val="5"/>
        </w:numPr>
        <w:framePr w:w="8867" w:h="1486" w:hRule="exact" w:wrap="none" w:vAnchor="page" w:hAnchor="page" w:x="1398" w:y="13718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Objednatel se zavazuje zaplatit smluvní pokutu ve výši 0,05 </w:t>
      </w:r>
      <w:r>
        <w:rPr>
          <w:rStyle w:val="CharStyle8"/>
        </w:rPr>
        <w:t>%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z ceny díla za každý den prodlení s platbou zhotoviteli.</w:t>
      </w:r>
    </w:p>
    <w:p>
      <w:pPr>
        <w:pStyle w:val="Style5"/>
        <w:numPr>
          <w:ilvl w:val="0"/>
          <w:numId w:val="5"/>
        </w:numPr>
        <w:framePr w:w="8867" w:h="1486" w:hRule="exact" w:wrap="none" w:vAnchor="page" w:hAnchor="page" w:x="1398" w:y="13718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320" w:right="0" w:hanging="3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Zhotovitel se zavazuje uhradit smluvní pokutu 0,05 </w:t>
      </w:r>
      <w:r>
        <w:rPr>
          <w:rStyle w:val="CharStyle8"/>
        </w:rPr>
        <w:t>% z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ceny díla za každý den prodlení s jeho provedením a předáním objednateli. Toto se na zhotovitele nevztahuje, bude-li prodlení zaviněno ze strany objednatele (viz odst. 5.3.).</w:t>
      </w:r>
    </w:p>
    <w:p>
      <w:pPr>
        <w:pStyle w:val="Style9"/>
        <w:framePr w:wrap="none" w:vAnchor="page" w:hAnchor="page" w:x="9775" w:y="16416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7"/>
        </w:numPr>
        <w:framePr w:wrap="none" w:vAnchor="page" w:hAnchor="page" w:x="1276" w:y="138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neuhrazeném rozsahu zůstává materiál majetkem zhotovitele.</w:t>
      </w:r>
    </w:p>
    <w:p>
      <w:pPr>
        <w:pStyle w:val="Style11"/>
        <w:numPr>
          <w:ilvl w:val="0"/>
          <w:numId w:val="7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3"/>
          <w:b/>
          <w:bCs/>
        </w:rPr>
        <w:t>Termíny</w:t>
      </w:r>
      <w:bookmarkEnd w:id="1"/>
    </w:p>
    <w:p>
      <w:pPr>
        <w:pStyle w:val="Style5"/>
        <w:numPr>
          <w:ilvl w:val="0"/>
          <w:numId w:val="9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Termín zahájení prací na montáži je období, které umožní kvalitní realizaci předmětu smlouvy (bod 4.1. resp. 4.2.).</w:t>
      </w:r>
    </w:p>
    <w:p>
      <w:pPr>
        <w:pStyle w:val="Style5"/>
        <w:numPr>
          <w:ilvl w:val="0"/>
          <w:numId w:val="9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 předpokládaném termínu zahájení realizace díla vyrozumí zhotovitel objednatele nejpozději 10 dní před termínem.</w:t>
      </w:r>
    </w:p>
    <w:p>
      <w:pPr>
        <w:pStyle w:val="Style5"/>
        <w:numPr>
          <w:ilvl w:val="0"/>
          <w:numId w:val="9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Termín řádného dokončení a předání díla objednateli je do 3dní od zahájení realizace díla.</w:t>
      </w:r>
    </w:p>
    <w:p>
      <w:pPr>
        <w:pStyle w:val="Style5"/>
        <w:numPr>
          <w:ilvl w:val="0"/>
          <w:numId w:val="9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81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oprávněn adekvátně posunout termín provedení díla v případě nedodržení platebních podmínek objednatele, nedodržení přípravy staveniště objednatelem dle dohody mezi zúčastněnými stranami, nebo pokud v době realizace montáže budou špatné klimatické podmínky (např. podmáčený terén, zmrzlá zem, deštivé počasí, krupobití, silný vítr, a podobné povětrnostní podmínky neslučitelné s kvalitní realizací zakázky) nezaručující řádný technologický postup stavby oplocení (toto bude vždy konzultováno telefonicky s objednatelem).</w:t>
      </w:r>
    </w:p>
    <w:p>
      <w:pPr>
        <w:pStyle w:val="Style11"/>
        <w:numPr>
          <w:ilvl w:val="0"/>
          <w:numId w:val="7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rStyle w:val="CharStyle13"/>
          <w:b/>
          <w:bCs/>
        </w:rPr>
        <w:t>Záruka</w:t>
      </w:r>
      <w:bookmarkEnd w:id="2"/>
    </w:p>
    <w:p>
      <w:pPr>
        <w:pStyle w:val="Style5"/>
        <w:numPr>
          <w:ilvl w:val="0"/>
          <w:numId w:val="11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poskytuje na práci záruku 24 měsíců a na materiál 24 měsíců ode dne protokolárního předání díla objednateli.</w:t>
      </w:r>
    </w:p>
    <w:p>
      <w:pPr>
        <w:pStyle w:val="Style5"/>
        <w:numPr>
          <w:ilvl w:val="0"/>
          <w:numId w:val="11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záruční době má objednatel právo na bezplatné odstranění vad díla, které vzniknou z vadné dodávky nebo prací zhotovitele,</w:t>
      </w:r>
    </w:p>
    <w:p>
      <w:pPr>
        <w:pStyle w:val="Style5"/>
        <w:numPr>
          <w:ilvl w:val="0"/>
          <w:numId w:val="11"/>
        </w:numPr>
        <w:framePr w:w="9108" w:h="6841" w:hRule="exact" w:wrap="none" w:vAnchor="page" w:hAnchor="page" w:x="1276" w:y="2203"/>
        <w:tabs>
          <w:tab w:leader="none" w:pos="3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Zhotovitel odpovídá za kvalitu díla, zejména za to, že dílo bude v souladu s technickými normami (CSN) a to jak při převzetí objednatelem,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talc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 v záruční době, která činí 24 měsíců. Dílo tedy po tuto dobu bude způsobilé ke smluvenému účelu a zachová si po tuto dobu smluvené vlastnosti, v případě, že bude používáno v souladu s účelem, za kterým bylo vyhotoveno. Záruční doba počne běžet ode dne převzetí díla.</w:t>
      </w:r>
    </w:p>
    <w:p>
      <w:pPr>
        <w:pStyle w:val="Style5"/>
        <w:framePr w:w="9108" w:h="1463" w:hRule="exact" w:wrap="none" w:vAnchor="page" w:hAnchor="page" w:x="1276" w:y="9554"/>
        <w:widowControl w:val="0"/>
        <w:keepNext w:val="0"/>
        <w:keepLines w:val="0"/>
        <w:shd w:val="clear" w:color="auto" w:fill="auto"/>
        <w:bidi w:val="0"/>
        <w:jc w:val="both"/>
        <w:spacing w:before="0" w:after="234" w:line="274" w:lineRule="exact"/>
        <w:ind w:left="0" w:right="2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jednu obdrží objednatel a druhou zhotovitel.</w:t>
      </w:r>
    </w:p>
    <w:p>
      <w:pPr>
        <w:pStyle w:val="Style5"/>
        <w:framePr w:w="9108" w:h="1463" w:hRule="exact" w:wrap="none" w:vAnchor="page" w:hAnchor="page" w:x="1276" w:y="9554"/>
        <w:tabs>
          <w:tab w:leader="none" w:pos="4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Příloha,přijatá objednávka č. 172100103</w:t>
        <w:tab/>
        <w:t>viz příloha č. 1 .a nabídky č. 17NA00112 viz</w:t>
      </w:r>
    </w:p>
    <w:p>
      <w:pPr>
        <w:pStyle w:val="Style5"/>
        <w:framePr w:w="9108" w:h="1463" w:hRule="exact" w:wrap="none" w:vAnchor="page" w:hAnchor="page" w:x="1276" w:y="9554"/>
        <w:widowControl w:val="0"/>
        <w:keepNext w:val="0"/>
        <w:keepLines w:val="0"/>
        <w:shd w:val="clear" w:color="auto" w:fill="auto"/>
        <w:bidi w:val="0"/>
        <w:jc w:val="both"/>
        <w:spacing w:before="0" w:after="0" w:line="28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č.2,pod č zakázky 17ZAK00102</w:t>
      </w:r>
    </w:p>
    <w:p>
      <w:pPr>
        <w:pStyle w:val="Style5"/>
        <w:framePr w:w="9108" w:h="1739" w:hRule="exact" w:wrap="none" w:vAnchor="page" w:hAnchor="page" w:x="1276" w:y="11072"/>
        <w:widowControl w:val="0"/>
        <w:keepNext w:val="0"/>
        <w:keepLines w:val="0"/>
        <w:shd w:val="clear" w:color="auto" w:fill="auto"/>
        <w:bidi w:val="0"/>
        <w:jc w:val="both"/>
        <w:spacing w:before="0" w:after="0" w:line="850" w:lineRule="exact"/>
        <w:ind w:left="0" w:right="6652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Zábřehu dne: 5.4.2017</w:t>
        <w:br/>
        <w:t>za zhotovitele .</w:t>
      </w:r>
    </w:p>
    <w:p>
      <w:pPr>
        <w:pStyle w:val="Style14"/>
        <w:framePr w:wrap="none" w:vAnchor="page" w:hAnchor="page" w:x="7684" w:y="1157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dne:5.4.2017</w:t>
      </w:r>
    </w:p>
    <w:p>
      <w:pPr>
        <w:pStyle w:val="Style16"/>
        <w:framePr w:wrap="none" w:vAnchor="page" w:hAnchor="page" w:x="9718" w:y="16437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!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singl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4"/>
      <w:numFmt w:val="decimal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DejaVu Sans" w:eastAsia="DejaVu Sans" w:hAnsi="DejaVu Sans" w:cs="DejaVu San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DejaVu Sans" w:eastAsia="DejaVu Sans" w:hAnsi="DejaVu Sans" w:cs="DejaVu San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"/>
    <w:basedOn w:val="CharStyle6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Základní text (2) + Kurzíva"/>
    <w:basedOn w:val="CharStyle6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Záhlaví nebo Zápatí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1"/>
      <w:szCs w:val="11"/>
      <w:rFonts w:ascii="Gulim" w:eastAsia="Gulim" w:hAnsi="Gulim" w:cs="Gulim"/>
    </w:rPr>
  </w:style>
  <w:style w:type="character" w:customStyle="1" w:styleId="CharStyle12">
    <w:name w:val="Nadpis #2_"/>
    <w:basedOn w:val="DefaultParagraphFont"/>
    <w:link w:val="Style1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Nadpis #2"/>
    <w:basedOn w:val="CharStyle12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Titulek obrázku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Záhlaví nebo Zápatí (2)_"/>
    <w:basedOn w:val="DefaultParagraphFont"/>
    <w:link w:val="Style16"/>
    <w:rPr>
      <w:b/>
      <w:bCs/>
      <w:i w:val="0"/>
      <w:iCs w:val="0"/>
      <w:u w:val="none"/>
      <w:strike w:val="0"/>
      <w:smallCaps w:val="0"/>
      <w:sz w:val="12"/>
      <w:szCs w:val="12"/>
      <w:rFonts w:ascii="Cambria" w:eastAsia="Cambria" w:hAnsi="Cambria" w:cs="Cambria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after="3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before="360" w:line="263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Záhlaví nebo Zápatí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Gulim" w:eastAsia="Gulim" w:hAnsi="Gulim" w:cs="Gulim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jc w:val="both"/>
      <w:outlineLvl w:val="1"/>
      <w:spacing w:before="660" w:line="281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Titulek obrázku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