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Smlouva o spolupráci</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uzavřená v souladu s § 1746, odst. 2 Občanský zákoník č. 89/2012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Zadavatel</w:t>
      </w:r>
      <w:r w:rsidDel="00000000" w:rsidR="00000000" w:rsidRPr="00000000">
        <w:rPr>
          <w:rtl w:val="0"/>
        </w:rPr>
        <w:t xml:space="preserve">: Základní škola Jablonec nad Nisou, 5. května 76, příspěvková organizace</w:t>
      </w:r>
    </w:p>
    <w:p w:rsidR="00000000" w:rsidDel="00000000" w:rsidP="00000000" w:rsidRDefault="00000000" w:rsidRPr="00000000" w14:paraId="00000007">
      <w:pPr>
        <w:rPr/>
      </w:pPr>
      <w:r w:rsidDel="00000000" w:rsidR="00000000" w:rsidRPr="00000000">
        <w:rPr>
          <w:rtl w:val="0"/>
        </w:rPr>
        <w:t xml:space="preserve">466 01 Jablonec nad Nisou, 5. května 272/76</w:t>
      </w:r>
    </w:p>
    <w:p w:rsidR="00000000" w:rsidDel="00000000" w:rsidP="00000000" w:rsidRDefault="00000000" w:rsidRPr="00000000" w14:paraId="00000008">
      <w:pPr>
        <w:rPr/>
      </w:pPr>
      <w:r w:rsidDel="00000000" w:rsidR="00000000" w:rsidRPr="00000000">
        <w:rPr>
          <w:rtl w:val="0"/>
        </w:rPr>
        <w:t xml:space="preserve">zastoupena ředitelkou Mgr. Michaelou Hanyšovou </w:t>
      </w:r>
    </w:p>
    <w:p w:rsidR="00000000" w:rsidDel="00000000" w:rsidP="00000000" w:rsidRDefault="00000000" w:rsidRPr="00000000" w14:paraId="00000009">
      <w:pPr>
        <w:rPr/>
      </w:pPr>
      <w:r w:rsidDel="00000000" w:rsidR="00000000" w:rsidRPr="00000000">
        <w:rPr>
          <w:rtl w:val="0"/>
        </w:rPr>
        <w:t xml:space="preserve">(dále jen zadavatel)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Dodavatel:  </w:t>
      </w:r>
      <w:r w:rsidDel="00000000" w:rsidR="00000000" w:rsidRPr="00000000">
        <w:rPr>
          <w:rtl w:val="0"/>
        </w:rPr>
        <w:t xml:space="preserve">Lukáš Hanyš</w:t>
      </w:r>
    </w:p>
    <w:p w:rsidR="00000000" w:rsidDel="00000000" w:rsidP="00000000" w:rsidRDefault="00000000" w:rsidRPr="00000000" w14:paraId="0000000E">
      <w:pPr>
        <w:rPr/>
      </w:pPr>
      <w:r w:rsidDel="00000000" w:rsidR="00000000" w:rsidRPr="00000000">
        <w:rPr>
          <w:rtl w:val="0"/>
        </w:rPr>
        <w:t xml:space="preserve">Slunná 402, 468 01 Jablonec nad Nisou</w:t>
      </w:r>
    </w:p>
    <w:p w:rsidR="00000000" w:rsidDel="00000000" w:rsidP="00000000" w:rsidRDefault="00000000" w:rsidRPr="00000000" w14:paraId="0000000F">
      <w:pPr>
        <w:rPr/>
      </w:pPr>
      <w:r w:rsidDel="00000000" w:rsidR="00000000" w:rsidRPr="00000000">
        <w:rPr>
          <w:rtl w:val="0"/>
        </w:rPr>
        <w:t xml:space="preserve">IČ: 87513528</w:t>
      </w:r>
    </w:p>
    <w:p w:rsidR="00000000" w:rsidDel="00000000" w:rsidP="00000000" w:rsidRDefault="00000000" w:rsidRPr="00000000" w14:paraId="00000010">
      <w:pPr>
        <w:rPr/>
      </w:pPr>
      <w:r w:rsidDel="00000000" w:rsidR="00000000" w:rsidRPr="00000000">
        <w:rPr>
          <w:rtl w:val="0"/>
        </w:rPr>
        <w:t xml:space="preserve">Bankovní spojení: 223938688/0300</w:t>
      </w:r>
    </w:p>
    <w:p w:rsidR="00000000" w:rsidDel="00000000" w:rsidP="00000000" w:rsidRDefault="00000000" w:rsidRPr="00000000" w14:paraId="00000011">
      <w:pPr>
        <w:rPr/>
      </w:pPr>
      <w:r w:rsidDel="00000000" w:rsidR="00000000" w:rsidRPr="00000000">
        <w:rPr>
          <w:rtl w:val="0"/>
        </w:rPr>
        <w:t xml:space="preserve">(dále jen dodavatel)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uzavírají níže uvedeného dne, měsíce a roku tuto smlouvu: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6"/>
        </w:numPr>
        <w:ind w:left="720" w:hanging="360"/>
        <w:rPr>
          <w:b w:val="1"/>
        </w:rPr>
      </w:pPr>
      <w:r w:rsidDel="00000000" w:rsidR="00000000" w:rsidRPr="00000000">
        <w:rPr>
          <w:b w:val="1"/>
          <w:rtl w:val="0"/>
        </w:rPr>
        <w:t xml:space="preserve">Předmět dodávky</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Předmětem dodávky jsou činnosti, které budou prováděny za úplatu, v rozsahu, jež je uveden níže a v pořadí daném okamžitou potřebou a naléhavostí. Tyto činnosti se dají souhrnně označit jako správa ICT systému školy.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b w:val="1"/>
          <w:rtl w:val="0"/>
        </w:rPr>
        <w:t xml:space="preserve">Práva a povinnosti stran</w:t>
      </w:r>
      <w:r w:rsidDel="00000000" w:rsidR="00000000" w:rsidRPr="00000000">
        <w:rPr>
          <w:rtl w:val="0"/>
        </w:rPr>
      </w:r>
    </w:p>
    <w:p w:rsidR="00000000" w:rsidDel="00000000" w:rsidP="00000000" w:rsidRDefault="00000000" w:rsidRPr="00000000" w14:paraId="0000001B">
      <w:pPr>
        <w:ind w:left="720" w:firstLine="0"/>
        <w:rPr>
          <w:b w:val="1"/>
        </w:rPr>
      </w:pPr>
      <w:r w:rsidDel="00000000" w:rsidR="00000000" w:rsidRPr="00000000">
        <w:rPr>
          <w:rtl w:val="0"/>
        </w:rPr>
      </w:r>
    </w:p>
    <w:p w:rsidR="00000000" w:rsidDel="00000000" w:rsidP="00000000" w:rsidRDefault="00000000" w:rsidRPr="00000000" w14:paraId="0000001C">
      <w:pPr>
        <w:numPr>
          <w:ilvl w:val="0"/>
          <w:numId w:val="4"/>
        </w:numPr>
        <w:ind w:left="720" w:hanging="360"/>
        <w:rPr/>
      </w:pPr>
      <w:r w:rsidDel="00000000" w:rsidR="00000000" w:rsidRPr="00000000">
        <w:rPr>
          <w:b w:val="1"/>
          <w:rtl w:val="0"/>
        </w:rPr>
        <w:t xml:space="preserve">Práva a povinnosti dodavatele </w:t>
      </w:r>
      <w:r w:rsidDel="00000000" w:rsidR="00000000" w:rsidRPr="00000000">
        <w:rPr>
          <w:rtl w:val="0"/>
        </w:rPr>
      </w:r>
    </w:p>
    <w:p w:rsidR="00000000" w:rsidDel="00000000" w:rsidP="00000000" w:rsidRDefault="00000000" w:rsidRPr="00000000" w14:paraId="0000001D">
      <w:pPr>
        <w:numPr>
          <w:ilvl w:val="1"/>
          <w:numId w:val="5"/>
        </w:numPr>
        <w:ind w:left="1080" w:hanging="360"/>
        <w:rPr/>
      </w:pPr>
      <w:r w:rsidDel="00000000" w:rsidR="00000000" w:rsidRPr="00000000">
        <w:rPr>
          <w:rtl w:val="0"/>
        </w:rPr>
        <w:t xml:space="preserve">Odpovídá za vytvoření podmínek pro plynulý, bezproblémový, bezpečný a uživatelsky přívětivý provoz ICT systému dodavatele, dle pokynů jeho vedení a v souladu s jeho celkovými potřebami a dalším vývojem. </w:t>
      </w:r>
    </w:p>
    <w:p w:rsidR="00000000" w:rsidDel="00000000" w:rsidP="00000000" w:rsidRDefault="00000000" w:rsidRPr="00000000" w14:paraId="0000001E">
      <w:pPr>
        <w:numPr>
          <w:ilvl w:val="1"/>
          <w:numId w:val="5"/>
        </w:numPr>
        <w:ind w:left="1080" w:hanging="360"/>
        <w:rPr/>
      </w:pPr>
      <w:r w:rsidDel="00000000" w:rsidR="00000000" w:rsidRPr="00000000">
        <w:rPr>
          <w:rtl w:val="0"/>
        </w:rPr>
        <w:t xml:space="preserve">Není odpovědný za legálnost a 100% funkčnost  jiného softwaru, který je, či bude v síti používám, než toho jenž byl dodavatelem vytvořen, nebo dodán. Toto platí i v případě požadavku na instalaci softwaru, který dodavateli poskytne sám zadavatel.</w:t>
      </w:r>
    </w:p>
    <w:p w:rsidR="00000000" w:rsidDel="00000000" w:rsidP="00000000" w:rsidRDefault="00000000" w:rsidRPr="00000000" w14:paraId="0000001F">
      <w:pPr>
        <w:numPr>
          <w:ilvl w:val="1"/>
          <w:numId w:val="5"/>
        </w:numPr>
        <w:ind w:left="1080" w:hanging="360"/>
        <w:rPr/>
      </w:pPr>
      <w:r w:rsidDel="00000000" w:rsidR="00000000" w:rsidRPr="00000000">
        <w:rPr>
          <w:rtl w:val="0"/>
        </w:rPr>
        <w:t xml:space="preserve">Je povinen případné nahlášené závady, nebo jiné nežádoucí situace vyřešit v co nejkratším možném termínu. V horizontu dvou pracovních dnů od nahlášení závady je povinen tyto závady buď odstranit, nebo v případě, že to v uvedeném termínu není možné, informovat zadavatele o krocích, které je nutné k odstranění závady podniknout.</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4"/>
        </w:numPr>
        <w:ind w:left="720" w:hanging="360"/>
        <w:rPr/>
      </w:pPr>
      <w:r w:rsidDel="00000000" w:rsidR="00000000" w:rsidRPr="00000000">
        <w:rPr>
          <w:b w:val="1"/>
          <w:rtl w:val="0"/>
        </w:rPr>
        <w:t xml:space="preserve">Práva a povinnosti zadavatele.</w:t>
      </w:r>
      <w:r w:rsidDel="00000000" w:rsidR="00000000" w:rsidRPr="00000000">
        <w:rPr>
          <w:rtl w:val="0"/>
        </w:rPr>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Je povinen zadávat úkoly srozumitelně a v dostatečném předstihu.</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Je povinen upozorňovat dodavatele na případné závady, nebo jiné nežádoucí situace.</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Je povinen uhradit faktury v řádném terminu splatnosti. Nebude-li tak učiněno je povinen dodavateli kromě dlužné částky uhradit penále ve výši 0.3% dlužné částky za každý započatý den prodlení. </w:t>
      </w:r>
    </w:p>
    <w:p w:rsidR="00000000" w:rsidDel="00000000" w:rsidP="00000000" w:rsidRDefault="00000000" w:rsidRPr="00000000" w14:paraId="00000025">
      <w:pPr>
        <w:numPr>
          <w:ilvl w:val="0"/>
          <w:numId w:val="1"/>
        </w:numPr>
        <w:ind w:left="720" w:hanging="360"/>
        <w:rPr>
          <w:b w:val="1"/>
        </w:rPr>
      </w:pPr>
      <w:r w:rsidDel="00000000" w:rsidR="00000000" w:rsidRPr="00000000">
        <w:rPr>
          <w:b w:val="1"/>
          <w:rtl w:val="0"/>
        </w:rPr>
        <w:t xml:space="preserve"> Platební podmínky</w:t>
      </w:r>
    </w:p>
    <w:p w:rsidR="00000000" w:rsidDel="00000000" w:rsidP="00000000" w:rsidRDefault="00000000" w:rsidRPr="00000000" w14:paraId="00000026">
      <w:pPr>
        <w:ind w:left="720" w:firstLine="0"/>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Za uvedené služby byla mezi zadavatelem a dodavatelem sjednána odměna skládající se ze dvou částí:</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Z pevného měsíčního paušálu ve výši 10.000,-Kč měsíčně a 15 hodin práce.</w:t>
      </w:r>
    </w:p>
    <w:p w:rsidR="00000000" w:rsidDel="00000000" w:rsidP="00000000" w:rsidRDefault="00000000" w:rsidRPr="00000000" w14:paraId="00000029">
      <w:pPr>
        <w:numPr>
          <w:ilvl w:val="0"/>
          <w:numId w:val="2"/>
        </w:numPr>
        <w:ind w:left="720" w:hanging="360"/>
        <w:rPr/>
      </w:pPr>
      <w:bookmarkStart w:colFirst="0" w:colLast="0" w:name="_heading=h.gjdgxs" w:id="0"/>
      <w:bookmarkEnd w:id="0"/>
      <w:r w:rsidDel="00000000" w:rsidR="00000000" w:rsidRPr="00000000">
        <w:rPr>
          <w:rtl w:val="0"/>
        </w:rPr>
        <w:t xml:space="preserve">Z hodinové sazby 700,-Kč, které bude zadavateli účtována v impulsech za každou započatou půlhodinu (tj. 1 impuls = ½ hodiny = 350,-Kč)</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Odměna bude dodavatelem fakturován ke konci kalendářního měsíce, ke kterému přísluší. Zadavatel se zavazuje tuto odměnu uhradit převodem na účet dodavatele do 15 dnů následujícího měsíce. Mimořádné příplatky za práci v noci a za práci podstatným způsobem překračující rámec této smlouvy budou mezi oběma stranami sjednávány případ od případu.</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IV. Inflační doložka</w:t>
      </w:r>
      <w:r w:rsidDel="00000000" w:rsidR="00000000" w:rsidRPr="00000000">
        <w:rPr>
          <w:rtl w:val="0"/>
        </w:rPr>
      </w:r>
    </w:p>
    <w:p w:rsidR="00000000" w:rsidDel="00000000" w:rsidP="00000000" w:rsidRDefault="00000000" w:rsidRPr="00000000" w14:paraId="0000002E">
      <w:pPr>
        <w:rPr/>
      </w:pPr>
      <w:r w:rsidDel="00000000" w:rsidR="00000000" w:rsidRPr="00000000">
        <w:rPr>
          <w:b w:val="0"/>
          <w:sz w:val="24"/>
          <w:szCs w:val="24"/>
          <w:rtl w:val="0"/>
        </w:rPr>
        <w:t xml:space="preserve">Smluvní strany se dohodly na inflační doložce k výši odměny tak, že poskytovatel je vždy k 1. únoru příslušného roku, počínaje 1. únorem 2024, oprávněn jednostranně zvýšit odměnu o roční míru inflace vyjádřenou přírůstkem průměrného ročního indexu spotřebitelských cen za uplynulý kalendářní rok, vyhlášenou Českým statistickým úřadem. Toto zvýšení odměny je poskytoval povinen zadavateli oznámit do 31.1. příslušného roku, jinak toto právo zaniká. </w:t>
      </w:r>
      <w:r w:rsidDel="00000000" w:rsidR="00000000" w:rsidRPr="00000000">
        <w:rPr>
          <w:rtl w:val="0"/>
        </w:rPr>
      </w:r>
    </w:p>
    <w:p w:rsidR="00000000" w:rsidDel="00000000" w:rsidP="00000000" w:rsidRDefault="00000000" w:rsidRPr="00000000" w14:paraId="0000002F">
      <w:pPr>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30">
      <w:pPr>
        <w:rPr/>
      </w:pPr>
      <w:r w:rsidDel="00000000" w:rsidR="00000000" w:rsidRPr="00000000">
        <w:rPr>
          <w:b w:val="1"/>
          <w:rtl w:val="0"/>
        </w:rPr>
        <w:t xml:space="preserve">IV.  Společná závěrečná ustanovení:</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Smlouva se vyhotovuje ve 2 stejnopisech, z nichž zadavatele a dodavatel obdrží po jednom vyhotovení.</w:t>
      </w:r>
    </w:p>
    <w:p w:rsidR="00000000" w:rsidDel="00000000" w:rsidP="00000000" w:rsidRDefault="00000000" w:rsidRPr="00000000" w14:paraId="00000032">
      <w:pPr>
        <w:rPr/>
      </w:pPr>
      <w:r w:rsidDel="00000000" w:rsidR="00000000" w:rsidRPr="00000000">
        <w:rPr>
          <w:rtl w:val="0"/>
        </w:rPr>
        <w:t xml:space="preserve">Smlouva nabývá platnost dnem podpisu.</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 Jablonci nad Nisou, dne: 4.1.2023</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1"/>
        <w:tblW w:w="9071.0" w:type="dxa"/>
        <w:jc w:val="left"/>
        <w:tblLayout w:type="fixed"/>
        <w:tblLook w:val="0000"/>
      </w:tblPr>
      <w:tblGrid>
        <w:gridCol w:w="4535"/>
        <w:gridCol w:w="4536"/>
        <w:tblGridChange w:id="0">
          <w:tblGrid>
            <w:gridCol w:w="4535"/>
            <w:gridCol w:w="4536"/>
          </w:tblGrid>
        </w:tblGridChange>
      </w:tblGrid>
      <w:tr>
        <w:trPr>
          <w:cantSplit w:val="0"/>
          <w:tblHeader w:val="0"/>
        </w:trPr>
        <w:tc>
          <w:tcPr>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_____________________</w:t>
            </w:r>
          </w:p>
        </w:tc>
        <w:tc>
          <w:tcPr>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_____________________</w:t>
            </w:r>
          </w:p>
        </w:tc>
      </w:tr>
      <w:tr>
        <w:trPr>
          <w:cantSplit w:val="0"/>
          <w:tblHeader w:val="0"/>
        </w:trPr>
        <w:tc>
          <w:tcPr>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za zadavatele</w:t>
            </w:r>
          </w:p>
        </w:tc>
        <w:tc>
          <w:tcPr>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za dodavatele</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720" w:hanging="360"/>
      </w:pPr>
      <w:rPr>
        <w:b w:val="1"/>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720" w:hanging="360"/>
      </w:pPr>
      <w:rPr>
        <w:b w:val="1"/>
      </w:rPr>
    </w:lvl>
    <w:lvl w:ilvl="1">
      <w:start w:val="1"/>
      <w:numFmt w:val="decimal"/>
      <w:lvlText w:val="%2."/>
      <w:lvlJc w:val="left"/>
      <w:pPr>
        <w:ind w:left="1080" w:hanging="360"/>
      </w:pPr>
      <w:rPr>
        <w:b w:val="1"/>
      </w:rPr>
    </w:lvl>
    <w:lvl w:ilvl="2">
      <w:start w:val="1"/>
      <w:numFmt w:val="decimal"/>
      <w:lvlText w:val="%3."/>
      <w:lvlJc w:val="left"/>
      <w:pPr>
        <w:ind w:left="1440" w:hanging="360"/>
      </w:pPr>
      <w:rPr>
        <w:b w:val="1"/>
      </w:rPr>
    </w:lvl>
    <w:lvl w:ilvl="3">
      <w:start w:val="1"/>
      <w:numFmt w:val="decimal"/>
      <w:lvlText w:val="%4."/>
      <w:lvlJc w:val="left"/>
      <w:pPr>
        <w:ind w:left="1800" w:hanging="360"/>
      </w:pPr>
      <w:rPr>
        <w:b w:val="1"/>
      </w:rPr>
    </w:lvl>
    <w:lvl w:ilvl="4">
      <w:start w:val="1"/>
      <w:numFmt w:val="decimal"/>
      <w:lvlText w:val="%5."/>
      <w:lvlJc w:val="left"/>
      <w:pPr>
        <w:ind w:left="2160" w:hanging="360"/>
      </w:pPr>
      <w:rPr>
        <w:b w:val="1"/>
      </w:rPr>
    </w:lvl>
    <w:lvl w:ilvl="5">
      <w:start w:val="1"/>
      <w:numFmt w:val="decimal"/>
      <w:lvlText w:val="%6."/>
      <w:lvlJc w:val="left"/>
      <w:pPr>
        <w:ind w:left="2520" w:hanging="360"/>
      </w:pPr>
      <w:rPr>
        <w:b w:val="1"/>
      </w:rPr>
    </w:lvl>
    <w:lvl w:ilvl="6">
      <w:start w:val="1"/>
      <w:numFmt w:val="decimal"/>
      <w:lvlText w:val="%7."/>
      <w:lvlJc w:val="left"/>
      <w:pPr>
        <w:ind w:left="2880" w:hanging="360"/>
      </w:pPr>
      <w:rPr>
        <w:b w:val="1"/>
      </w:rPr>
    </w:lvl>
    <w:lvl w:ilvl="7">
      <w:start w:val="1"/>
      <w:numFmt w:val="decimal"/>
      <w:lvlText w:val="%8."/>
      <w:lvlJc w:val="left"/>
      <w:pPr>
        <w:ind w:left="3240" w:hanging="360"/>
      </w:pPr>
      <w:rPr>
        <w:b w:val="1"/>
      </w:rPr>
    </w:lvl>
    <w:lvl w:ilvl="8">
      <w:start w:val="1"/>
      <w:numFmt w:val="decimal"/>
      <w:lvlText w:val="%9."/>
      <w:lvlJc w:val="left"/>
      <w:pPr>
        <w:ind w:left="3600" w:hanging="36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decimal"/>
      <w:lvlText w:val=""/>
      <w:lvlJc w:val="left"/>
      <w:pPr>
        <w:ind w:left="1080" w:hanging="360"/>
      </w:pPr>
      <w:rPr/>
    </w:lvl>
    <w:lvl w:ilvl="2">
      <w:start w:val="1"/>
      <w:numFmt w:val="decimal"/>
      <w:lvlText w:val=""/>
      <w:lvlJc w:val="left"/>
      <w:pPr>
        <w:ind w:left="1440" w:hanging="360"/>
      </w:pPr>
      <w:rPr/>
    </w:lvl>
    <w:lvl w:ilvl="3">
      <w:start w:val="1"/>
      <w:numFmt w:val="decimal"/>
      <w:lvlText w:val=""/>
      <w:lvlJc w:val="left"/>
      <w:pPr>
        <w:ind w:left="1800" w:hanging="360"/>
      </w:pPr>
      <w:rPr/>
    </w:lvl>
    <w:lvl w:ilvl="4">
      <w:start w:val="1"/>
      <w:numFmt w:val="decimal"/>
      <w:lvlText w:val=""/>
      <w:lvlJc w:val="left"/>
      <w:pPr>
        <w:ind w:left="2160" w:hanging="360"/>
      </w:pPr>
      <w:rPr/>
    </w:lvl>
    <w:lvl w:ilvl="5">
      <w:start w:val="1"/>
      <w:numFmt w:val="decimal"/>
      <w:lvlText w:val=""/>
      <w:lvlJc w:val="left"/>
      <w:pPr>
        <w:ind w:left="2520" w:hanging="360"/>
      </w:pPr>
      <w:rPr/>
    </w:lvl>
    <w:lvl w:ilvl="6">
      <w:start w:val="1"/>
      <w:numFmt w:val="decimal"/>
      <w:lvlText w:val=""/>
      <w:lvlJc w:val="left"/>
      <w:pPr>
        <w:ind w:left="2880" w:hanging="360"/>
      </w:pPr>
      <w:rPr/>
    </w:lvl>
    <w:lvl w:ilvl="7">
      <w:start w:val="1"/>
      <w:numFmt w:val="decimal"/>
      <w:lvlText w:val=""/>
      <w:lvlJc w:val="left"/>
      <w:pPr>
        <w:ind w:left="3240" w:hanging="360"/>
      </w:pPr>
      <w:rPr/>
    </w:lvl>
    <w:lvl w:ilvl="8">
      <w:start w:val="1"/>
      <w:numFmt w:val="decimal"/>
      <w:lvlText w:val=""/>
      <w:lvlJc w:val="left"/>
      <w:pPr>
        <w:ind w:left="3600" w:hanging="360"/>
      </w:pPr>
      <w:rPr/>
    </w:lvl>
  </w:abstractNum>
  <w:abstractNum w:abstractNumId="5">
    <w:lvl w:ilvl="0">
      <w:start w:val="1"/>
      <w:numFmt w:val="bullet"/>
      <w:lvlText w:val="-"/>
      <w:lvlJc w:val="left"/>
      <w:pPr>
        <w:ind w:left="720" w:hanging="360"/>
      </w:pPr>
      <w:rPr>
        <w:rFonts w:ascii="Times New Roman" w:cs="Times New Roman" w:eastAsia="Times New Roman" w:hAnsi="Times New Roman"/>
        <w:b w:val="1"/>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
      <w:lvlJc w:val="left"/>
      <w:pPr>
        <w:ind w:left="1440" w:hanging="360"/>
      </w:pPr>
      <w:rPr/>
    </w:lvl>
    <w:lvl w:ilvl="3">
      <w:start w:val="1"/>
      <w:numFmt w:val="decimal"/>
      <w:lvlText w:val=""/>
      <w:lvlJc w:val="left"/>
      <w:pPr>
        <w:ind w:left="1800" w:hanging="360"/>
      </w:pPr>
      <w:rPr/>
    </w:lvl>
    <w:lvl w:ilvl="4">
      <w:start w:val="1"/>
      <w:numFmt w:val="decimal"/>
      <w:lvlText w:val=""/>
      <w:lvlJc w:val="left"/>
      <w:pPr>
        <w:ind w:left="2160" w:hanging="360"/>
      </w:pPr>
      <w:rPr/>
    </w:lvl>
    <w:lvl w:ilvl="5">
      <w:start w:val="1"/>
      <w:numFmt w:val="decimal"/>
      <w:lvlText w:val=""/>
      <w:lvlJc w:val="left"/>
      <w:pPr>
        <w:ind w:left="2520" w:hanging="360"/>
      </w:pPr>
      <w:rPr/>
    </w:lvl>
    <w:lvl w:ilvl="6">
      <w:start w:val="1"/>
      <w:numFmt w:val="decimal"/>
      <w:lvlText w:val=""/>
      <w:lvlJc w:val="left"/>
      <w:pPr>
        <w:ind w:left="2880" w:hanging="360"/>
      </w:pPr>
      <w:rPr/>
    </w:lvl>
    <w:lvl w:ilvl="7">
      <w:start w:val="1"/>
      <w:numFmt w:val="decimal"/>
      <w:lvlText w:val=""/>
      <w:lvlJc w:val="left"/>
      <w:pPr>
        <w:ind w:left="3240" w:hanging="360"/>
      </w:pPr>
      <w:rPr/>
    </w:lvl>
    <w:lvl w:ilvl="8">
      <w:start w:val="1"/>
      <w:numFmt w:val="decimal"/>
      <w:lvlText w:val=""/>
      <w:lvlJc w:val="left"/>
      <w:pPr>
        <w:ind w:left="3600" w:hanging="360"/>
      </w:pPr>
      <w:rPr/>
    </w:lvl>
  </w:abstractNum>
  <w:abstractNum w:abstractNumId="6">
    <w:lvl w:ilvl="0">
      <w:start w:val="1"/>
      <w:numFmt w:val="upperRoman"/>
      <w:lvlText w:val="%1."/>
      <w:lvlJc w:val="left"/>
      <w:pPr>
        <w:ind w:left="720" w:hanging="360"/>
      </w:pPr>
      <w:rPr>
        <w:b w:val="1"/>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0" w:before="0"/>
      <w:jc w:val="left"/>
    </w:pPr>
    <w:rPr>
      <w:rFonts w:ascii="Times New Roman" w:cs="Times New Roman" w:eastAsia="Times New Roman" w:hAnsi="Times New Roman"/>
      <w:color w:val="00000a"/>
      <w:kern w:val="0"/>
      <w:sz w:val="24"/>
      <w:szCs w:val="24"/>
      <w:lang w:bidi="ar-SA" w:eastAsia="zh-CN" w:val="cs-CZ"/>
    </w:rPr>
  </w:style>
  <w:style w:type="character" w:styleId="DefaultParagraphFont" w:default="1">
    <w:name w:val="Default Paragraph Font"/>
    <w:uiPriority w:val="1"/>
    <w:semiHidden w:val="1"/>
    <w:unhideWhenUsed w:val="1"/>
    <w:qFormat w:val="1"/>
    <w:rPr/>
  </w:style>
  <w:style w:type="character" w:styleId="WW8Num3z0" w:customStyle="1">
    <w:name w:val="WW8Num3z0"/>
    <w:qFormat w:val="1"/>
    <w:rPr>
      <w:rFonts w:ascii="Times New Roman" w:cs="Times New Roman" w:eastAsia="Times New Roman" w:hAnsi="Times New Roman"/>
    </w:rPr>
  </w:style>
  <w:style w:type="character" w:styleId="WW8Num3z1" w:customStyle="1">
    <w:name w:val="WW8Num3z1"/>
    <w:qFormat w:val="1"/>
    <w:rPr>
      <w:rFonts w:ascii="Courier New" w:cs="Courier New" w:hAnsi="Courier New"/>
    </w:rPr>
  </w:style>
  <w:style w:type="character" w:styleId="WW8Num3z2" w:customStyle="1">
    <w:name w:val="WW8Num3z2"/>
    <w:qFormat w:val="1"/>
    <w:rPr>
      <w:rFonts w:ascii="Wingdings" w:hAnsi="Wingdings"/>
    </w:rPr>
  </w:style>
  <w:style w:type="character" w:styleId="WW8Num3z3" w:customStyle="1">
    <w:name w:val="WW8Num3z3"/>
    <w:qFormat w:val="1"/>
    <w:rPr>
      <w:rFonts w:ascii="Symbol" w:hAnsi="Symbol"/>
    </w:rPr>
  </w:style>
  <w:style w:type="character" w:styleId="Symbolyproslovn" w:customStyle="1">
    <w:name w:val="Symboly pro číslování"/>
    <w:qFormat w:val="1"/>
    <w:rPr>
      <w:b w:val="1"/>
      <w:bCs w:val="1"/>
    </w:rPr>
  </w:style>
  <w:style w:type="character" w:styleId="Odrky" w:customStyle="1">
    <w:name w:val="Odrážky"/>
    <w:qFormat w:val="1"/>
    <w:rPr>
      <w:rFonts w:ascii="OpenSymbol" w:cs="OpenSymbol" w:eastAsia="OpenSymbol" w:hAnsi="OpenSymbol"/>
    </w:rPr>
  </w:style>
  <w:style w:type="paragraph" w:styleId="Nadpis" w:customStyle="1">
    <w:name w:val="Nadpis"/>
    <w:basedOn w:val="Normal"/>
    <w:next w:val="Tlotextu"/>
    <w:qFormat w:val="1"/>
    <w:pPr>
      <w:keepNext w:val="1"/>
      <w:spacing w:after="120" w:before="240"/>
    </w:pPr>
    <w:rPr>
      <w:rFonts w:ascii="Arial" w:cs="Lohit Hindi" w:eastAsia="DejaVu Sans" w:hAnsi="Arial"/>
      <w:sz w:val="28"/>
      <w:szCs w:val="28"/>
    </w:rPr>
  </w:style>
  <w:style w:type="paragraph" w:styleId="Tlotextu">
    <w:name w:val="Body Text"/>
    <w:basedOn w:val="Normal"/>
    <w:pPr>
      <w:spacing w:after="120" w:before="0"/>
    </w:pPr>
    <w:rPr/>
  </w:style>
  <w:style w:type="paragraph" w:styleId="Seznam">
    <w:name w:val="List"/>
    <w:basedOn w:val="Tlotextu"/>
    <w:pPr/>
    <w:rPr>
      <w:rFonts w:cs="Lohit Hindi"/>
    </w:rPr>
  </w:style>
  <w:style w:type="paragraph" w:styleId="Popisek">
    <w:name w:val="Caption"/>
    <w:basedOn w:val="Normal"/>
    <w:qFormat w:val="1"/>
    <w:pPr>
      <w:suppressLineNumbers w:val="1"/>
      <w:spacing w:after="120" w:before="120"/>
    </w:pPr>
    <w:rPr>
      <w:rFonts w:cs="Lucida Sans"/>
      <w:i w:val="1"/>
      <w:iCs w:val="1"/>
      <w:sz w:val="24"/>
      <w:szCs w:val="24"/>
    </w:rPr>
  </w:style>
  <w:style w:type="paragraph" w:styleId="Rejstk" w:customStyle="1">
    <w:name w:val="Rejstřík"/>
    <w:basedOn w:val="Normal"/>
    <w:qFormat w:val="1"/>
    <w:pPr>
      <w:suppressLineNumbers w:val="1"/>
    </w:pPr>
    <w:rPr>
      <w:rFonts w:cs="Lohit Hindi"/>
    </w:rPr>
  </w:style>
  <w:style w:type="paragraph" w:styleId="Caption">
    <w:name w:val="caption"/>
    <w:basedOn w:val="Normal"/>
    <w:qFormat w:val="1"/>
    <w:pPr>
      <w:suppressLineNumbers w:val="1"/>
      <w:spacing w:after="120" w:before="120"/>
    </w:pPr>
    <w:rPr>
      <w:rFonts w:cs="Lohit Hindi"/>
      <w:i w:val="1"/>
      <w:iCs w:val="1"/>
    </w:rPr>
  </w:style>
  <w:style w:type="paragraph" w:styleId="Obsahtabulky" w:customStyle="1">
    <w:name w:val="Obsah tabulky"/>
    <w:basedOn w:val="Normal"/>
    <w:qFormat w:val="1"/>
    <w:pPr>
      <w:suppressLineNumbers w:val="1"/>
    </w:pPr>
    <w:rPr/>
  </w:style>
  <w:style w:type="paragraph" w:styleId="ListParagraph">
    <w:name w:val="List Paragraph"/>
    <w:basedOn w:val="Normal"/>
    <w:uiPriority w:val="34"/>
    <w:qFormat w:val="1"/>
    <w:rsid w:val="00750C36"/>
    <w:pPr>
      <w:spacing w:after="0" w:before="0"/>
      <w:ind w:left="720" w:hanging="0"/>
      <w:contextualSpacing w:val="1"/>
    </w:pPr>
    <w:rPr/>
  </w:style>
  <w:style w:type="numbering" w:styleId="NoList" w:default="1">
    <w:name w:val="No List"/>
    <w:uiPriority w:val="99"/>
    <w:semiHidden w:val="1"/>
    <w:unhideWhenUsed w:val="1"/>
    <w:qFormat w:val="1"/>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table" w:styleId="Normlntabulka"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fUXP85lqHA+LUrc58DvuV3L3hw==">AMUW2mUJ0wJomCtP7w4skBzFp8JdLObqhgQQYJLgGkcy+y/1MzISwB5PpBLF4XThG6U0gkV8fXBZZpVBXE5OdNDTXfpHpBjiixMGQeilLi1lAN58UV70EdckHcAd6oKrzSSE0g9EPuN7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2018-01-09T06:49:00Z</dcterms:created>
  <dc:creator>reditel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rmace 1">
    <vt:lpwstr/>
  </property>
  <property fmtid="{D5CDD505-2E9C-101B-9397-08002B2CF9AE}" pid="4" name="Informace 2">
    <vt:lpwstr/>
  </property>
  <property fmtid="{D5CDD505-2E9C-101B-9397-08002B2CF9AE}" pid="5" name="Informace 3">
    <vt:lpwstr/>
  </property>
  <property fmtid="{D5CDD505-2E9C-101B-9397-08002B2CF9AE}" pid="6" name="Informace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