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O POSKYTNUTÍ </w:t>
      </w:r>
      <w:r w:rsidRPr="007336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DOTACE č. </w:t>
      </w:r>
      <w:r w:rsidR="00E130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2017/00</w:t>
      </w:r>
      <w:r w:rsidR="00355AC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2493</w:t>
      </w:r>
    </w:p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uzavřená níže uvedeného dne, měsíce a roku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§ 10a a násl. zákona č. 250/2000 Sb., o rozpočtových pravidlech územních rozpočtů, a v souladu se zákonem č. 128/2000 Sb., o obcích, ve znění pozdějších předpisů</w:t>
      </w: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1.Poskytovatel</w:t>
      </w:r>
      <w:proofErr w:type="gramEnd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Statutární město Plzeň – Městský obvod Plzeň 1</w:t>
      </w: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alej Svobody 60, 323 00 Plzeň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Komerční banka, a. s., Plzeň – město</w:t>
      </w:r>
    </w:p>
    <w:p w:rsidR="00691713" w:rsidRPr="00733671" w:rsidRDefault="00C13A72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XXXXXXXXX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Miroslavem Brabcem, starostou</w:t>
      </w: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„MO Plzeň 1“)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AE5D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2. Příjemce </w:t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355AC3" w:rsidRPr="00355AC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VIKTORIA PLZEŇ - </w:t>
      </w:r>
      <w:proofErr w:type="gramStart"/>
      <w:r w:rsidR="00355AC3" w:rsidRPr="00355AC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fotbal, z.s.</w:t>
      </w:r>
      <w:proofErr w:type="gramEnd"/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/sídlo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130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130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55AC3" w:rsidRPr="00355AC3">
        <w:rPr>
          <w:rFonts w:ascii="Times New Roman" w:eastAsia="Times New Roman" w:hAnsi="Times New Roman" w:cs="Times New Roman"/>
          <w:sz w:val="24"/>
          <w:szCs w:val="20"/>
          <w:lang w:eastAsia="cs-CZ"/>
        </w:rPr>
        <w:t>Štruncovy sady 2741/3, 301 00 Plzeň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55AC3" w:rsidRPr="00355AC3">
        <w:rPr>
          <w:rFonts w:ascii="Times New Roman" w:eastAsia="Times New Roman" w:hAnsi="Times New Roman" w:cs="Times New Roman"/>
          <w:sz w:val="24"/>
          <w:szCs w:val="20"/>
          <w:lang w:eastAsia="cs-CZ"/>
        </w:rPr>
        <w:t>27002667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61F3E">
        <w:rPr>
          <w:rFonts w:ascii="Times New Roman" w:eastAsia="Times New Roman" w:hAnsi="Times New Roman" w:cs="Times New Roman"/>
          <w:sz w:val="24"/>
          <w:szCs w:val="20"/>
          <w:lang w:eastAsia="cs-CZ"/>
        </w:rPr>
        <w:t>Československá obchodní banka, a.s.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13A72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61F3E">
        <w:rPr>
          <w:rFonts w:ascii="Times New Roman" w:eastAsia="Times New Roman" w:hAnsi="Times New Roman" w:cs="Times New Roman"/>
          <w:sz w:val="24"/>
          <w:szCs w:val="20"/>
          <w:lang w:eastAsia="cs-CZ"/>
        </w:rPr>
        <w:t>Petrem Žitkem, předsedou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na základě usnesení 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Zastupitelstva městského obvodu Plzeň 1 č. 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353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12. 4. 2017 tuto smlouvu o poskytnutí dotace z rozpočtu MO Plzeň 1. </w:t>
      </w:r>
    </w:p>
    <w:p w:rsidR="00691713" w:rsidRPr="00040B00" w:rsidRDefault="00691713" w:rsidP="0069171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0B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pro právní vztah založený touto smlouvou jsou stejně jako ustanovení této smlouvy právně závazná i ustanovení obsažená v Zásadách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poskytování dotací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MO Plzeň 1, schválených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městského obvodu Plzeň 1 č. 165 ze dne 9. 12. 2015 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„Zásady“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jsou k dispozici na webových stránkách MO Plzeň 1 (</w:t>
      </w:r>
      <w:hyperlink r:id="rId8" w:history="1">
        <w:r w:rsidRPr="001A6A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http://umo1.plzen.eu/</w:t>
        </w:r>
      </w:hyperlink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Granty a dotace).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podpisem této smlouvy potvrzuje, že se před podpisem smlouvy se zněním Zásad seznámil a zavazuje se podmínkami v nich uvedenými řídit.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 poskytnutí finančn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prostředků maximálně do výše </w:t>
      </w:r>
      <w:r w:rsidR="00355AC3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 000 Kč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55AC3">
        <w:rPr>
          <w:rFonts w:ascii="Times New Roman" w:eastAsia="Times New Roman" w:hAnsi="Times New Roman" w:cs="Times New Roman"/>
          <w:sz w:val="24"/>
          <w:szCs w:val="24"/>
          <w:lang w:eastAsia="cs-CZ"/>
        </w:rPr>
        <w:t>padesát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tisíckorunčeských</w:t>
      </w:r>
      <w:proofErr w:type="spellEnd"/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 rozpočtu poskytovatele na podporu realizace projektu příjemce podle článku III. této smlouvy (dále též jen </w:t>
      </w:r>
      <w:r w:rsidRPr="0069171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„dotace“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>), a to přesně dle jednotlivých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položek uvedených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rozepsaných v Žádosti o poskytnutí dotace včetně všech příloh (dále jen </w:t>
      </w:r>
      <w:r w:rsidRPr="00ED5A3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„žádost“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B4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určena na tento účel</w:t>
      </w:r>
      <w:r w:rsidR="00361F3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61F3E" w:rsidRPr="00361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 mládežnických družstev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F12E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„projekt“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Dotace je poskytovatelem poskytnuta a bude účelově použita výhradně na částečnou úhradu neinvestičních nákladů vzniklých příjemci v roce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věcně a časově příslušejících k tomuto období a souvisejících s realizací projektu podle ods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tavce 1. tohoto článku. V roce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dosaženo stanoveného účelu v souladu se žádostí.</w:t>
      </w:r>
    </w:p>
    <w:p w:rsidR="00691713" w:rsidRPr="00733671" w:rsidRDefault="00691713" w:rsidP="00691713">
      <w:pPr>
        <w:tabs>
          <w:tab w:val="left" w:pos="921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poskytování dotace vychází poskytovatel ze skutečností a prohlášení obsažených v žádosti, přičemž podpisem této smlouvy příjemce stvrzuje pravdivost těchto skutečností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prohlášení. Kopie žádosti je přílohou č. 1 této smlouvy a tvoří její nedílnou součást.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čerpání dotace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Příjemce se zavazuje používat dotaci výhradně k účelům podle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II., a to za dále sjednaných podmínek.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Dotace může být použita na úhradu jednotlivých nákladových druhů maximálně do výše částky uvedené v žádosti v části Rozpis požadovaného finančního příspěvku dle nákladových položek.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3. Příjemce bere na vědomí, že dotaci nelze poskytnout na odpočet DPH, pokud může příjemce uplatnit nárok na odpočet DPH vůči finančnímu úřadu nebo požádat o její vrácení v souladu se zákonem č. 235/2004 Sb., o dani z přidané hodnoty, v platném a účinném znění.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je povinen vést účetnictví řádně v souladu se zákonem č. 563/1991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účetnictví, v platném a účinném znění, popř. daňovou evidenci řádně a v souladu se zákonem č. 586/1992 Sb., o daních z příjmů, v platném a účinném znění, a zavazuje se vést evidenci čerpání poskytnutí dotace odděleně od ostatního účetnictví, popř. daňové evidence. Příjemce je vždy povinen doložit evidenci čerpání dotace doklady splňujícími charakter účetních dokladů podle zákona o účetnictví, i když účetní evidenci nevede.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5. Příjemce se zavazuje použít při realizaci projektu, na který mu byla poskytnuta dotace, logo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výjimkou již uskutečněných projektů)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Použití loga poskytovatele se řídí Pravidly pro užívání loga MO Plzeň 1, které upravují základní podmínky pro užívání loga MO Plzeň 1. Příjemce v této souvislosti prohlašuje, že se s příslušnými pravidly před podpisem smlouvy řádně seznámil, což mimo jiné také stvrzuje podpisem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6. Příjemce se zavazuje, že poskytnutá dotace ani její část nebudou převedeny na jinou právnickou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nebo fyzickou osobu, pokud nepůjde o úhradu spojenou s realizací účelu dotace.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Nesplnění této podmínky je považováno za porušení závažné povinnosti ve smyslu ustanovení § 22 odst. 5 zákona o rozpočtových pravidlech územních rozpočtů.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7. Příjemce odpovídá za hospodárné a efektivní využití dotace, přičemž za hlavní zásadu hospodárnosti a efektivity se považují ceny v místě a čase obvyklé.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8. Příjemce se zavazuje předložit závěrečnou zprávu a celkové vyúčto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dotace nejpozději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Závěrečná zpráva musí obsahovat označení příjemce, popis realizace projektu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celkové zhodnocení projektu, včetně podpisu statutárního orgánu.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Příjemce je povinen způsob použití dotace za účelem výše uvedeným poskytovateli prokázat při vyúčtování předložením originálů účetních dokladů prokazujících výdaje k dosažení sjednaného účelu, a to včetně účetních dokladů prokazujících zaplacení účelně vynaložených výdajů při realizaci projektu podle odstavce 1.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této smlouvy (výpis z bankovního účtu, výdajové pokladní doklady, faktury, dodací listy, smlouvy, paragony atp.). V této souvislosti bere příjemce na vědomí, že je povinen strpět označení předložených účetních dokladů údajem o tom, že na předmět plnění dle příslušného dokladu byla poskytnuta dotace dle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dotace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specifikovaná v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bude příjemci poskytnuta nejpozději do 15 dnů od předložení závěrečné zprávy včetně kompletního doložení originálů účetních dokladů prokazujících výdaje k dosažení sjednaného účelu, a to včetně účetních dokladů prokazujících zaplacení účelně vynaložených výdajů při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k vyúčtování dotace (viz odstavec 8. a 9.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 této smlouvy), a to bezhotovostním převodem na účet příjemce. Smluvní strany se dohodly, že dotaci je možné čerpat postupně.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ujednání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bere na vědomí, že v souvislosti s poskytováním dotace, je poskytovatel oprávněn vykonávat u příjemce veřejnosprávní finanční kontrolu podle zákona 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č. 320/2001 Sb., o finanční kontrole ve veřejné správě a o změně některých zákonů (zákon o finanční kontrole)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a účinném znění, a dle zákona č. 255/2012 Sb., o kontrole (kontrolní řád), v platném a účinném znění, a zavazuje se poskytnout k tomu poskytovateli veškerou vyžádanou součinnost.</w:t>
      </w:r>
    </w:p>
    <w:p w:rsidR="00691713" w:rsidRPr="00733671" w:rsidRDefault="00691713" w:rsidP="00691713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Příjemce je povinen realizovat projekt, na který byla dotace poskytnuta, v souladu s předloženou žádostí a respektovat jeho strukturu, charakter a cíl.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se dále dohodly, že nesplní-li příjemce podmínku k poskytnutí dotace uvedenou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článku V. této smlouvy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tato skutečnost rozvazovací podmínkou platnosti a účinnosti této smlouvy ve smyslu ustanovení 548 odst. 2 občanského zákoníku. 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oznámit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 15 dnů od vzniku každou změnu údajů uvedených v žádosti a skutečností majících vliv na její poskytnutí (zejména číslo účtu, zánik, transformaci, sloučení, změnu právní formy, zrušení s likvidací, změnu statutárních zástupců, sídla, atp.).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před zahájením čerpání dotace vzniknou na straně příjemce jakékoliv překážky bránící mu v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smlouvy, na který mu byla dotace poskytnuta, je příjemce povinen tuto skutečnost neprodleně písemně oznámit poskytovateli ve lhůtě do 30 dnů od zjištění překážky.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prohlašuje, že: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vůči poskytovateli, jeho organizačním složkám a jeho příspěvkovým organizacím žádné nezaplacen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závazky po lhůtě splatnosti,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s poskytovatelem nebo jeho příspěvkovými organizacemi v soudním sporu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vyjma soudních sporů za zrušení správních rozhodnutí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vydaných v přenesené působnosti,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není předmětem řízení na vyhlášení insolvence, likvidace, správy ze strany soudů, uspořádání s věřiteli nebo jiného obdobného postupu upraveného v celostátní legislativě nebo směrnicích,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není účasten řízení na vrácení předem poskytnuté dotace ze státního rozpočtu, nebo rozpočtu územně samosprávného celku.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bere na vědomí, že užití prostředků z rozpočtu obce právnickou i fyzickou oso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bou podléhá režimu zákona č. 134/201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Sb.,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zadávání veřejných zakázek, v platném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účinném znění, 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Zásadám pro zadávání veřejných zakázek schváleným usnesením Zastupitelstva města Plzně. </w:t>
      </w:r>
    </w:p>
    <w:p w:rsidR="00691713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Rozhodnutím zastupitelstva 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městského obvodu Plzeň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poskytovatel od této smlouvy odstoupit, pokud: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jedná nebo jednal proti zájmům poskytovatele, poškozuje nebo poškozoval dobrou pověst poskytovatele nebo se dopustil jednání vůči poskytovateli nepřátelského,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zjištěny skutečnosti, které zakládají neoprávněnost čerpání a poskytování dotace příjemcem,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zjištěno, že žádost příjemce obsahuje nepravdivé skutečnosti nebo nepravdivé prohlášení.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takovém případě vrátí příjemce již poskytnuté finanční plnění z této smlouvy do 30 dnů od doručení usnesení zastupitelstva městského obvodu Plzeň 1 o odstoupení.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poskytnutá příjemci na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této smlouvy byla na základě údajů poskytnutých příjemcem vyhodnocena jako opatření nezakládající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ejnou podporu ve smyslu čl. 107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 násl. Smlouvy o fungování Evropské unie. Smluvní strany tak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poskytovateli, a to za předpokladu, že mu byly finanční prostředky již poskytnuty. Příjemce prohlašuje, že byl s touto okolností seznámen a je s ní srozuměn.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při vrácení dotace postupuje podle příslušných předpisů EU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rozhodnutí Evropské komise.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16137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Vrácení dotace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B97585" w:rsidRDefault="00691713" w:rsidP="006917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585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jiných důvodů uvedených v této smlouvě nebo v Zásadách je příjemce povinen dotaci nebo její část vrátit i v těchto případech: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nebo její část nebyla použita pro účely úhrady nákladů a způsobem uvedeným v odstavci 1. a 2. článku III. této smlouvy,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rozhodnutí Evropské komise podle odstavce 7. článku VI. této smlouvy. </w:t>
      </w:r>
    </w:p>
    <w:p w:rsidR="00691713" w:rsidRDefault="00691713" w:rsidP="00691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podmínek podle písm. a) a b) tohoto odstavce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vrácení dotace nebo její části podle odstavce 1. písm. a) tohoto článku je příjemce povinen finanční prostředky vrátit poskytovateli zpět na jeho bankovní účet, z něhož byly tyto finanční prostředky poskytnuty. Příjemce je povinen vrátit dotaci nebo její část bezprostředně po zjištění této skutečnosti, a to i bez písemné výzvy. Příjemce je před vrácením dotace nebo její části povinen kontaktovat poskytovatele, který příjemci sdělí variabilní symbol pro platbu.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ujednání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60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bere na vědomí informační povinnost poskytovatele vůči veřejnosti a souhlasí se zveřejněn</w:t>
      </w:r>
      <w:r w:rsidR="00E130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ím této smlouvy poskytovatelem.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91713" w:rsidRPr="004C0821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berou na vědomí, že tato smlouva dle zákona č. 340/2015 Sb., o registru smluv, podléhá uveřejnění prostřednictvím registru smluv. Smluvní strany se dohodly, že smlouvu k uveřejnění prostřednictvím registru smluv zašle správci registru statut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ární město Plzeň.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práva a povinnosti touto smlouvu neupravená se řídí příslušnými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platnými prá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vními předpisy České republiky.</w:t>
      </w:r>
    </w:p>
    <w:p w:rsidR="00691713" w:rsidRPr="00917616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vyhotovena ve třech vyhotoveních s platností originálu, přičemž příjemce obdrží po jednom vyhotovení a poskytovatel obdrží po dvou vyhotoveních.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Smlouvu je možno měnit či doplňovat jen písemnými a číslovanými dodatky,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oběma smluvními stranami,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nedílnou součástí této smlouvy.</w:t>
      </w:r>
    </w:p>
    <w:p w:rsidR="00691713" w:rsidRPr="00733671" w:rsidRDefault="00691713" w:rsidP="006917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účinnosti dnem jejího uveřejnění prostřednictvím registru smluv dle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340/2015 Sb., o registru smluv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podpisem smlouvy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prohlašují, že si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před jejím podpisem přečetly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12E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jejím ustanovením rozumí,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že představuje projev jejich pravé, svobodné a omylu prosté vůle, na důkaz č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ehož připojují své podpisy.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1 – kopie Žádosti o poskytnutí dotace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C13A72">
        <w:rPr>
          <w:rFonts w:ascii="Times New Roman" w:eastAsia="Times New Roman" w:hAnsi="Times New Roman" w:cs="Times New Roman"/>
          <w:sz w:val="24"/>
          <w:szCs w:val="24"/>
          <w:lang w:eastAsia="cs-CZ"/>
        </w:rPr>
        <w:t>5. 5. 2017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3212FB">
        <w:rPr>
          <w:rFonts w:ascii="Times New Roman" w:eastAsia="Times New Roman" w:hAnsi="Times New Roman" w:cs="Times New Roman"/>
          <w:sz w:val="24"/>
          <w:szCs w:val="24"/>
          <w:lang w:eastAsia="cs-CZ"/>
        </w:rPr>
        <w:t>24. 5. 2017</w:t>
      </w:r>
      <w:bookmarkStart w:id="0" w:name="_GoBack"/>
      <w:bookmarkEnd w:id="0"/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.......................................…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...........................................</w:t>
      </w:r>
    </w:p>
    <w:p w:rsidR="00361F3E" w:rsidRPr="00AE5D85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Statutární měs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to Plzeň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0E0201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 xml:space="preserve">VIKTORIA PLZEŇ - </w:t>
      </w:r>
      <w:proofErr w:type="gramStart"/>
      <w:r w:rsidRPr="000E0201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fotbal, z.s.</w:t>
      </w:r>
      <w:proofErr w:type="gramEnd"/>
    </w:p>
    <w:p w:rsidR="00361F3E" w:rsidRPr="00AE5D85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Městský obvod Plzeň 1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Petr Žitek</w:t>
      </w:r>
    </w:p>
    <w:p w:rsidR="00361F3E" w:rsidRPr="00AE5D85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Mgr. Miroslav Brabec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  <w:t>předseda výboru</w:t>
      </w:r>
    </w:p>
    <w:p w:rsidR="00361F3E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starosta</w:t>
      </w:r>
    </w:p>
    <w:p w:rsidR="00361F3E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</w:p>
    <w:p w:rsidR="00361F3E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</w:p>
    <w:p w:rsidR="00361F3E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</w:p>
    <w:p w:rsidR="00361F3E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...........................................</w:t>
      </w:r>
    </w:p>
    <w:p w:rsidR="00361F3E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0E0201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 xml:space="preserve">VIKTORIA PLZEŇ - </w:t>
      </w:r>
      <w:proofErr w:type="gramStart"/>
      <w:r w:rsidRPr="000E0201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fotbal, z.s.</w:t>
      </w:r>
      <w:proofErr w:type="gramEnd"/>
    </w:p>
    <w:p w:rsidR="00361F3E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  <w:t>Mgr. Jaromír Hamouz</w:t>
      </w:r>
    </w:p>
    <w:p w:rsidR="00361F3E" w:rsidRPr="000E0201" w:rsidRDefault="00361F3E" w:rsidP="00361F3E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č</w:t>
      </w:r>
      <w:r w:rsidRPr="000E0201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len výboru</w:t>
      </w:r>
    </w:p>
    <w:p w:rsidR="00E26631" w:rsidRDefault="00E26631"/>
    <w:sectPr w:rsidR="00E26631" w:rsidSect="005456BE">
      <w:headerReference w:type="default" r:id="rId9"/>
      <w:footerReference w:type="default" r:id="rId10"/>
      <w:pgSz w:w="11906" w:h="16838"/>
      <w:pgMar w:top="1417" w:right="1274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E3" w:rsidRDefault="00F80FE3">
      <w:pPr>
        <w:spacing w:after="0" w:line="240" w:lineRule="auto"/>
      </w:pPr>
      <w:r>
        <w:separator/>
      </w:r>
    </w:p>
  </w:endnote>
  <w:endnote w:type="continuationSeparator" w:id="0">
    <w:p w:rsidR="00F80FE3" w:rsidRDefault="00F8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BE" w:rsidRDefault="00691713" w:rsidP="00684C25">
    <w:pPr>
      <w:pStyle w:val="Zpat"/>
      <w:tabs>
        <w:tab w:val="clear" w:pos="4536"/>
        <w:tab w:val="center" w:pos="4111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212FB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212FB">
      <w:rPr>
        <w:b/>
        <w:bCs/>
        <w:noProof/>
      </w:rPr>
      <w:t>6</w:t>
    </w:r>
    <w:r>
      <w:rPr>
        <w:b/>
        <w:bCs/>
      </w:rPr>
      <w:fldChar w:fldCharType="end"/>
    </w:r>
  </w:p>
  <w:p w:rsidR="000D04BE" w:rsidRDefault="003212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E3" w:rsidRDefault="00F80FE3">
      <w:pPr>
        <w:spacing w:after="0" w:line="240" w:lineRule="auto"/>
      </w:pPr>
      <w:r>
        <w:separator/>
      </w:r>
    </w:p>
  </w:footnote>
  <w:footnote w:type="continuationSeparator" w:id="0">
    <w:p w:rsidR="00F80FE3" w:rsidRDefault="00F8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 w:rsidRPr="00395B44">
      <w:rPr>
        <w:rFonts w:ascii="Times New Roman" w:hAnsi="Times New Roman" w:cs="Times New Roman"/>
        <w:sz w:val="18"/>
        <w:szCs w:val="18"/>
      </w:rPr>
      <w:t>Statutární město Plzeň - Městský obvod Plzeň 1</w:t>
    </w:r>
    <w:r w:rsidRPr="00395B44">
      <w:rPr>
        <w:rFonts w:ascii="Times New Roman" w:hAnsi="Times New Roman" w:cs="Times New Roman"/>
        <w:sz w:val="18"/>
        <w:szCs w:val="18"/>
      </w:rPr>
      <w:tab/>
    </w:r>
    <w:r w:rsidRPr="00395B44">
      <w:rPr>
        <w:rFonts w:ascii="Times New Roman" w:hAnsi="Times New Roman" w:cs="Times New Roman"/>
        <w:sz w:val="18"/>
        <w:szCs w:val="18"/>
      </w:rPr>
      <w:tab/>
    </w:r>
    <w:r w:rsidR="00355AC3" w:rsidRPr="00355AC3">
      <w:rPr>
        <w:rFonts w:ascii="Times New Roman" w:hAnsi="Times New Roman" w:cs="Times New Roman"/>
        <w:sz w:val="18"/>
        <w:szCs w:val="18"/>
      </w:rPr>
      <w:t xml:space="preserve">VIKTORIA PLZEŇ - </w:t>
    </w:r>
    <w:proofErr w:type="gramStart"/>
    <w:r w:rsidR="00355AC3" w:rsidRPr="00355AC3">
      <w:rPr>
        <w:rFonts w:ascii="Times New Roman" w:hAnsi="Times New Roman" w:cs="Times New Roman"/>
        <w:sz w:val="18"/>
        <w:szCs w:val="18"/>
      </w:rPr>
      <w:t>fotbal, z.s.</w:t>
    </w:r>
    <w:proofErr w:type="gramEnd"/>
  </w:p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2017/</w:t>
    </w:r>
    <w:r w:rsidR="00E1302C">
      <w:rPr>
        <w:rFonts w:ascii="Times New Roman" w:hAnsi="Times New Roman" w:cs="Times New Roman"/>
        <w:sz w:val="18"/>
        <w:szCs w:val="18"/>
      </w:rPr>
      <w:t>00</w:t>
    </w:r>
    <w:r w:rsidR="00355AC3">
      <w:rPr>
        <w:rFonts w:ascii="Times New Roman" w:hAnsi="Times New Roman" w:cs="Times New Roman"/>
        <w:sz w:val="18"/>
        <w:szCs w:val="18"/>
      </w:rPr>
      <w:t>2493</w:t>
    </w:r>
  </w:p>
  <w:p w:rsidR="002565BC" w:rsidRDefault="003212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7B9"/>
    <w:multiLevelType w:val="hybridMultilevel"/>
    <w:tmpl w:val="890CF93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A50EE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66A4F"/>
    <w:multiLevelType w:val="hybridMultilevel"/>
    <w:tmpl w:val="6C64C860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DF21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6509"/>
    <w:multiLevelType w:val="hybridMultilevel"/>
    <w:tmpl w:val="AA3C6C2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67D8"/>
    <w:multiLevelType w:val="hybridMultilevel"/>
    <w:tmpl w:val="7DC8F9F0"/>
    <w:lvl w:ilvl="0" w:tplc="2E8873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13"/>
    <w:rsid w:val="003212FB"/>
    <w:rsid w:val="00355AC3"/>
    <w:rsid w:val="00361F3E"/>
    <w:rsid w:val="005441F7"/>
    <w:rsid w:val="00597CB3"/>
    <w:rsid w:val="00691713"/>
    <w:rsid w:val="00787C11"/>
    <w:rsid w:val="007B7A45"/>
    <w:rsid w:val="00AF7E86"/>
    <w:rsid w:val="00B40E9E"/>
    <w:rsid w:val="00C12EA8"/>
    <w:rsid w:val="00C13A72"/>
    <w:rsid w:val="00E1302C"/>
    <w:rsid w:val="00E26631"/>
    <w:rsid w:val="00E62BF3"/>
    <w:rsid w:val="00EE460C"/>
    <w:rsid w:val="00F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1.plzen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2077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Levová Lucie</dc:creator>
  <cp:lastModifiedBy>Caltová Martina</cp:lastModifiedBy>
  <cp:revision>4</cp:revision>
  <cp:lastPrinted>2017-05-05T07:43:00Z</cp:lastPrinted>
  <dcterms:created xsi:type="dcterms:W3CDTF">2017-05-11T10:07:00Z</dcterms:created>
  <dcterms:modified xsi:type="dcterms:W3CDTF">2017-05-29T14:42:00Z</dcterms:modified>
</cp:coreProperties>
</file>