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8A" w:rsidRDefault="00B53846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  <w:b/>
          <w:sz w:val="32"/>
        </w:rPr>
        <w:t>Dodatek č. 2</w:t>
      </w:r>
    </w:p>
    <w:p w:rsidR="009A6CA8" w:rsidRDefault="0004118A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  <w:b/>
          <w:sz w:val="32"/>
        </w:rPr>
        <w:t>SMLOUVY</w:t>
      </w:r>
      <w:r w:rsidR="00635FB9">
        <w:rPr>
          <w:rFonts w:ascii="Solpera" w:hAnsi="Solpera" w:cs="Times New Roman"/>
          <w:b/>
          <w:sz w:val="32"/>
        </w:rPr>
        <w:t xml:space="preserve"> </w:t>
      </w:r>
      <w:r w:rsidR="009A6CA8">
        <w:rPr>
          <w:rFonts w:ascii="Solpera" w:hAnsi="Solpera" w:cs="Times New Roman"/>
          <w:b/>
          <w:sz w:val="32"/>
        </w:rPr>
        <w:t>O NÁJMU</w:t>
      </w:r>
      <w:r w:rsidR="009A6CA8">
        <w:rPr>
          <w:rFonts w:ascii="Calibri" w:hAnsi="Calibri" w:cs="Calibri"/>
          <w:b/>
          <w:sz w:val="32"/>
        </w:rPr>
        <w:t> </w:t>
      </w:r>
      <w:r w:rsidR="009A6CA8">
        <w:rPr>
          <w:rFonts w:ascii="Solpera" w:hAnsi="Solpera" w:cs="Times New Roman"/>
          <w:b/>
          <w:sz w:val="32"/>
        </w:rPr>
        <w:t>NEBYTOVÝCH PROSTOR</w:t>
      </w:r>
      <w:r w:rsidR="0005507E">
        <w:rPr>
          <w:rFonts w:ascii="Solpera" w:hAnsi="Solpera" w:cs="Times New Roman"/>
          <w:b/>
          <w:sz w:val="32"/>
        </w:rPr>
        <w:t xml:space="preserve"> ze dne 30.</w:t>
      </w:r>
      <w:r w:rsidR="003440F4">
        <w:rPr>
          <w:rFonts w:ascii="Solpera" w:hAnsi="Solpera" w:cs="Times New Roman"/>
          <w:b/>
          <w:sz w:val="32"/>
        </w:rPr>
        <w:t xml:space="preserve"> </w:t>
      </w:r>
      <w:r w:rsidR="0005507E">
        <w:rPr>
          <w:rFonts w:ascii="Solpera" w:hAnsi="Solpera" w:cs="Times New Roman"/>
          <w:b/>
          <w:sz w:val="32"/>
        </w:rPr>
        <w:t>3.</w:t>
      </w:r>
      <w:r w:rsidR="003440F4">
        <w:rPr>
          <w:rFonts w:ascii="Solpera" w:hAnsi="Solpera" w:cs="Times New Roman"/>
          <w:b/>
          <w:sz w:val="32"/>
        </w:rPr>
        <w:t xml:space="preserve"> </w:t>
      </w:r>
      <w:r w:rsidR="0005507E">
        <w:rPr>
          <w:rFonts w:ascii="Solpera" w:hAnsi="Solpera" w:cs="Times New Roman"/>
          <w:b/>
          <w:sz w:val="32"/>
        </w:rPr>
        <w:t>2021</w:t>
      </w:r>
    </w:p>
    <w:p w:rsidR="009A6CA8" w:rsidRDefault="009A6CA8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</w:rPr>
        <w:t>(dále jen „</w:t>
      </w:r>
      <w:r w:rsidR="00D860EF">
        <w:rPr>
          <w:rFonts w:ascii="Solpera" w:hAnsi="Solpera" w:cs="Times New Roman"/>
          <w:b/>
          <w:i/>
        </w:rPr>
        <w:t>Dodatek</w:t>
      </w:r>
      <w:r>
        <w:rPr>
          <w:rFonts w:ascii="Solpera" w:hAnsi="Solpera" w:cs="Times New Roman"/>
        </w:rPr>
        <w:t>“)</w:t>
      </w:r>
    </w:p>
    <w:p w:rsidR="009A6CA8" w:rsidRDefault="00D860EF" w:rsidP="009A6CA8">
      <w:pPr>
        <w:jc w:val="center"/>
        <w:rPr>
          <w:rFonts w:ascii="Solpera" w:hAnsi="Solpera" w:cs="Times New Roman"/>
        </w:rPr>
      </w:pPr>
      <w:r>
        <w:rPr>
          <w:rFonts w:ascii="Solpera" w:hAnsi="Solpera" w:cs="Times New Roman"/>
        </w:rPr>
        <w:t>uzavřený</w:t>
      </w:r>
      <w:r w:rsidR="009A6CA8">
        <w:rPr>
          <w:rFonts w:ascii="Solpera" w:hAnsi="Solpera" w:cs="Times New Roman"/>
        </w:rPr>
        <w:t xml:space="preserve"> v</w:t>
      </w:r>
      <w:r w:rsidR="009A6CA8">
        <w:rPr>
          <w:rFonts w:ascii="Calibri" w:hAnsi="Calibri" w:cs="Calibri"/>
        </w:rPr>
        <w:t> </w:t>
      </w:r>
      <w:r w:rsidR="009A6CA8">
        <w:rPr>
          <w:rFonts w:ascii="Solpera" w:hAnsi="Solpera" w:cs="Times New Roman"/>
        </w:rPr>
        <w:t>souladu s</w:t>
      </w:r>
      <w:r w:rsidR="009A6CA8">
        <w:rPr>
          <w:rFonts w:ascii="Calibri" w:hAnsi="Calibri" w:cs="Calibri"/>
        </w:rPr>
        <w:t> </w:t>
      </w:r>
      <w:r w:rsidR="009A6CA8">
        <w:rPr>
          <w:rFonts w:ascii="Solpera" w:hAnsi="Solpera" w:cs="Times New Roman"/>
        </w:rPr>
        <w:t>p</w:t>
      </w:r>
      <w:r w:rsidR="009A6CA8">
        <w:rPr>
          <w:rFonts w:ascii="Solpera" w:hAnsi="Solpera" w:cs="Solpera"/>
        </w:rPr>
        <w:t>ří</w:t>
      </w:r>
      <w:r w:rsidR="009A6CA8">
        <w:rPr>
          <w:rFonts w:ascii="Solpera" w:hAnsi="Solpera" w:cs="Times New Roman"/>
        </w:rPr>
        <w:t>slu</w:t>
      </w:r>
      <w:r w:rsidR="009A6CA8">
        <w:rPr>
          <w:rFonts w:ascii="Solpera" w:hAnsi="Solpera" w:cs="Solpera"/>
        </w:rPr>
        <w:t>š</w:t>
      </w:r>
      <w:r w:rsidR="009A6CA8">
        <w:rPr>
          <w:rFonts w:ascii="Solpera" w:hAnsi="Solpera" w:cs="Times New Roman"/>
        </w:rPr>
        <w:t>n</w:t>
      </w:r>
      <w:r w:rsidR="009A6CA8">
        <w:rPr>
          <w:rFonts w:ascii="Solpera" w:hAnsi="Solpera" w:cs="Solpera"/>
        </w:rPr>
        <w:t>ý</w:t>
      </w:r>
      <w:r w:rsidR="009A6CA8">
        <w:rPr>
          <w:rFonts w:ascii="Solpera" w:hAnsi="Solpera" w:cs="Times New Roman"/>
        </w:rPr>
        <w:t>mi ustanoveními zákona</w:t>
      </w:r>
      <w:r w:rsidR="00020803">
        <w:rPr>
          <w:rFonts w:ascii="Solpera" w:hAnsi="Solpera" w:cs="Times New Roman"/>
        </w:rPr>
        <w:t xml:space="preserve"> </w:t>
      </w:r>
      <w:r w:rsidR="009A6CA8">
        <w:rPr>
          <w:rFonts w:ascii="Solpera" w:hAnsi="Solpera" w:cs="Times New Roman"/>
        </w:rPr>
        <w:t xml:space="preserve">č. 89/2012 Sb., občanský zákoník, ve znění pozdějších právních předpisů, </w:t>
      </w:r>
      <w:proofErr w:type="gramStart"/>
      <w:r w:rsidR="009A6CA8">
        <w:rPr>
          <w:rFonts w:ascii="Solpera" w:hAnsi="Solpera" w:cs="Times New Roman"/>
        </w:rPr>
        <w:t>mezi</w:t>
      </w:r>
      <w:proofErr w:type="gramEnd"/>
    </w:p>
    <w:p w:rsidR="009A6CA8" w:rsidRDefault="009A6CA8" w:rsidP="009A6CA8">
      <w:pPr>
        <w:pStyle w:val="Bezmezer"/>
        <w:spacing w:line="276" w:lineRule="auto"/>
        <w:rPr>
          <w:rFonts w:ascii="Solpera" w:hAnsi="Solpera" w:cs="Times New Roman"/>
          <w:b/>
        </w:rPr>
      </w:pP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Jihočeské muzeum v</w:t>
      </w:r>
      <w:r>
        <w:rPr>
          <w:rFonts w:ascii="Calibri" w:hAnsi="Calibri" w:cs="Calibri"/>
          <w:b/>
        </w:rPr>
        <w:t> </w:t>
      </w:r>
      <w:r>
        <w:rPr>
          <w:rFonts w:ascii="Solpera" w:hAnsi="Solpera" w:cs="Solpera"/>
          <w:b/>
        </w:rPr>
        <w:t>Č</w:t>
      </w:r>
      <w:r>
        <w:rPr>
          <w:rFonts w:ascii="Solpera" w:hAnsi="Solpera"/>
          <w:b/>
        </w:rPr>
        <w:t>esk</w:t>
      </w:r>
      <w:r>
        <w:rPr>
          <w:rFonts w:ascii="Solpera" w:hAnsi="Solpera" w:cs="Solpera"/>
          <w:b/>
        </w:rPr>
        <w:t>ý</w:t>
      </w:r>
      <w:r>
        <w:rPr>
          <w:rFonts w:ascii="Solpera" w:hAnsi="Solpera"/>
          <w:b/>
        </w:rPr>
        <w:t>ch Bud</w:t>
      </w:r>
      <w:r>
        <w:rPr>
          <w:rFonts w:ascii="Solpera" w:hAnsi="Solpera" w:cs="Solpera"/>
          <w:b/>
        </w:rPr>
        <w:t>ě</w:t>
      </w:r>
      <w:r>
        <w:rPr>
          <w:rFonts w:ascii="Solpera" w:hAnsi="Solpera"/>
          <w:b/>
        </w:rPr>
        <w:t>jovic</w:t>
      </w:r>
      <w:r>
        <w:rPr>
          <w:rFonts w:ascii="Solpera" w:hAnsi="Solpera" w:cs="Solpera"/>
          <w:b/>
        </w:rPr>
        <w:t>í</w:t>
      </w:r>
      <w:r>
        <w:rPr>
          <w:rFonts w:ascii="Solpera" w:hAnsi="Solpera"/>
          <w:b/>
        </w:rPr>
        <w:t>ch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Dukelská 242/1, 370 01 České Budějovice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IČ: 00073539, DIČ: CZ00073539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zastoupené Ing. Františkem Štanglem, ředitelem muzea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Pronajímatel</w:t>
      </w:r>
      <w:r>
        <w:rPr>
          <w:rFonts w:ascii="Solpera" w:hAnsi="Solpera"/>
        </w:rPr>
        <w:t>“)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a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Středisko pro rodinu a mezilidské vztahy a Linka důvěry České Budějovice, o. p. s.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Nádražní 47, 370 01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 xml:space="preserve">jovice 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 xml:space="preserve">IČ: </w:t>
      </w:r>
      <w:bookmarkStart w:id="0" w:name="_GoBack"/>
      <w:r>
        <w:rPr>
          <w:rFonts w:ascii="Solpera" w:hAnsi="Solpera"/>
        </w:rPr>
        <w:t>25193660</w:t>
      </w:r>
      <w:bookmarkEnd w:id="0"/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zastoupená ředitelem PhDr. Rostislavem Nesnídalem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Nájemce</w:t>
      </w:r>
      <w:r>
        <w:rPr>
          <w:rFonts w:ascii="Solpera" w:hAnsi="Solpera"/>
        </w:rPr>
        <w:t>“)</w:t>
      </w:r>
    </w:p>
    <w:p w:rsidR="009A6CA8" w:rsidRDefault="009A6CA8" w:rsidP="009A6CA8">
      <w:pPr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(společně dále také jako „„</w:t>
      </w:r>
      <w:r>
        <w:rPr>
          <w:rFonts w:ascii="Solpera" w:hAnsi="Solpera" w:cs="Times New Roman"/>
          <w:b/>
          <w:i/>
          <w:szCs w:val="20"/>
        </w:rPr>
        <w:t>Smluvní strany</w:t>
      </w:r>
      <w:r>
        <w:rPr>
          <w:rFonts w:ascii="Solpera" w:hAnsi="Solpera" w:cs="Times New Roman"/>
          <w:szCs w:val="20"/>
        </w:rPr>
        <w:t>“</w:t>
      </w:r>
      <w:r>
        <w:rPr>
          <w:rFonts w:ascii="Solpera" w:eastAsia="Times New Roman" w:hAnsi="Solpera" w:cs="Times New Roman"/>
          <w:szCs w:val="20"/>
          <w:lang w:eastAsia="cs-CZ"/>
        </w:rPr>
        <w:t>nebo jednotlivě jako „</w:t>
      </w:r>
      <w:r>
        <w:rPr>
          <w:rFonts w:ascii="Solpera" w:eastAsia="Times New Roman" w:hAnsi="Solpera" w:cs="Times New Roman"/>
          <w:b/>
          <w:i/>
          <w:szCs w:val="20"/>
          <w:lang w:eastAsia="cs-CZ"/>
        </w:rPr>
        <w:t>Smluvní strana</w:t>
      </w:r>
      <w:r>
        <w:rPr>
          <w:rFonts w:ascii="Solpera" w:eastAsia="Times New Roman" w:hAnsi="Solpera" w:cs="Times New Roman"/>
          <w:szCs w:val="20"/>
          <w:lang w:eastAsia="cs-CZ"/>
        </w:rPr>
        <w:t>“)</w:t>
      </w:r>
    </w:p>
    <w:p w:rsidR="009A6CA8" w:rsidRDefault="009A6CA8" w:rsidP="009A6CA8">
      <w:pPr>
        <w:spacing w:after="0"/>
        <w:rPr>
          <w:rFonts w:cs="Times New Roman"/>
          <w:b/>
          <w:szCs w:val="20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Článek I.</w:t>
      </w:r>
    </w:p>
    <w:p w:rsidR="009A6CA8" w:rsidRDefault="00D860EF" w:rsidP="009A6CA8">
      <w:pPr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Předmět Dodatku</w:t>
      </w:r>
    </w:p>
    <w:p w:rsidR="0005507E" w:rsidRDefault="0005507E" w:rsidP="0005507E">
      <w:pPr>
        <w:pStyle w:val="Odstavecseseznamem"/>
        <w:numPr>
          <w:ilvl w:val="0"/>
          <w:numId w:val="1"/>
        </w:numPr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Na základě Článku</w:t>
      </w:r>
      <w:r w:rsidR="0004118A">
        <w:rPr>
          <w:rFonts w:ascii="Solpera" w:hAnsi="Solpera" w:cs="Times New Roman"/>
          <w:szCs w:val="20"/>
        </w:rPr>
        <w:t xml:space="preserve"> </w:t>
      </w:r>
      <w:r>
        <w:rPr>
          <w:rFonts w:ascii="Solpera" w:hAnsi="Solpera" w:cs="Times New Roman"/>
          <w:szCs w:val="20"/>
        </w:rPr>
        <w:t xml:space="preserve">III. Nájemné bodu 3. výše zmíněné smlouvy, ze dne 30. </w:t>
      </w:r>
      <w:r w:rsidR="00D860EF">
        <w:rPr>
          <w:rFonts w:ascii="Solpera" w:hAnsi="Solpera" w:cs="Times New Roman"/>
          <w:szCs w:val="20"/>
        </w:rPr>
        <w:t>3. 2021</w:t>
      </w:r>
      <w:r>
        <w:rPr>
          <w:rFonts w:ascii="Solpera" w:hAnsi="Solpera" w:cs="Times New Roman"/>
          <w:szCs w:val="20"/>
        </w:rPr>
        <w:t xml:space="preserve"> účinné </w:t>
      </w:r>
      <w:r>
        <w:rPr>
          <w:rFonts w:ascii="Solpera" w:hAnsi="Solpera" w:cs="Times New Roman"/>
          <w:szCs w:val="20"/>
        </w:rPr>
        <w:br/>
      </w:r>
      <w:r w:rsidR="00D860EF">
        <w:rPr>
          <w:rFonts w:ascii="Solpera" w:hAnsi="Solpera" w:cs="Times New Roman"/>
          <w:szCs w:val="20"/>
        </w:rPr>
        <w:t>od 1. 4. 2021</w:t>
      </w:r>
      <w:r>
        <w:rPr>
          <w:rFonts w:ascii="Solpera" w:hAnsi="Solpera" w:cs="Times New Roman"/>
          <w:szCs w:val="20"/>
        </w:rPr>
        <w:t>, dochází k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valorizaci nájemného o inflaci, a to takto:</w:t>
      </w:r>
    </w:p>
    <w:p w:rsidR="0004118A" w:rsidRDefault="0005507E" w:rsidP="0005507E">
      <w:pPr>
        <w:ind w:left="708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Výše nájemného, za předmět nájmu 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 xml:space="preserve">článku III. Nájemné bodu 1., se zvyšuje na </w:t>
      </w:r>
      <w:r w:rsidR="00B53846">
        <w:rPr>
          <w:rFonts w:ascii="Solpera" w:hAnsi="Solpera" w:cs="Times New Roman"/>
          <w:b/>
          <w:szCs w:val="20"/>
        </w:rPr>
        <w:t>25 881</w:t>
      </w:r>
      <w:r w:rsidRPr="0005507E">
        <w:rPr>
          <w:rFonts w:ascii="Solpera" w:hAnsi="Solpera" w:cs="Times New Roman"/>
          <w:b/>
          <w:szCs w:val="20"/>
        </w:rPr>
        <w:t xml:space="preserve"> Kč</w:t>
      </w:r>
      <w:r>
        <w:rPr>
          <w:rFonts w:ascii="Solpera" w:hAnsi="Solpera" w:cs="Times New Roman"/>
          <w:szCs w:val="20"/>
        </w:rPr>
        <w:t xml:space="preserve"> za čtvrtletí. </w:t>
      </w:r>
      <w:r w:rsidRPr="0005507E">
        <w:rPr>
          <w:rFonts w:ascii="Solpera" w:hAnsi="Solpera" w:cs="Times New Roman"/>
          <w:szCs w:val="20"/>
        </w:rPr>
        <w:t xml:space="preserve"> </w:t>
      </w:r>
    </w:p>
    <w:p w:rsidR="0005507E" w:rsidRPr="0005507E" w:rsidRDefault="0005507E" w:rsidP="0005507E">
      <w:pPr>
        <w:ind w:left="708"/>
        <w:jc w:val="both"/>
        <w:rPr>
          <w:rFonts w:ascii="Solpera" w:hAnsi="Solpera" w:cs="Times New Roman"/>
          <w:szCs w:val="20"/>
        </w:rPr>
      </w:pPr>
    </w:p>
    <w:p w:rsidR="0004118A" w:rsidRDefault="0005507E" w:rsidP="0005507E">
      <w:pPr>
        <w:spacing w:after="0"/>
        <w:jc w:val="center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b/>
          <w:szCs w:val="20"/>
        </w:rPr>
        <w:t>Článek II.</w:t>
      </w:r>
    </w:p>
    <w:p w:rsidR="0005507E" w:rsidRDefault="0005507E" w:rsidP="0005507E">
      <w:pPr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Závěrečná ustanovení</w:t>
      </w: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</w:t>
      </w:r>
      <w:r w:rsidR="00D860EF">
        <w:rPr>
          <w:rFonts w:ascii="Solpera" w:hAnsi="Solpera" w:cs="Times New Roman"/>
        </w:rPr>
        <w:t>ento D</w:t>
      </w:r>
      <w:r w:rsidR="009E4D22">
        <w:rPr>
          <w:rFonts w:ascii="Solpera" w:hAnsi="Solpera" w:cs="Times New Roman"/>
        </w:rPr>
        <w:t>odatek nabývá účinnosti dne</w:t>
      </w:r>
      <w:r w:rsidR="00B53846">
        <w:rPr>
          <w:rFonts w:ascii="Solpera" w:hAnsi="Solpera" w:cs="Times New Roman"/>
        </w:rPr>
        <w:t xml:space="preserve"> 1. 1. 2023</w:t>
      </w:r>
      <w:r w:rsidR="003440F4">
        <w:rPr>
          <w:rFonts w:ascii="Solpera" w:hAnsi="Solpera" w:cs="Times New Roman"/>
        </w:rPr>
        <w:t>.</w:t>
      </w:r>
      <w:r w:rsidR="009E4D22">
        <w:rPr>
          <w:rFonts w:ascii="Solpera" w:hAnsi="Solpera" w:cs="Times New Roman"/>
        </w:rPr>
        <w:t xml:space="preserve"> 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Pr="00020803" w:rsidRDefault="00D860EF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  <w:color w:val="000000" w:themeColor="text1"/>
        </w:rPr>
      </w:pPr>
      <w:r>
        <w:rPr>
          <w:rFonts w:ascii="Solpera" w:hAnsi="Solpera" w:cs="Times New Roman"/>
        </w:rPr>
        <w:t>Tento D</w:t>
      </w:r>
      <w:r w:rsidR="003440F4">
        <w:rPr>
          <w:rFonts w:ascii="Solpera" w:hAnsi="Solpera" w:cs="Times New Roman"/>
        </w:rPr>
        <w:t>odatek</w:t>
      </w:r>
      <w:r w:rsidR="0005507E">
        <w:rPr>
          <w:rFonts w:ascii="Solpera" w:hAnsi="Solpera" w:cs="Times New Roman"/>
        </w:rPr>
        <w:t xml:space="preserve"> podléhá povinnosti uveřejnění v</w:t>
      </w:r>
      <w:r w:rsidR="0005507E">
        <w:rPr>
          <w:rFonts w:ascii="Calibri" w:hAnsi="Calibri" w:cs="Calibri"/>
        </w:rPr>
        <w:t> </w:t>
      </w:r>
      <w:r w:rsidR="003440F4">
        <w:rPr>
          <w:rFonts w:ascii="Solpera" w:hAnsi="Solpera" w:cs="Times New Roman"/>
        </w:rPr>
        <w:t>registru smluv. Dodatek</w:t>
      </w:r>
      <w:r w:rsidR="0005507E">
        <w:rPr>
          <w:rFonts w:ascii="Solpera" w:hAnsi="Solpera" w:cs="Times New Roman"/>
        </w:rPr>
        <w:t xml:space="preserve"> v</w:t>
      </w:r>
      <w:r w:rsidR="0005507E">
        <w:rPr>
          <w:rFonts w:ascii="Calibri" w:hAnsi="Calibri" w:cs="Calibri"/>
        </w:rPr>
        <w:t> </w:t>
      </w:r>
      <w:r w:rsidR="0005507E">
        <w:rPr>
          <w:rFonts w:ascii="Solpera" w:hAnsi="Solpera" w:cs="Times New Roman"/>
        </w:rPr>
        <w:t>registru smluv zve</w:t>
      </w:r>
      <w:r w:rsidR="0005507E">
        <w:rPr>
          <w:rFonts w:ascii="Solpera" w:hAnsi="Solpera" w:cs="Solpera"/>
        </w:rPr>
        <w:t>ř</w:t>
      </w:r>
      <w:r w:rsidR="0005507E">
        <w:rPr>
          <w:rFonts w:ascii="Solpera" w:hAnsi="Solpera" w:cs="Times New Roman"/>
        </w:rPr>
        <w:t>ejn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 xml:space="preserve"> Pronaj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>matel, druhou smluvn</w:t>
      </w:r>
      <w:r w:rsidR="0005507E">
        <w:rPr>
          <w:rFonts w:ascii="Solpera" w:hAnsi="Solpera" w:cs="Solpera"/>
        </w:rPr>
        <w:t>í</w:t>
      </w:r>
      <w:r w:rsidR="0005507E">
        <w:rPr>
          <w:rFonts w:ascii="Solpera" w:hAnsi="Solpera" w:cs="Times New Roman"/>
        </w:rPr>
        <w:t xml:space="preserve"> stranu (N</w:t>
      </w:r>
      <w:r w:rsidR="0005507E">
        <w:rPr>
          <w:rFonts w:ascii="Solpera" w:hAnsi="Solpera" w:cs="Solpera"/>
        </w:rPr>
        <w:t>á</w:t>
      </w:r>
      <w:r w:rsidR="0005507E">
        <w:rPr>
          <w:rFonts w:ascii="Solpera" w:hAnsi="Solpera" w:cs="Times New Roman"/>
        </w:rPr>
        <w:t>jemce) bude o t</w:t>
      </w:r>
      <w:r w:rsidR="0005507E">
        <w:rPr>
          <w:rFonts w:ascii="Solpera" w:hAnsi="Solpera" w:cs="Solpera"/>
        </w:rPr>
        <w:t>é</w:t>
      </w:r>
      <w:r w:rsidR="0005507E">
        <w:rPr>
          <w:rFonts w:ascii="Solpera" w:hAnsi="Solpera" w:cs="Times New Roman"/>
        </w:rPr>
        <w:t>to skute</w:t>
      </w:r>
      <w:r w:rsidR="0005507E">
        <w:rPr>
          <w:rFonts w:ascii="Solpera" w:hAnsi="Solpera" w:cs="Solpera"/>
        </w:rPr>
        <w:t>č</w:t>
      </w:r>
      <w:r w:rsidR="0005507E">
        <w:rPr>
          <w:rFonts w:ascii="Solpera" w:hAnsi="Solpera" w:cs="Times New Roman"/>
        </w:rPr>
        <w:t>nosti neprodlen</w:t>
      </w:r>
      <w:r w:rsidR="0005507E">
        <w:rPr>
          <w:rFonts w:ascii="Solpera" w:hAnsi="Solpera" w:cs="Solpera"/>
        </w:rPr>
        <w:t>ě</w:t>
      </w:r>
      <w:r w:rsidR="0005507E">
        <w:rPr>
          <w:rFonts w:ascii="Solpera" w:hAnsi="Solpera" w:cs="Times New Roman"/>
        </w:rPr>
        <w:t xml:space="preserve"> informovat. 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Pokud v</w:t>
      </w:r>
      <w:r w:rsidR="003440F4"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t</w:t>
      </w:r>
      <w:r w:rsidR="003440F4">
        <w:rPr>
          <w:rFonts w:ascii="Solpera" w:hAnsi="Solpera" w:cs="Solpera"/>
        </w:rPr>
        <w:t xml:space="preserve">omto </w:t>
      </w:r>
      <w:r w:rsidR="00D860EF">
        <w:rPr>
          <w:rFonts w:ascii="Solpera" w:hAnsi="Solpera" w:cs="Solpera"/>
        </w:rPr>
        <w:t>D</w:t>
      </w:r>
      <w:r w:rsidR="003440F4">
        <w:rPr>
          <w:rFonts w:ascii="Solpera" w:hAnsi="Solpera" w:cs="Solpera"/>
        </w:rPr>
        <w:t>odatku</w:t>
      </w:r>
      <w:r>
        <w:rPr>
          <w:rFonts w:ascii="Solpera" w:hAnsi="Solpera" w:cs="Times New Roman"/>
        </w:rPr>
        <w:t xml:space="preserve"> nen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stanoveno jinak, </w:t>
      </w:r>
      <w:r>
        <w:rPr>
          <w:rFonts w:ascii="Solpera" w:hAnsi="Solpera" w:cs="Solpera"/>
        </w:rPr>
        <w:t>ří</w:t>
      </w:r>
      <w:r>
        <w:rPr>
          <w:rFonts w:ascii="Solpera" w:hAnsi="Solpera" w:cs="Times New Roman"/>
        </w:rPr>
        <w:t>d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se pr</w:t>
      </w:r>
      <w:r>
        <w:rPr>
          <w:rFonts w:ascii="Solpera" w:hAnsi="Solpera" w:cs="Solpera"/>
        </w:rPr>
        <w:t>á</w:t>
      </w:r>
      <w:r>
        <w:rPr>
          <w:rFonts w:ascii="Solpera" w:hAnsi="Solpera" w:cs="Times New Roman"/>
        </w:rPr>
        <w:t>vn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vztahy z</w:t>
      </w:r>
      <w:r>
        <w:rPr>
          <w:rFonts w:ascii="Calibri" w:hAnsi="Calibri" w:cs="Calibri"/>
        </w:rPr>
        <w:t> </w:t>
      </w:r>
      <w:r w:rsidR="00D860EF">
        <w:rPr>
          <w:rFonts w:ascii="Solpera" w:hAnsi="Solpera" w:cs="Times New Roman"/>
        </w:rPr>
        <w:t>něho</w:t>
      </w:r>
      <w:r>
        <w:rPr>
          <w:rFonts w:ascii="Solpera" w:hAnsi="Solpera" w:cs="Times New Roman"/>
        </w:rPr>
        <w:t xml:space="preserve"> vyplývající příslušnými ustanoveními zákona č. 89/2012 Sb., občanského zákoníku.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3440F4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Tento</w:t>
      </w:r>
      <w:r w:rsidR="0005507E">
        <w:rPr>
          <w:rFonts w:ascii="Solpera" w:hAnsi="Solpera" w:cs="Times New Roman"/>
        </w:rPr>
        <w:t xml:space="preserve"> </w:t>
      </w:r>
      <w:r w:rsidR="00D860EF">
        <w:rPr>
          <w:rFonts w:ascii="Solpera" w:hAnsi="Solpera" w:cs="Times New Roman"/>
        </w:rPr>
        <w:t>D</w:t>
      </w:r>
      <w:r>
        <w:rPr>
          <w:rFonts w:ascii="Solpera" w:hAnsi="Solpera" w:cs="Times New Roman"/>
        </w:rPr>
        <w:t>odatek</w:t>
      </w:r>
      <w:r w:rsidR="0005507E">
        <w:rPr>
          <w:rFonts w:ascii="Solpera" w:hAnsi="Solpera" w:cs="Times New Roman"/>
        </w:rPr>
        <w:t xml:space="preserve"> je vyhotoven ve dvou stejnopisech s platností originálu, z nichž každá ze Smluvních stran obdrží po jednom stejnopisu.</w:t>
      </w:r>
    </w:p>
    <w:p w:rsidR="0005507E" w:rsidRDefault="0005507E" w:rsidP="0005507E">
      <w:pPr>
        <w:spacing w:after="60"/>
        <w:jc w:val="both"/>
        <w:rPr>
          <w:rFonts w:ascii="Solpera" w:hAnsi="Solpera" w:cs="Times New Roman"/>
        </w:rPr>
      </w:pPr>
    </w:p>
    <w:p w:rsidR="0005507E" w:rsidRDefault="0005507E" w:rsidP="0005507E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 xml:space="preserve">Smluvní strany prohlašují, že se před podpisem s </w:t>
      </w:r>
      <w:r w:rsidR="00D860EF">
        <w:rPr>
          <w:rFonts w:ascii="Solpera" w:hAnsi="Solpera" w:cs="Times New Roman"/>
        </w:rPr>
        <w:t>D</w:t>
      </w:r>
      <w:r w:rsidR="003440F4">
        <w:rPr>
          <w:rFonts w:ascii="Solpera" w:hAnsi="Solpera" w:cs="Times New Roman"/>
        </w:rPr>
        <w:t>odatkem</w:t>
      </w:r>
      <w:r>
        <w:rPr>
          <w:rFonts w:ascii="Solpera" w:hAnsi="Solpera" w:cs="Times New Roman"/>
        </w:rPr>
        <w:t xml:space="preserve"> seznámily, </w:t>
      </w:r>
      <w:r w:rsidR="00D860EF">
        <w:rPr>
          <w:rFonts w:ascii="Solpera" w:hAnsi="Solpera" w:cs="Times New Roman"/>
        </w:rPr>
        <w:t>D</w:t>
      </w:r>
      <w:r w:rsidR="003440F4">
        <w:rPr>
          <w:rFonts w:ascii="Solpera" w:hAnsi="Solpera" w:cs="Times New Roman"/>
        </w:rPr>
        <w:t>odatek</w:t>
      </w:r>
      <w:r>
        <w:rPr>
          <w:rFonts w:ascii="Solpera" w:hAnsi="Solpera" w:cs="Times New Roman"/>
        </w:rPr>
        <w:t xml:space="preserve"> je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souladu s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jejich v</w:t>
      </w:r>
      <w:r>
        <w:rPr>
          <w:rFonts w:ascii="Solpera" w:hAnsi="Solpera" w:cs="Solpera"/>
        </w:rPr>
        <w:t>ů</w:t>
      </w:r>
      <w:r>
        <w:rPr>
          <w:rFonts w:ascii="Solpera" w:hAnsi="Solpera" w:cs="Times New Roman"/>
        </w:rPr>
        <w:t>l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a s</w:t>
      </w:r>
      <w:r>
        <w:rPr>
          <w:rFonts w:ascii="Calibri" w:hAnsi="Calibri" w:cs="Calibri"/>
        </w:rPr>
        <w:t> </w:t>
      </w:r>
      <w:r w:rsidR="00D860EF">
        <w:rPr>
          <w:rFonts w:ascii="Solpera" w:hAnsi="Solpera" w:cs="Times New Roman"/>
        </w:rPr>
        <w:t>obsahem D</w:t>
      </w:r>
      <w:r w:rsidR="003440F4">
        <w:rPr>
          <w:rFonts w:ascii="Solpera" w:hAnsi="Solpera" w:cs="Times New Roman"/>
        </w:rPr>
        <w:t>odatku</w:t>
      </w:r>
      <w:r>
        <w:rPr>
          <w:rFonts w:ascii="Solpera" w:hAnsi="Solpera" w:cs="Times New Roman"/>
        </w:rPr>
        <w:t xml:space="preserve"> souhlas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>.</w:t>
      </w:r>
    </w:p>
    <w:p w:rsidR="0005507E" w:rsidRPr="0004118A" w:rsidRDefault="0005507E" w:rsidP="0004118A">
      <w:pPr>
        <w:rPr>
          <w:rFonts w:ascii="Solpera" w:hAnsi="Solpera" w:cs="Times New Roman"/>
          <w:szCs w:val="20"/>
        </w:rPr>
      </w:pPr>
    </w:p>
    <w:p w:rsidR="009A6CA8" w:rsidRDefault="009A6CA8" w:rsidP="009A6CA8">
      <w:pPr>
        <w:jc w:val="both"/>
        <w:rPr>
          <w:rFonts w:ascii="Solpera" w:hAnsi="Solpera" w:cs="Times New Roman"/>
        </w:rPr>
      </w:pPr>
    </w:p>
    <w:p w:rsidR="009A6CA8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  <w:t xml:space="preserve">Českých Budějovicích dne </w:t>
      </w:r>
      <w:r w:rsidR="007E66BD">
        <w:rPr>
          <w:rFonts w:ascii="Solpera" w:hAnsi="Solpera" w:cs="Times New Roman"/>
        </w:rPr>
        <w:t>9. 2. 2023</w:t>
      </w:r>
      <w:r w:rsidR="007E66BD"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 xml:space="preserve"> </w:t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 xml:space="preserve">Českých Budějovicích dne </w:t>
      </w:r>
      <w:r w:rsidR="007E66BD">
        <w:rPr>
          <w:rFonts w:ascii="Solpera" w:hAnsi="Solpera" w:cs="Times New Roman"/>
        </w:rPr>
        <w:t>13. 2. 2023</w:t>
      </w:r>
    </w:p>
    <w:p w:rsidR="009A6CA8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Pronajímatel:</w:t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 xml:space="preserve"> Nájemce:</w:t>
      </w:r>
    </w:p>
    <w:p w:rsidR="0069509E" w:rsidRDefault="0069509E"/>
    <w:sectPr w:rsidR="0069509E" w:rsidSect="0069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lpera">
    <w:altName w:val="Times New Roman"/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214"/>
    <w:multiLevelType w:val="hybridMultilevel"/>
    <w:tmpl w:val="AE8E0CF2"/>
    <w:lvl w:ilvl="0" w:tplc="16BA332C">
      <w:start w:val="1"/>
      <w:numFmt w:val="decimal"/>
      <w:lvlText w:val="%1."/>
      <w:lvlJc w:val="left"/>
      <w:pPr>
        <w:ind w:left="720" w:hanging="360"/>
      </w:pPr>
      <w:rPr>
        <w:rFonts w:ascii="Solpera" w:eastAsiaTheme="minorHAnsi" w:hAnsi="Solpera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2B71"/>
    <w:multiLevelType w:val="multilevel"/>
    <w:tmpl w:val="1A5A6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47E25"/>
    <w:multiLevelType w:val="multilevel"/>
    <w:tmpl w:val="15F8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E524A"/>
    <w:multiLevelType w:val="hybridMultilevel"/>
    <w:tmpl w:val="16C007FE"/>
    <w:lvl w:ilvl="0" w:tplc="CBE0D7D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66A32"/>
    <w:multiLevelType w:val="hybridMultilevel"/>
    <w:tmpl w:val="E8CA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222AC"/>
    <w:multiLevelType w:val="hybridMultilevel"/>
    <w:tmpl w:val="8C5E7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E1147"/>
    <w:multiLevelType w:val="multilevel"/>
    <w:tmpl w:val="4998B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Solpera" w:eastAsiaTheme="minorHAnsi" w:hAnsi="Solper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8"/>
    <w:rsid w:val="00020803"/>
    <w:rsid w:val="0004118A"/>
    <w:rsid w:val="0005507E"/>
    <w:rsid w:val="001C46A3"/>
    <w:rsid w:val="001D33D7"/>
    <w:rsid w:val="003440F4"/>
    <w:rsid w:val="00352907"/>
    <w:rsid w:val="005313A8"/>
    <w:rsid w:val="00635FB9"/>
    <w:rsid w:val="0069509E"/>
    <w:rsid w:val="007E66BD"/>
    <w:rsid w:val="009A6CA8"/>
    <w:rsid w:val="009E4D22"/>
    <w:rsid w:val="00B242CE"/>
    <w:rsid w:val="00B255B2"/>
    <w:rsid w:val="00B53846"/>
    <w:rsid w:val="00C04B5F"/>
    <w:rsid w:val="00D860EF"/>
    <w:rsid w:val="00F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481C"/>
  <w15:docId w15:val="{DCDE7FE8-AFEF-4C83-A072-2564EBDE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C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6C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Taťka</dc:creator>
  <cp:keywords/>
  <dc:description/>
  <cp:lastModifiedBy>Marek Budějcký</cp:lastModifiedBy>
  <cp:revision>2</cp:revision>
  <cp:lastPrinted>2023-02-09T09:34:00Z</cp:lastPrinted>
  <dcterms:created xsi:type="dcterms:W3CDTF">2023-02-13T15:04:00Z</dcterms:created>
  <dcterms:modified xsi:type="dcterms:W3CDTF">2023-02-13T15:04:00Z</dcterms:modified>
</cp:coreProperties>
</file>