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37A4CC8E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FD5660">
        <w:rPr>
          <w:rFonts w:ascii="Arial" w:hAnsi="Arial" w:cs="Arial"/>
        </w:rPr>
        <w:t>5890</w:t>
      </w:r>
      <w:bookmarkStart w:id="0" w:name="_GoBack"/>
      <w:bookmarkEnd w:id="0"/>
      <w:r w:rsidR="00FD5660">
        <w:rPr>
          <w:rFonts w:ascii="Arial" w:hAnsi="Arial" w:cs="Arial"/>
        </w:rPr>
        <w:t>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2E7FE0D5" w14:textId="77777777" w:rsidR="0005324E" w:rsidRPr="0000225C" w:rsidRDefault="0005324E" w:rsidP="0005324E">
      <w:pPr>
        <w:ind w:left="2126" w:hanging="2126"/>
        <w:rPr>
          <w:rFonts w:ascii="Arial" w:hAnsi="Arial" w:cs="Arial"/>
          <w:b/>
        </w:rPr>
      </w:pPr>
      <w:proofErr w:type="spellStart"/>
      <w:r w:rsidRPr="0000225C">
        <w:rPr>
          <w:rFonts w:ascii="Arial" w:hAnsi="Arial" w:cs="Arial"/>
          <w:b/>
        </w:rPr>
        <w:t>TyfloCentrum</w:t>
      </w:r>
      <w:proofErr w:type="spellEnd"/>
      <w:r w:rsidRPr="0000225C">
        <w:rPr>
          <w:rFonts w:ascii="Arial" w:hAnsi="Arial" w:cs="Arial"/>
          <w:b/>
        </w:rPr>
        <w:t xml:space="preserve"> Plzeň, o.p.s.</w:t>
      </w:r>
    </w:p>
    <w:p w14:paraId="7AE11ED9" w14:textId="77777777" w:rsidR="0005324E" w:rsidRPr="0000225C" w:rsidRDefault="0005324E" w:rsidP="0005324E">
      <w:pPr>
        <w:ind w:left="3261" w:hanging="3261"/>
        <w:rPr>
          <w:rFonts w:ascii="Arial" w:hAnsi="Arial" w:cs="Arial"/>
        </w:rPr>
      </w:pPr>
      <w:r w:rsidRPr="0000225C">
        <w:rPr>
          <w:rFonts w:ascii="Arial" w:hAnsi="Arial" w:cs="Arial"/>
        </w:rPr>
        <w:t>Síd</w:t>
      </w:r>
      <w:r>
        <w:rPr>
          <w:rFonts w:ascii="Arial" w:hAnsi="Arial" w:cs="Arial"/>
        </w:rPr>
        <w:t>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Tomanova 2645/5, Jižní Předměstí, 301 00  Plzeň </w:t>
      </w:r>
    </w:p>
    <w:p w14:paraId="29695203" w14:textId="77777777" w:rsidR="0005324E" w:rsidRPr="0000225C" w:rsidRDefault="0005324E" w:rsidP="0005324E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0225C">
        <w:rPr>
          <w:rFonts w:ascii="Arial" w:hAnsi="Arial" w:cs="Arial"/>
        </w:rPr>
        <w:t xml:space="preserve">Osoba oprávněná k podpisu: </w:t>
      </w:r>
      <w:r>
        <w:rPr>
          <w:rFonts w:ascii="Arial" w:hAnsi="Arial" w:cs="Arial"/>
        </w:rPr>
        <w:t xml:space="preserve"> </w:t>
      </w:r>
      <w:r w:rsidRPr="0000225C">
        <w:rPr>
          <w:rFonts w:ascii="Arial" w:hAnsi="Arial" w:cs="Arial"/>
        </w:rPr>
        <w:t xml:space="preserve"> Mgr. Hana Dostálová, ředitel</w:t>
      </w:r>
    </w:p>
    <w:p w14:paraId="487BF536" w14:textId="77777777" w:rsidR="0005324E" w:rsidRPr="0000225C" w:rsidRDefault="0005324E" w:rsidP="0005324E">
      <w:pPr>
        <w:tabs>
          <w:tab w:val="left" w:pos="3261"/>
        </w:tabs>
        <w:ind w:left="2126" w:hanging="2126"/>
        <w:rPr>
          <w:rFonts w:ascii="Arial" w:hAnsi="Arial" w:cs="Arial"/>
        </w:rPr>
      </w:pPr>
      <w:r w:rsidRPr="0000225C">
        <w:rPr>
          <w:rFonts w:ascii="Arial" w:hAnsi="Arial" w:cs="Arial"/>
        </w:rPr>
        <w:t>IČO:</w:t>
      </w:r>
      <w:r w:rsidRPr="0000225C">
        <w:rPr>
          <w:rFonts w:ascii="Arial" w:hAnsi="Arial" w:cs="Arial"/>
        </w:rPr>
        <w:tab/>
        <w:t xml:space="preserve">                 </w:t>
      </w:r>
      <w:r w:rsidRPr="0000225C">
        <w:rPr>
          <w:rFonts w:ascii="Arial" w:hAnsi="Arial" w:cs="Arial"/>
        </w:rPr>
        <w:tab/>
      </w:r>
      <w:r w:rsidRPr="0000225C">
        <w:rPr>
          <w:rFonts w:ascii="Arial" w:hAnsi="Arial" w:cs="Arial"/>
        </w:rPr>
        <w:tab/>
        <w:t>25248421</w:t>
      </w:r>
    </w:p>
    <w:p w14:paraId="567AF454" w14:textId="77777777" w:rsidR="0005324E" w:rsidRPr="00DF4791" w:rsidRDefault="0005324E" w:rsidP="0005324E">
      <w:pPr>
        <w:jc w:val="both"/>
        <w:rPr>
          <w:rFonts w:ascii="Arial" w:hAnsi="Arial" w:cs="Arial"/>
        </w:rPr>
      </w:pPr>
      <w:r w:rsidRPr="0000225C">
        <w:rPr>
          <w:rFonts w:ascii="Arial" w:hAnsi="Arial" w:cs="Arial"/>
        </w:rPr>
        <w:t>Zapsán v rejstříku</w:t>
      </w:r>
      <w:r>
        <w:rPr>
          <w:rFonts w:ascii="Arial" w:hAnsi="Arial" w:cs="Arial"/>
        </w:rPr>
        <w:t xml:space="preserve"> obecně prospěšných společností</w:t>
      </w:r>
      <w:r w:rsidRPr="0000225C">
        <w:rPr>
          <w:rFonts w:ascii="Arial" w:hAnsi="Arial" w:cs="Arial"/>
        </w:rPr>
        <w:t xml:space="preserve"> vedeném Krajským soudem v Plzni oddíl O, vložka 41.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30F0742A" w14:textId="568C7EDD" w:rsidR="00BC3F6B" w:rsidRDefault="00BC3F6B" w:rsidP="00440E82">
      <w:pPr>
        <w:jc w:val="both"/>
        <w:rPr>
          <w:rFonts w:ascii="Arial" w:hAnsi="Arial" w:cs="Arial"/>
        </w:rPr>
      </w:pPr>
    </w:p>
    <w:p w14:paraId="66EBC4A4" w14:textId="77777777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231B019A" w:rsidR="00C9133D" w:rsidRDefault="00C9133D" w:rsidP="00440E82">
      <w:pPr>
        <w:pStyle w:val="text"/>
      </w:pPr>
    </w:p>
    <w:p w14:paraId="5E1941CB" w14:textId="77777777" w:rsidR="00E3766A" w:rsidRDefault="00E3766A" w:rsidP="00440E82">
      <w:pPr>
        <w:pStyle w:val="text"/>
      </w:pPr>
    </w:p>
    <w:p w14:paraId="1169D0BE" w14:textId="77777777" w:rsidR="0005324E" w:rsidRPr="007D3A17" w:rsidRDefault="0005324E" w:rsidP="0005324E">
      <w:pPr>
        <w:pStyle w:val="text"/>
        <w:numPr>
          <w:ilvl w:val="1"/>
          <w:numId w:val="2"/>
        </w:numPr>
      </w:pPr>
      <w:r w:rsidRPr="007D3A17">
        <w:rPr>
          <w:b/>
          <w:u w:val="single"/>
        </w:rPr>
        <w:t>Odborné sociální poradenství</w:t>
      </w:r>
      <w:r w:rsidRPr="007D3A17">
        <w:rPr>
          <w:b/>
        </w:rPr>
        <w:t xml:space="preserve"> </w:t>
      </w:r>
      <w:r w:rsidRPr="007D3A17">
        <w:t>v tomto rozsahu:</w:t>
      </w:r>
    </w:p>
    <w:p w14:paraId="2379C8F0" w14:textId="77777777" w:rsidR="0005324E" w:rsidRPr="007D3A17" w:rsidRDefault="0005324E" w:rsidP="0005324E">
      <w:pPr>
        <w:pStyle w:val="text"/>
        <w:ind w:left="792"/>
        <w:rPr>
          <w:b/>
          <w:i/>
        </w:rPr>
      </w:pPr>
    </w:p>
    <w:p w14:paraId="121E76B5" w14:textId="77777777" w:rsidR="0005324E" w:rsidRPr="007D3A17" w:rsidRDefault="0005324E" w:rsidP="0005324E">
      <w:pPr>
        <w:pStyle w:val="text"/>
        <w:numPr>
          <w:ilvl w:val="2"/>
          <w:numId w:val="2"/>
        </w:numPr>
        <w:ind w:left="1355"/>
      </w:pPr>
      <w:r w:rsidRPr="007D3A17">
        <w:t xml:space="preserve"> Forma poskytování služby: </w:t>
      </w:r>
      <w:r w:rsidRPr="007D3A17">
        <w:rPr>
          <w:b/>
        </w:rPr>
        <w:t>ambulantní a terénní</w:t>
      </w:r>
    </w:p>
    <w:p w14:paraId="35BCB73A" w14:textId="77777777" w:rsidR="0005324E" w:rsidRPr="007D3A17" w:rsidRDefault="0005324E" w:rsidP="0005324E">
      <w:pPr>
        <w:pStyle w:val="text"/>
        <w:ind w:left="1224"/>
      </w:pPr>
    </w:p>
    <w:p w14:paraId="23CDEBC3" w14:textId="77777777" w:rsidR="0005324E" w:rsidRPr="007D3A17" w:rsidRDefault="0005324E" w:rsidP="0005324E">
      <w:pPr>
        <w:pStyle w:val="text"/>
        <w:numPr>
          <w:ilvl w:val="2"/>
          <w:numId w:val="2"/>
        </w:numPr>
        <w:ind w:left="1355"/>
      </w:pPr>
      <w:r w:rsidRPr="007D3A17">
        <w:t xml:space="preserve"> Identifikátor služby: </w:t>
      </w:r>
      <w:r w:rsidRPr="007D3A17">
        <w:rPr>
          <w:b/>
        </w:rPr>
        <w:t>2924476</w:t>
      </w:r>
    </w:p>
    <w:p w14:paraId="2DDA5A74" w14:textId="77777777" w:rsidR="0005324E" w:rsidRPr="007D3A17" w:rsidRDefault="0005324E" w:rsidP="0005324E">
      <w:pPr>
        <w:pStyle w:val="text"/>
      </w:pPr>
    </w:p>
    <w:p w14:paraId="2CCCD9FA" w14:textId="77777777" w:rsidR="0005324E" w:rsidRPr="007D3A17" w:rsidRDefault="0005324E" w:rsidP="0005324E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7D3A17">
        <w:t xml:space="preserve"> Územní působnost služby: </w:t>
      </w:r>
      <w:r w:rsidRPr="007D3A17">
        <w:rPr>
          <w:b/>
        </w:rPr>
        <w:t>Plzeňský kraj</w:t>
      </w:r>
    </w:p>
    <w:p w14:paraId="49D30A63" w14:textId="77777777" w:rsidR="0005324E" w:rsidRPr="00830CB6" w:rsidRDefault="0005324E" w:rsidP="0005324E">
      <w:pPr>
        <w:pStyle w:val="text"/>
        <w:numPr>
          <w:ilvl w:val="0"/>
          <w:numId w:val="35"/>
        </w:numPr>
      </w:pPr>
      <w:r w:rsidRPr="00830CB6">
        <w:rPr>
          <w:b/>
        </w:rPr>
        <w:t xml:space="preserve">dle údajů uvedených v registru poskytovatelů sociálních služeb </w:t>
      </w:r>
      <w:r w:rsidRPr="00830CB6">
        <w:rPr>
          <w:b/>
        </w:rPr>
        <w:br/>
        <w:t>a ve střednědobém plánu rozvoje sociálních služeb Plzeňského kraje v platném znění</w:t>
      </w:r>
    </w:p>
    <w:p w14:paraId="40424524" w14:textId="77777777" w:rsidR="0005324E" w:rsidRPr="00830CB6" w:rsidRDefault="0005324E" w:rsidP="0005324E">
      <w:pPr>
        <w:pStyle w:val="text"/>
        <w:ind w:left="1650"/>
      </w:pPr>
    </w:p>
    <w:p w14:paraId="4963535D" w14:textId="77777777" w:rsidR="0005324E" w:rsidRPr="00830CB6" w:rsidRDefault="0005324E" w:rsidP="0005324E">
      <w:pPr>
        <w:pStyle w:val="text"/>
        <w:numPr>
          <w:ilvl w:val="2"/>
          <w:numId w:val="2"/>
        </w:numPr>
        <w:ind w:left="1355"/>
        <w:rPr>
          <w:b/>
        </w:rPr>
      </w:pPr>
      <w:r w:rsidRPr="00830CB6">
        <w:t xml:space="preserve"> Kapacita služby: </w:t>
      </w:r>
      <w:r w:rsidRPr="00830CB6">
        <w:rPr>
          <w:b/>
        </w:rPr>
        <w:t>Okamžitá</w:t>
      </w:r>
    </w:p>
    <w:p w14:paraId="0281F619" w14:textId="77777777" w:rsidR="0005324E" w:rsidRPr="00830CB6" w:rsidRDefault="0005324E" w:rsidP="0005324E">
      <w:pPr>
        <w:pStyle w:val="text"/>
        <w:ind w:left="930" w:firstLine="204"/>
        <w:rPr>
          <w:b/>
        </w:rPr>
      </w:pPr>
      <w:r w:rsidRPr="00830CB6">
        <w:rPr>
          <w:b/>
        </w:rPr>
        <w:t xml:space="preserve">      Ambulantní forma – 1 klient</w:t>
      </w:r>
    </w:p>
    <w:p w14:paraId="4ECAD25B" w14:textId="77777777" w:rsidR="0005324E" w:rsidRPr="00830CB6" w:rsidRDefault="0005324E" w:rsidP="0005324E">
      <w:pPr>
        <w:pStyle w:val="text"/>
        <w:ind w:left="930" w:firstLine="204"/>
        <w:rPr>
          <w:b/>
        </w:rPr>
      </w:pPr>
      <w:r w:rsidRPr="00830CB6">
        <w:rPr>
          <w:b/>
        </w:rPr>
        <w:t xml:space="preserve">      Terénní forma – 1 klient</w:t>
      </w:r>
    </w:p>
    <w:p w14:paraId="55F4CC85" w14:textId="77777777" w:rsidR="0005324E" w:rsidRPr="00830CB6" w:rsidRDefault="0005324E" w:rsidP="0005324E">
      <w:pPr>
        <w:pStyle w:val="Odstavecseseznamem"/>
        <w:rPr>
          <w:rFonts w:ascii="Arial" w:hAnsi="Arial" w:cs="Arial"/>
        </w:rPr>
      </w:pPr>
    </w:p>
    <w:p w14:paraId="2B56E488" w14:textId="77777777" w:rsidR="0005324E" w:rsidRPr="00830CB6" w:rsidRDefault="0005324E" w:rsidP="0005324E">
      <w:pPr>
        <w:pStyle w:val="text"/>
        <w:numPr>
          <w:ilvl w:val="2"/>
          <w:numId w:val="2"/>
        </w:numPr>
        <w:tabs>
          <w:tab w:val="clear" w:pos="539"/>
        </w:tabs>
        <w:ind w:left="1276" w:hanging="425"/>
        <w:rPr>
          <w:b/>
          <w:i/>
        </w:rPr>
      </w:pPr>
      <w:r w:rsidRPr="00830CB6">
        <w:t xml:space="preserve"> Personální zajištění služby: </w:t>
      </w:r>
    </w:p>
    <w:p w14:paraId="3F8A038F" w14:textId="77777777" w:rsidR="0005324E" w:rsidRPr="00830CB6" w:rsidRDefault="0005324E" w:rsidP="0005324E">
      <w:pPr>
        <w:pStyle w:val="text"/>
        <w:ind w:left="930"/>
        <w:rPr>
          <w:b/>
        </w:rPr>
      </w:pPr>
      <w:r w:rsidRPr="00830CB6">
        <w:rPr>
          <w:b/>
        </w:rPr>
        <w:t xml:space="preserve">          Počet úvazků – 1,05 </w:t>
      </w:r>
    </w:p>
    <w:p w14:paraId="2CB749BC" w14:textId="77777777" w:rsidR="0005324E" w:rsidRPr="00830CB6" w:rsidRDefault="0005324E" w:rsidP="0005324E">
      <w:pPr>
        <w:pStyle w:val="text"/>
        <w:rPr>
          <w:b/>
        </w:rPr>
      </w:pPr>
      <w:r w:rsidRPr="00830CB6">
        <w:rPr>
          <w:b/>
        </w:rPr>
        <w:t xml:space="preserve">      </w:t>
      </w:r>
    </w:p>
    <w:p w14:paraId="0E948166" w14:textId="77777777" w:rsidR="0005324E" w:rsidRPr="00830CB6" w:rsidRDefault="0005324E" w:rsidP="0005324E">
      <w:pPr>
        <w:pStyle w:val="text"/>
        <w:rPr>
          <w:b/>
        </w:rPr>
      </w:pPr>
    </w:p>
    <w:p w14:paraId="7234E032" w14:textId="77777777" w:rsidR="0005324E" w:rsidRPr="00830CB6" w:rsidRDefault="0005324E" w:rsidP="0005324E">
      <w:pPr>
        <w:pStyle w:val="text"/>
        <w:tabs>
          <w:tab w:val="clear" w:pos="539"/>
        </w:tabs>
        <w:ind w:left="426"/>
      </w:pPr>
      <w:r w:rsidRPr="00830CB6">
        <w:rPr>
          <w:b/>
        </w:rPr>
        <w:t xml:space="preserve"> </w:t>
      </w:r>
    </w:p>
    <w:p w14:paraId="7189DC91" w14:textId="77777777" w:rsidR="0005324E" w:rsidRPr="00830CB6" w:rsidRDefault="0005324E" w:rsidP="0005324E">
      <w:pPr>
        <w:pStyle w:val="text"/>
        <w:numPr>
          <w:ilvl w:val="1"/>
          <w:numId w:val="2"/>
        </w:numPr>
      </w:pPr>
      <w:r w:rsidRPr="00830CB6">
        <w:t xml:space="preserve"> </w:t>
      </w:r>
      <w:r w:rsidRPr="00830CB6">
        <w:rPr>
          <w:b/>
          <w:u w:val="single"/>
        </w:rPr>
        <w:t>Sociálně aktivizační služby pro seniory a osoby se zdravotním postižením</w:t>
      </w:r>
      <w:r w:rsidRPr="00830CB6">
        <w:rPr>
          <w:b/>
        </w:rPr>
        <w:t xml:space="preserve"> </w:t>
      </w:r>
      <w:r w:rsidRPr="00830CB6">
        <w:t>v tomto rozsahu:</w:t>
      </w:r>
    </w:p>
    <w:p w14:paraId="50DF9100" w14:textId="77777777" w:rsidR="0005324E" w:rsidRPr="00830CB6" w:rsidRDefault="0005324E" w:rsidP="0005324E">
      <w:pPr>
        <w:pStyle w:val="text"/>
        <w:ind w:left="792"/>
        <w:rPr>
          <w:b/>
          <w:i/>
        </w:rPr>
      </w:pPr>
    </w:p>
    <w:p w14:paraId="2BCA7D40" w14:textId="77777777" w:rsidR="0005324E" w:rsidRPr="00830CB6" w:rsidRDefault="0005324E" w:rsidP="0005324E">
      <w:pPr>
        <w:pStyle w:val="text"/>
        <w:numPr>
          <w:ilvl w:val="2"/>
          <w:numId w:val="2"/>
        </w:numPr>
        <w:ind w:left="1355"/>
      </w:pPr>
      <w:r w:rsidRPr="00830CB6">
        <w:t xml:space="preserve"> Forma poskytování služby: </w:t>
      </w:r>
      <w:r w:rsidRPr="00830CB6">
        <w:rPr>
          <w:b/>
        </w:rPr>
        <w:t>ambulantní a terénní</w:t>
      </w:r>
    </w:p>
    <w:p w14:paraId="1233C856" w14:textId="77777777" w:rsidR="0005324E" w:rsidRPr="00830CB6" w:rsidRDefault="0005324E" w:rsidP="0005324E">
      <w:pPr>
        <w:pStyle w:val="text"/>
        <w:ind w:left="1224"/>
      </w:pPr>
    </w:p>
    <w:p w14:paraId="679934AD" w14:textId="77777777" w:rsidR="0005324E" w:rsidRPr="00830CB6" w:rsidRDefault="0005324E" w:rsidP="0005324E">
      <w:pPr>
        <w:pStyle w:val="text"/>
        <w:numPr>
          <w:ilvl w:val="2"/>
          <w:numId w:val="2"/>
        </w:numPr>
        <w:ind w:left="1355"/>
      </w:pPr>
      <w:r w:rsidRPr="00830CB6">
        <w:t xml:space="preserve"> Identifikátor služby: </w:t>
      </w:r>
      <w:r w:rsidRPr="00830CB6">
        <w:rPr>
          <w:b/>
        </w:rPr>
        <w:t>6879981</w:t>
      </w:r>
    </w:p>
    <w:p w14:paraId="7B86BBD8" w14:textId="77777777" w:rsidR="0005324E" w:rsidRPr="00830CB6" w:rsidRDefault="0005324E" w:rsidP="0005324E">
      <w:pPr>
        <w:pStyle w:val="text"/>
      </w:pPr>
    </w:p>
    <w:p w14:paraId="7AE135FE" w14:textId="77777777" w:rsidR="0005324E" w:rsidRPr="00830CB6" w:rsidRDefault="0005324E" w:rsidP="0005324E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830CB6">
        <w:t xml:space="preserve"> Územní působnost služby: </w:t>
      </w:r>
      <w:r w:rsidRPr="00830CB6">
        <w:rPr>
          <w:b/>
        </w:rPr>
        <w:t>Plzeňský kraj</w:t>
      </w:r>
    </w:p>
    <w:p w14:paraId="2CE13A1A" w14:textId="77777777" w:rsidR="0005324E" w:rsidRPr="00830CB6" w:rsidRDefault="0005324E" w:rsidP="0005324E">
      <w:pPr>
        <w:pStyle w:val="text"/>
        <w:numPr>
          <w:ilvl w:val="0"/>
          <w:numId w:val="35"/>
        </w:numPr>
        <w:rPr>
          <w:b/>
        </w:rPr>
      </w:pPr>
      <w:r w:rsidRPr="00830CB6">
        <w:rPr>
          <w:b/>
        </w:rPr>
        <w:t xml:space="preserve">dle údajů uvedených v registru poskytovatelů sociálních služeb </w:t>
      </w:r>
      <w:r w:rsidRPr="00830CB6">
        <w:rPr>
          <w:b/>
        </w:rPr>
        <w:br/>
        <w:t>a ve střednědobém plánu rozvoje sociálních služeb Plzeňského kraje v platném znění</w:t>
      </w:r>
    </w:p>
    <w:p w14:paraId="577EAF6A" w14:textId="77777777" w:rsidR="0005324E" w:rsidRPr="00830CB6" w:rsidRDefault="0005324E" w:rsidP="0005324E">
      <w:pPr>
        <w:pStyle w:val="text"/>
        <w:ind w:left="1224"/>
      </w:pPr>
    </w:p>
    <w:p w14:paraId="321C69A6" w14:textId="77777777" w:rsidR="0005324E" w:rsidRPr="00830CB6" w:rsidRDefault="0005324E" w:rsidP="0005324E">
      <w:pPr>
        <w:pStyle w:val="text"/>
        <w:numPr>
          <w:ilvl w:val="2"/>
          <w:numId w:val="2"/>
        </w:numPr>
        <w:ind w:left="1355"/>
        <w:rPr>
          <w:b/>
        </w:rPr>
      </w:pPr>
      <w:r w:rsidRPr="00830CB6">
        <w:t xml:space="preserve"> Kapacita služby: </w:t>
      </w:r>
      <w:r w:rsidRPr="00830CB6">
        <w:rPr>
          <w:b/>
        </w:rPr>
        <w:t>Okamžitá</w:t>
      </w:r>
    </w:p>
    <w:p w14:paraId="070DCD9D" w14:textId="77777777" w:rsidR="0005324E" w:rsidRPr="00830CB6" w:rsidRDefault="0005324E" w:rsidP="0005324E">
      <w:pPr>
        <w:pStyle w:val="text"/>
        <w:ind w:left="930" w:firstLine="204"/>
        <w:rPr>
          <w:b/>
        </w:rPr>
      </w:pPr>
      <w:r w:rsidRPr="00830CB6">
        <w:rPr>
          <w:b/>
        </w:rPr>
        <w:t xml:space="preserve">      Ambulantní forma – 35 klientů</w:t>
      </w:r>
    </w:p>
    <w:p w14:paraId="3795BE60" w14:textId="77777777" w:rsidR="0005324E" w:rsidRPr="00830CB6" w:rsidRDefault="0005324E" w:rsidP="0005324E">
      <w:pPr>
        <w:pStyle w:val="text"/>
        <w:ind w:left="930" w:firstLine="204"/>
        <w:rPr>
          <w:b/>
        </w:rPr>
      </w:pPr>
      <w:r w:rsidRPr="00830CB6">
        <w:rPr>
          <w:b/>
        </w:rPr>
        <w:t xml:space="preserve">      Terénní forma – 45 klientů</w:t>
      </w:r>
    </w:p>
    <w:p w14:paraId="06B54783" w14:textId="77777777" w:rsidR="0005324E" w:rsidRPr="00830CB6" w:rsidRDefault="0005324E" w:rsidP="0005324E">
      <w:pPr>
        <w:pStyle w:val="Odstavecseseznamem"/>
        <w:rPr>
          <w:rFonts w:ascii="Arial" w:hAnsi="Arial" w:cs="Arial"/>
        </w:rPr>
      </w:pPr>
    </w:p>
    <w:p w14:paraId="73852FDF" w14:textId="77777777" w:rsidR="0005324E" w:rsidRPr="00830CB6" w:rsidRDefault="0005324E" w:rsidP="0005324E">
      <w:pPr>
        <w:pStyle w:val="text"/>
        <w:numPr>
          <w:ilvl w:val="2"/>
          <w:numId w:val="2"/>
        </w:numPr>
        <w:ind w:left="1276" w:hanging="425"/>
        <w:rPr>
          <w:b/>
          <w:i/>
        </w:rPr>
      </w:pPr>
      <w:r w:rsidRPr="00830CB6">
        <w:t xml:space="preserve"> Personální zajištění služby: </w:t>
      </w:r>
    </w:p>
    <w:p w14:paraId="578A828F" w14:textId="77777777" w:rsidR="0005324E" w:rsidRPr="00830CB6" w:rsidRDefault="0005324E" w:rsidP="0005324E">
      <w:pPr>
        <w:pStyle w:val="text"/>
        <w:ind w:firstLine="1134"/>
        <w:rPr>
          <w:b/>
        </w:rPr>
      </w:pPr>
      <w:r w:rsidRPr="00830CB6">
        <w:rPr>
          <w:b/>
        </w:rPr>
        <w:t xml:space="preserve">       Počet úvazků – 4,02</w:t>
      </w:r>
    </w:p>
    <w:p w14:paraId="77BF8E39" w14:textId="77777777" w:rsidR="0005324E" w:rsidRPr="00D847D2" w:rsidRDefault="0005324E" w:rsidP="0005324E">
      <w:pPr>
        <w:pStyle w:val="text"/>
        <w:rPr>
          <w:highlight w:val="yellow"/>
        </w:rPr>
      </w:pPr>
    </w:p>
    <w:p w14:paraId="0AC01E97" w14:textId="77777777" w:rsidR="0005324E" w:rsidRPr="00D847D2" w:rsidRDefault="0005324E" w:rsidP="0005324E">
      <w:pPr>
        <w:pStyle w:val="text"/>
        <w:rPr>
          <w:highlight w:val="yellow"/>
        </w:rPr>
      </w:pPr>
    </w:p>
    <w:p w14:paraId="07624054" w14:textId="77777777" w:rsidR="0005324E" w:rsidRPr="00D847D2" w:rsidRDefault="0005324E" w:rsidP="0005324E">
      <w:pPr>
        <w:pStyle w:val="text"/>
        <w:rPr>
          <w:highlight w:val="yellow"/>
        </w:rPr>
      </w:pPr>
    </w:p>
    <w:p w14:paraId="5F4A9634" w14:textId="77777777" w:rsidR="0005324E" w:rsidRPr="00D847D2" w:rsidRDefault="0005324E" w:rsidP="0005324E">
      <w:pPr>
        <w:pStyle w:val="text"/>
        <w:rPr>
          <w:highlight w:val="yellow"/>
        </w:rPr>
      </w:pPr>
    </w:p>
    <w:p w14:paraId="4B7131DD" w14:textId="77777777" w:rsidR="0005324E" w:rsidRPr="00D847D2" w:rsidRDefault="0005324E" w:rsidP="0005324E">
      <w:pPr>
        <w:pStyle w:val="text"/>
        <w:rPr>
          <w:highlight w:val="yellow"/>
        </w:rPr>
      </w:pPr>
    </w:p>
    <w:p w14:paraId="5092D77B" w14:textId="77777777" w:rsidR="0005324E" w:rsidRPr="00830CB6" w:rsidRDefault="0005324E" w:rsidP="0005324E">
      <w:pPr>
        <w:pStyle w:val="text"/>
        <w:numPr>
          <w:ilvl w:val="1"/>
          <w:numId w:val="2"/>
        </w:numPr>
      </w:pPr>
      <w:r w:rsidRPr="00830CB6">
        <w:rPr>
          <w:b/>
          <w:u w:val="single"/>
        </w:rPr>
        <w:t>Průvodcovské a předčitatelské služby</w:t>
      </w:r>
      <w:r w:rsidRPr="00830CB6">
        <w:rPr>
          <w:b/>
        </w:rPr>
        <w:t xml:space="preserve"> </w:t>
      </w:r>
      <w:r w:rsidRPr="00830CB6">
        <w:t>v tomto rozsahu:</w:t>
      </w:r>
    </w:p>
    <w:p w14:paraId="2C616E9D" w14:textId="77777777" w:rsidR="0005324E" w:rsidRPr="00830CB6" w:rsidRDefault="0005324E" w:rsidP="0005324E">
      <w:pPr>
        <w:pStyle w:val="text"/>
        <w:ind w:left="792"/>
        <w:rPr>
          <w:b/>
          <w:i/>
        </w:rPr>
      </w:pPr>
    </w:p>
    <w:p w14:paraId="30DD4A36" w14:textId="77777777" w:rsidR="0005324E" w:rsidRPr="00830CB6" w:rsidRDefault="0005324E" w:rsidP="0005324E">
      <w:pPr>
        <w:pStyle w:val="text"/>
        <w:numPr>
          <w:ilvl w:val="2"/>
          <w:numId w:val="2"/>
        </w:numPr>
        <w:ind w:left="1355"/>
      </w:pPr>
      <w:r w:rsidRPr="00830CB6">
        <w:t xml:space="preserve"> Forma poskytování služby: </w:t>
      </w:r>
      <w:r w:rsidRPr="00830CB6">
        <w:rPr>
          <w:b/>
        </w:rPr>
        <w:t>ambulantní a terénní</w:t>
      </w:r>
    </w:p>
    <w:p w14:paraId="3474D6E7" w14:textId="77777777" w:rsidR="0005324E" w:rsidRPr="00830CB6" w:rsidRDefault="0005324E" w:rsidP="0005324E">
      <w:pPr>
        <w:pStyle w:val="text"/>
        <w:ind w:left="1224"/>
      </w:pPr>
    </w:p>
    <w:p w14:paraId="01653B3B" w14:textId="77777777" w:rsidR="0005324E" w:rsidRPr="00830CB6" w:rsidRDefault="0005324E" w:rsidP="0005324E">
      <w:pPr>
        <w:pStyle w:val="text"/>
        <w:numPr>
          <w:ilvl w:val="2"/>
          <w:numId w:val="2"/>
        </w:numPr>
        <w:ind w:left="1355"/>
      </w:pPr>
      <w:r w:rsidRPr="00830CB6">
        <w:t xml:space="preserve"> Identifikátor služby: </w:t>
      </w:r>
      <w:r w:rsidRPr="00830CB6">
        <w:rPr>
          <w:b/>
        </w:rPr>
        <w:t>8062819</w:t>
      </w:r>
    </w:p>
    <w:p w14:paraId="239DFBB6" w14:textId="77777777" w:rsidR="0005324E" w:rsidRPr="00830CB6" w:rsidRDefault="0005324E" w:rsidP="0005324E">
      <w:pPr>
        <w:pStyle w:val="text"/>
      </w:pPr>
    </w:p>
    <w:p w14:paraId="7ECE2E36" w14:textId="77777777" w:rsidR="0005324E" w:rsidRPr="00830CB6" w:rsidRDefault="0005324E" w:rsidP="0005324E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830CB6">
        <w:t xml:space="preserve"> Územní působnost služby: </w:t>
      </w:r>
      <w:r w:rsidRPr="00830CB6">
        <w:rPr>
          <w:b/>
        </w:rPr>
        <w:t>Plzeňský kraj</w:t>
      </w:r>
    </w:p>
    <w:p w14:paraId="46CFC2B1" w14:textId="77777777" w:rsidR="0005324E" w:rsidRPr="00830CB6" w:rsidRDefault="0005324E" w:rsidP="0005324E">
      <w:pPr>
        <w:pStyle w:val="text"/>
        <w:numPr>
          <w:ilvl w:val="0"/>
          <w:numId w:val="35"/>
        </w:numPr>
        <w:rPr>
          <w:b/>
        </w:rPr>
      </w:pPr>
      <w:r w:rsidRPr="00830CB6">
        <w:rPr>
          <w:b/>
        </w:rPr>
        <w:t xml:space="preserve">dle údajů uvedených v registru poskytovatelů sociálních služeb </w:t>
      </w:r>
      <w:r w:rsidRPr="00830CB6">
        <w:rPr>
          <w:b/>
        </w:rPr>
        <w:br/>
        <w:t>a ve střednědobém plánu rozvoje sociálních služeb Plzeňského kraje v platném znění</w:t>
      </w:r>
    </w:p>
    <w:p w14:paraId="2B6CE648" w14:textId="77777777" w:rsidR="0005324E" w:rsidRPr="00830CB6" w:rsidRDefault="0005324E" w:rsidP="0005324E">
      <w:pPr>
        <w:pStyle w:val="text"/>
        <w:ind w:left="1224"/>
      </w:pPr>
    </w:p>
    <w:p w14:paraId="0BCB13CD" w14:textId="77777777" w:rsidR="0005324E" w:rsidRPr="00830CB6" w:rsidRDefault="0005324E" w:rsidP="0005324E">
      <w:pPr>
        <w:pStyle w:val="text"/>
        <w:numPr>
          <w:ilvl w:val="2"/>
          <w:numId w:val="2"/>
        </w:numPr>
        <w:ind w:left="1355"/>
        <w:rPr>
          <w:b/>
        </w:rPr>
      </w:pPr>
      <w:r w:rsidRPr="00830CB6">
        <w:t xml:space="preserve"> Kapacita služby: </w:t>
      </w:r>
      <w:r w:rsidRPr="00830CB6">
        <w:rPr>
          <w:b/>
        </w:rPr>
        <w:t>Okamžitá</w:t>
      </w:r>
    </w:p>
    <w:p w14:paraId="08C3696E" w14:textId="77777777" w:rsidR="0005324E" w:rsidRPr="00830CB6" w:rsidRDefault="0005324E" w:rsidP="0005324E">
      <w:pPr>
        <w:pStyle w:val="text"/>
        <w:ind w:left="930" w:firstLine="204"/>
        <w:rPr>
          <w:b/>
        </w:rPr>
      </w:pPr>
      <w:r w:rsidRPr="00830CB6">
        <w:rPr>
          <w:b/>
        </w:rPr>
        <w:t xml:space="preserve">      Ambulantní forma – 1 klient</w:t>
      </w:r>
    </w:p>
    <w:p w14:paraId="4BB05F27" w14:textId="77777777" w:rsidR="0005324E" w:rsidRPr="00830CB6" w:rsidRDefault="0005324E" w:rsidP="0005324E">
      <w:pPr>
        <w:pStyle w:val="text"/>
        <w:ind w:left="930" w:firstLine="204"/>
        <w:rPr>
          <w:b/>
        </w:rPr>
      </w:pPr>
      <w:r w:rsidRPr="00830CB6">
        <w:rPr>
          <w:b/>
        </w:rPr>
        <w:t xml:space="preserve">      Terénní forma – 1 klient</w:t>
      </w:r>
    </w:p>
    <w:p w14:paraId="483F2BDE" w14:textId="77777777" w:rsidR="0005324E" w:rsidRPr="00830CB6" w:rsidRDefault="0005324E" w:rsidP="0005324E">
      <w:pPr>
        <w:pStyle w:val="Odstavecseseznamem"/>
        <w:rPr>
          <w:rFonts w:ascii="Arial" w:hAnsi="Arial" w:cs="Arial"/>
        </w:rPr>
      </w:pPr>
    </w:p>
    <w:p w14:paraId="3A82AF2D" w14:textId="77777777" w:rsidR="0005324E" w:rsidRPr="00830CB6" w:rsidRDefault="0005324E" w:rsidP="0005324E">
      <w:pPr>
        <w:pStyle w:val="text"/>
        <w:numPr>
          <w:ilvl w:val="2"/>
          <w:numId w:val="2"/>
        </w:numPr>
        <w:ind w:left="1276" w:hanging="425"/>
        <w:rPr>
          <w:b/>
          <w:i/>
        </w:rPr>
      </w:pPr>
      <w:r w:rsidRPr="00830CB6">
        <w:t xml:space="preserve"> Personální zajištění služby: </w:t>
      </w:r>
    </w:p>
    <w:p w14:paraId="42872EC9" w14:textId="77777777" w:rsidR="0005324E" w:rsidRPr="00830CB6" w:rsidRDefault="0005324E" w:rsidP="0005324E">
      <w:pPr>
        <w:pStyle w:val="text"/>
        <w:ind w:firstLine="1134"/>
        <w:rPr>
          <w:b/>
        </w:rPr>
      </w:pPr>
      <w:r w:rsidRPr="00830CB6">
        <w:rPr>
          <w:b/>
        </w:rPr>
        <w:t xml:space="preserve">       Počet úvazků – 1,95</w:t>
      </w:r>
    </w:p>
    <w:p w14:paraId="571A9BE7" w14:textId="568C892A" w:rsidR="0005324E" w:rsidRPr="00837EB7" w:rsidRDefault="0005324E" w:rsidP="0005324E">
      <w:pPr>
        <w:pStyle w:val="text"/>
        <w:ind w:left="792"/>
      </w:pPr>
      <w:r w:rsidRPr="00830CB6">
        <w:rPr>
          <w:b/>
        </w:rPr>
        <w:tab/>
        <w:t xml:space="preserve">            Počet úvazků v přímé péči – 1,7</w:t>
      </w:r>
    </w:p>
    <w:p w14:paraId="4A9784EA" w14:textId="656F2665" w:rsidR="00E3766A" w:rsidRPr="0005324E" w:rsidRDefault="00D80243" w:rsidP="00440E82">
      <w:pPr>
        <w:pStyle w:val="text"/>
        <w:rPr>
          <w:b/>
        </w:rPr>
      </w:pPr>
      <w:r>
        <w:rPr>
          <w:b/>
        </w:rPr>
        <w:t xml:space="preserve">      </w:t>
      </w: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2807C949" w14:textId="55448575" w:rsidR="00E3766A" w:rsidRPr="0005324E" w:rsidRDefault="001555C5" w:rsidP="00C36C80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05324E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05324E">
        <w:rPr>
          <w:rFonts w:ascii="Arial" w:hAnsi="Arial" w:cs="Arial"/>
        </w:rPr>
        <w:t>v případě takového navýšení j</w:t>
      </w:r>
      <w:r w:rsidRPr="0005324E">
        <w:rPr>
          <w:rFonts w:ascii="Arial" w:hAnsi="Arial" w:cs="Arial"/>
        </w:rPr>
        <w:t>e sociální služba poskytována v souladu s</w:t>
      </w:r>
      <w:r w:rsidR="00431A46" w:rsidRPr="0005324E">
        <w:rPr>
          <w:rFonts w:ascii="Arial" w:hAnsi="Arial" w:cs="Arial"/>
        </w:rPr>
        <w:t xml:space="preserve"> tímto</w:t>
      </w:r>
      <w:r w:rsidRPr="0005324E">
        <w:rPr>
          <w:rFonts w:ascii="Arial" w:hAnsi="Arial" w:cs="Arial"/>
        </w:rPr>
        <w:t xml:space="preserve"> </w:t>
      </w:r>
      <w:r w:rsidR="00D33981" w:rsidRPr="0005324E">
        <w:rPr>
          <w:rFonts w:ascii="Arial" w:hAnsi="Arial" w:cs="Arial"/>
        </w:rPr>
        <w:t>p</w:t>
      </w:r>
      <w:r w:rsidRPr="0005324E">
        <w:rPr>
          <w:rFonts w:ascii="Arial" w:hAnsi="Arial" w:cs="Arial"/>
        </w:rPr>
        <w:t xml:space="preserve">ověřením. </w:t>
      </w:r>
      <w:r w:rsidR="006A1D8E" w:rsidRPr="0005324E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05324E">
        <w:rPr>
          <w:rFonts w:ascii="Arial" w:hAnsi="Arial" w:cs="Arial"/>
        </w:rPr>
        <w:t>IV.</w:t>
      </w:r>
      <w:r w:rsidR="006A1D8E" w:rsidRPr="0005324E">
        <w:rPr>
          <w:rFonts w:ascii="Arial" w:hAnsi="Arial" w:cs="Arial"/>
        </w:rPr>
        <w:t xml:space="preserve"> tohoto pověření ani </w:t>
      </w:r>
      <w:r w:rsidR="00586EFE" w:rsidRPr="0005324E">
        <w:rPr>
          <w:rFonts w:ascii="Arial" w:hAnsi="Arial" w:cs="Arial"/>
        </w:rPr>
        <w:br/>
      </w:r>
      <w:r w:rsidR="006A1D8E" w:rsidRPr="0005324E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05324E">
        <w:rPr>
          <w:rFonts w:ascii="Arial" w:hAnsi="Arial" w:cs="Arial"/>
        </w:rPr>
        <w:t>s</w:t>
      </w:r>
      <w:r w:rsidR="006A1D8E" w:rsidRPr="0005324E">
        <w:rPr>
          <w:rFonts w:ascii="Arial" w:hAnsi="Arial" w:cs="Arial"/>
        </w:rPr>
        <w:t xml:space="preserve">třednědobém plánu rozvoje sociálních služeb v Plzeňském kraji </w:t>
      </w:r>
      <w:r w:rsidR="00586EFE" w:rsidRPr="0005324E">
        <w:rPr>
          <w:rFonts w:ascii="Arial" w:hAnsi="Arial" w:cs="Arial"/>
        </w:rPr>
        <w:br/>
      </w:r>
      <w:r w:rsidR="006A1D8E" w:rsidRPr="0005324E">
        <w:rPr>
          <w:rFonts w:ascii="Arial" w:hAnsi="Arial" w:cs="Arial"/>
        </w:rPr>
        <w:t>se tímto navýšením úvazků nemění.</w:t>
      </w:r>
      <w:r w:rsidR="00563FFA" w:rsidRPr="0005324E">
        <w:rPr>
          <w:rFonts w:ascii="Arial" w:hAnsi="Arial" w:cs="Arial"/>
        </w:rPr>
        <w:t xml:space="preserve"> </w:t>
      </w:r>
    </w:p>
    <w:p w14:paraId="4512CDCB" w14:textId="77777777" w:rsidR="0005324E" w:rsidRPr="0005324E" w:rsidRDefault="0005324E" w:rsidP="0005324E">
      <w:pPr>
        <w:pStyle w:val="Odstavecseseznamem"/>
        <w:rPr>
          <w:b/>
        </w:rPr>
      </w:pPr>
    </w:p>
    <w:p w14:paraId="40C0BC09" w14:textId="77777777" w:rsidR="0005324E" w:rsidRPr="0005324E" w:rsidRDefault="0005324E" w:rsidP="0005324E">
      <w:pPr>
        <w:pStyle w:val="Odstavecseseznamem"/>
        <w:spacing w:line="276" w:lineRule="auto"/>
        <w:ind w:left="390"/>
        <w:jc w:val="both"/>
        <w:rPr>
          <w:b/>
        </w:rPr>
      </w:pPr>
    </w:p>
    <w:p w14:paraId="5EE2A549" w14:textId="77777777" w:rsidR="00E3766A" w:rsidRDefault="00E3766A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C8FAA6D" w:rsidR="00035667" w:rsidRDefault="00035667" w:rsidP="00035667">
      <w:pPr>
        <w:pStyle w:val="text"/>
        <w:ind w:left="360"/>
      </w:pPr>
    </w:p>
    <w:p w14:paraId="2E8A0957" w14:textId="77777777" w:rsidR="008C678E" w:rsidRDefault="008C678E" w:rsidP="00035667">
      <w:pPr>
        <w:pStyle w:val="text"/>
        <w:ind w:left="360"/>
      </w:pPr>
    </w:p>
    <w:p w14:paraId="2F908E03" w14:textId="10E152F5" w:rsidR="00035667" w:rsidRPr="0005324E" w:rsidRDefault="0005324E" w:rsidP="0005324E">
      <w:pPr>
        <w:pStyle w:val="text"/>
        <w:numPr>
          <w:ilvl w:val="1"/>
          <w:numId w:val="23"/>
        </w:numPr>
        <w:spacing w:after="0"/>
      </w:pPr>
      <w:r w:rsidRPr="0005324E">
        <w:rPr>
          <w:b/>
          <w:u w:val="single"/>
        </w:rPr>
        <w:t>Odborné sociální poradenství</w:t>
      </w:r>
      <w:r w:rsidRPr="0005324E">
        <w:rPr>
          <w:b/>
        </w:rPr>
        <w:t xml:space="preserve">, ID: 2924476 </w:t>
      </w:r>
      <w:r w:rsidR="00831F55" w:rsidRPr="0005324E">
        <w:t>vyrovnávací platba</w:t>
      </w:r>
      <w:r w:rsidR="00831F55" w:rsidRPr="0005324E">
        <w:rPr>
          <w:i/>
        </w:rPr>
        <w:t xml:space="preserve"> </w:t>
      </w:r>
      <w:r w:rsidR="00831F55" w:rsidRPr="0005324E">
        <w:t xml:space="preserve"> ve výši </w:t>
      </w:r>
      <w:r w:rsidRPr="0005324E">
        <w:rPr>
          <w:b/>
        </w:rPr>
        <w:t>932.400</w:t>
      </w:r>
      <w:r w:rsidR="00831F55" w:rsidRPr="0005324E">
        <w:t xml:space="preserve"> </w:t>
      </w:r>
      <w:r w:rsidR="00C64B5E" w:rsidRPr="0005324E">
        <w:rPr>
          <w:b/>
        </w:rPr>
        <w:t>Kč</w:t>
      </w:r>
      <w:r w:rsidR="008B610B" w:rsidRPr="0005324E">
        <w:t xml:space="preserve"> (slovy: </w:t>
      </w:r>
      <w:r w:rsidRPr="0005324E">
        <w:t>devět set třicet dva tisíc čtyři sta korun českých</w:t>
      </w:r>
      <w:r w:rsidR="00BC3F6B" w:rsidRPr="0005324E">
        <w:t>),</w:t>
      </w:r>
    </w:p>
    <w:p w14:paraId="57A4D045" w14:textId="77777777" w:rsidR="00CC2ACE" w:rsidRPr="0005324E" w:rsidRDefault="00CC2ACE" w:rsidP="00CC2ACE">
      <w:pPr>
        <w:pStyle w:val="text"/>
        <w:spacing w:after="0"/>
        <w:ind w:left="788"/>
      </w:pPr>
    </w:p>
    <w:p w14:paraId="68D6D655" w14:textId="60EE0AE1" w:rsidR="00CC2ACE" w:rsidRPr="0005324E" w:rsidRDefault="0005324E" w:rsidP="0005324E">
      <w:pPr>
        <w:pStyle w:val="text"/>
        <w:numPr>
          <w:ilvl w:val="1"/>
          <w:numId w:val="23"/>
        </w:numPr>
        <w:spacing w:after="0"/>
      </w:pPr>
      <w:r w:rsidRPr="0005324E">
        <w:rPr>
          <w:b/>
          <w:u w:val="single"/>
        </w:rPr>
        <w:t>Sociálně aktivizační služby pro seniory a osoby se zdravotním postižením</w:t>
      </w:r>
      <w:r w:rsidRPr="0005324E">
        <w:rPr>
          <w:b/>
        </w:rPr>
        <w:t xml:space="preserve">, ID: 6879981 </w:t>
      </w:r>
      <w:r w:rsidR="00831F55" w:rsidRPr="0005324E">
        <w:t>vyrovnávací platba</w:t>
      </w:r>
      <w:r w:rsidR="00831F55" w:rsidRPr="0005324E">
        <w:rPr>
          <w:i/>
        </w:rPr>
        <w:t xml:space="preserve"> </w:t>
      </w:r>
      <w:r w:rsidR="00831F55" w:rsidRPr="0005324E">
        <w:t xml:space="preserve"> ve výši </w:t>
      </w:r>
      <w:r w:rsidRPr="0005324E">
        <w:rPr>
          <w:b/>
        </w:rPr>
        <w:t>3.183.840</w:t>
      </w:r>
      <w:r w:rsidR="00831F55" w:rsidRPr="0005324E">
        <w:t xml:space="preserve"> </w:t>
      </w:r>
      <w:r w:rsidR="00C64B5E" w:rsidRPr="0005324E">
        <w:rPr>
          <w:b/>
        </w:rPr>
        <w:t>Kč</w:t>
      </w:r>
      <w:r w:rsidR="008B610B" w:rsidRPr="0005324E">
        <w:rPr>
          <w:b/>
        </w:rPr>
        <w:t xml:space="preserve"> </w:t>
      </w:r>
      <w:r w:rsidR="008B610B" w:rsidRPr="0005324E">
        <w:t xml:space="preserve">(slovy: </w:t>
      </w:r>
      <w:r w:rsidRPr="0005324E">
        <w:t>tři miliony jedno sto osmdesát tři tisíc osm set čtyřicet korun českých),</w:t>
      </w:r>
    </w:p>
    <w:p w14:paraId="74C27270" w14:textId="77777777" w:rsidR="0005324E" w:rsidRPr="0005324E" w:rsidRDefault="0005324E" w:rsidP="0005324E">
      <w:pPr>
        <w:pStyle w:val="Odstavecseseznamem"/>
      </w:pPr>
    </w:p>
    <w:p w14:paraId="178FDC87" w14:textId="44A57344" w:rsidR="0005324E" w:rsidRPr="0005324E" w:rsidRDefault="0005324E" w:rsidP="0005324E">
      <w:pPr>
        <w:pStyle w:val="text"/>
        <w:numPr>
          <w:ilvl w:val="1"/>
          <w:numId w:val="23"/>
        </w:numPr>
        <w:spacing w:after="0"/>
      </w:pPr>
      <w:r w:rsidRPr="0005324E">
        <w:rPr>
          <w:b/>
          <w:u w:val="single"/>
        </w:rPr>
        <w:t>Průvodcovské a předčitatelské služby</w:t>
      </w:r>
      <w:r w:rsidRPr="0005324E">
        <w:rPr>
          <w:b/>
        </w:rPr>
        <w:t xml:space="preserve">, ID: 8062819 </w:t>
      </w:r>
      <w:r w:rsidRPr="0005324E">
        <w:t>vyrovnávací platba</w:t>
      </w:r>
      <w:r w:rsidRPr="0005324E">
        <w:rPr>
          <w:i/>
        </w:rPr>
        <w:t xml:space="preserve"> </w:t>
      </w:r>
      <w:r w:rsidRPr="0005324E">
        <w:t xml:space="preserve"> ve výši </w:t>
      </w:r>
      <w:r w:rsidRPr="0005324E">
        <w:rPr>
          <w:b/>
        </w:rPr>
        <w:t>1.149.408</w:t>
      </w:r>
      <w:r w:rsidRPr="0005324E">
        <w:t xml:space="preserve"> </w:t>
      </w:r>
      <w:r w:rsidRPr="0005324E">
        <w:rPr>
          <w:b/>
        </w:rPr>
        <w:t xml:space="preserve">Kč </w:t>
      </w:r>
      <w:r w:rsidRPr="0005324E">
        <w:t>(slovy: jeden milion jedno sto čtyřicet devět tisíc čtyři sta osm korun českých).</w:t>
      </w:r>
    </w:p>
    <w:p w14:paraId="538A11C0" w14:textId="77777777" w:rsidR="00E3766A" w:rsidRDefault="00E3766A" w:rsidP="00E3766A">
      <w:pPr>
        <w:pStyle w:val="Odstavecseseznamem"/>
      </w:pPr>
    </w:p>
    <w:p w14:paraId="57F5BFA3" w14:textId="2D40B679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22FA12EA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3208B367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29A29C2E" w14:textId="23636A2A" w:rsidR="00AE3621" w:rsidRPr="00FE6498" w:rsidRDefault="00F37F77" w:rsidP="00FE6498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95EFDE7" w14:textId="77777777" w:rsidR="007D1179" w:rsidRDefault="00BC3F6B" w:rsidP="007D1179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7D1179">
        <w:tab/>
        <w:t>…………………………………</w:t>
      </w:r>
    </w:p>
    <w:p w14:paraId="5F2AECF6" w14:textId="45A6DD93" w:rsidR="003215C3" w:rsidRDefault="007D1179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ab/>
      </w:r>
      <w:r w:rsidR="0005324E">
        <w:t xml:space="preserve">       </w:t>
      </w:r>
      <w:r w:rsidR="0005324E">
        <w:rPr>
          <w:rFonts w:ascii="Arial" w:hAnsi="Arial" w:cs="Arial"/>
        </w:rPr>
        <w:t>Mgr. Hana Dostálová</w:t>
      </w:r>
      <w:r w:rsidR="003215C3">
        <w:rPr>
          <w:rFonts w:ascii="Arial" w:hAnsi="Arial" w:cs="Arial"/>
        </w:rPr>
        <w:tab/>
        <w:t xml:space="preserve">              </w:t>
      </w:r>
      <w:r w:rsidR="003215C3" w:rsidRPr="00BC3F6B">
        <w:rPr>
          <w:rFonts w:ascii="Arial" w:hAnsi="Arial" w:cs="Arial"/>
        </w:rPr>
        <w:t>Martin Záhoř</w:t>
      </w:r>
    </w:p>
    <w:p w14:paraId="0CD179CE" w14:textId="01563A1C" w:rsidR="003215C3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5324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05324E" w:rsidRPr="0000225C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F6B">
        <w:rPr>
          <w:rFonts w:ascii="Arial" w:hAnsi="Arial" w:cs="Arial"/>
        </w:rPr>
        <w:t>náměstek hejtmana pro oblast</w:t>
      </w:r>
    </w:p>
    <w:p w14:paraId="5B3A7E8B" w14:textId="77777777" w:rsidR="003215C3" w:rsidRPr="00BC3F6B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Pr="00BC3F6B">
        <w:rPr>
          <w:rFonts w:ascii="Arial" w:hAnsi="Arial" w:cs="Arial"/>
        </w:rPr>
        <w:t>sociálních věcí, investic a majetku</w:t>
      </w:r>
    </w:p>
    <w:p w14:paraId="57193DA6" w14:textId="6EA586A2" w:rsidR="00F93EF4" w:rsidRPr="00BC3F6B" w:rsidRDefault="00F93EF4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00CA4C2F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FD56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F594EF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0F63D8"/>
    <w:multiLevelType w:val="hybridMultilevel"/>
    <w:tmpl w:val="E0D29E4C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3F3F2259"/>
    <w:multiLevelType w:val="multilevel"/>
    <w:tmpl w:val="58F8BEBE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19"/>
  </w:num>
  <w:num w:numId="5">
    <w:abstractNumId w:val="1"/>
  </w:num>
  <w:num w:numId="6">
    <w:abstractNumId w:val="0"/>
  </w:num>
  <w:num w:numId="7">
    <w:abstractNumId w:val="29"/>
  </w:num>
  <w:num w:numId="8">
    <w:abstractNumId w:val="24"/>
  </w:num>
  <w:num w:numId="9">
    <w:abstractNumId w:val="30"/>
  </w:num>
  <w:num w:numId="10">
    <w:abstractNumId w:val="6"/>
  </w:num>
  <w:num w:numId="11">
    <w:abstractNumId w:val="20"/>
  </w:num>
  <w:num w:numId="12">
    <w:abstractNumId w:val="25"/>
  </w:num>
  <w:num w:numId="13">
    <w:abstractNumId w:val="15"/>
  </w:num>
  <w:num w:numId="14">
    <w:abstractNumId w:val="4"/>
  </w:num>
  <w:num w:numId="15">
    <w:abstractNumId w:val="26"/>
  </w:num>
  <w:num w:numId="16">
    <w:abstractNumId w:val="8"/>
  </w:num>
  <w:num w:numId="17">
    <w:abstractNumId w:val="8"/>
  </w:num>
  <w:num w:numId="18">
    <w:abstractNumId w:val="17"/>
  </w:num>
  <w:num w:numId="19">
    <w:abstractNumId w:val="3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</w:num>
  <w:num w:numId="24">
    <w:abstractNumId w:val="23"/>
  </w:num>
  <w:num w:numId="25">
    <w:abstractNumId w:val="2"/>
  </w:num>
  <w:num w:numId="26">
    <w:abstractNumId w:val="12"/>
  </w:num>
  <w:num w:numId="27">
    <w:abstractNumId w:val="16"/>
  </w:num>
  <w:num w:numId="28">
    <w:abstractNumId w:val="5"/>
  </w:num>
  <w:num w:numId="29">
    <w:abstractNumId w:val="13"/>
  </w:num>
  <w:num w:numId="30">
    <w:abstractNumId w:val="3"/>
  </w:num>
  <w:num w:numId="31">
    <w:abstractNumId w:val="11"/>
  </w:num>
  <w:num w:numId="32">
    <w:abstractNumId w:val="28"/>
  </w:num>
  <w:num w:numId="33">
    <w:abstractNumId w:val="21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324E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15C3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3FFA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179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678E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316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5660"/>
    <w:rsid w:val="00FD725A"/>
    <w:rsid w:val="00FD749E"/>
    <w:rsid w:val="00FD782A"/>
    <w:rsid w:val="00FE1426"/>
    <w:rsid w:val="00FE2200"/>
    <w:rsid w:val="00FE2998"/>
    <w:rsid w:val="00FE2D45"/>
    <w:rsid w:val="00FE6498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F0CF6-9AD6-4E67-9B7D-AC12A094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2274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4</cp:revision>
  <cp:lastPrinted>2015-04-15T07:07:00Z</cp:lastPrinted>
  <dcterms:created xsi:type="dcterms:W3CDTF">2022-12-16T09:12:00Z</dcterms:created>
  <dcterms:modified xsi:type="dcterms:W3CDTF">2022-12-19T13:56:00Z</dcterms:modified>
</cp:coreProperties>
</file>