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1784AF5B" w14:textId="4AE2C63B" w:rsidR="00B55AFC" w:rsidRDefault="003E071E" w:rsidP="00B55AFC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="00B55AFC">
        <w:rPr>
          <w:rFonts w:ascii="Arial" w:hAnsi="Arial" w:cs="Arial"/>
          <w:sz w:val="23"/>
          <w:szCs w:val="23"/>
        </w:rPr>
        <w:t>nami</w:t>
      </w:r>
    </w:p>
    <w:p w14:paraId="72D3C6E9" w14:textId="77777777" w:rsidR="003E68A8" w:rsidRPr="008D17FE" w:rsidRDefault="003E68A8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682B8AB6" w14:textId="77777777" w:rsidR="00B55AFC" w:rsidRDefault="00B55AFC" w:rsidP="00B55AFC">
      <w:pPr>
        <w:pStyle w:val="Default"/>
      </w:pPr>
    </w:p>
    <w:p w14:paraId="69754C12" w14:textId="0EB8D5A3" w:rsidR="00B55AFC" w:rsidRDefault="00B55AFC" w:rsidP="00B55AF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ENPRAG, s.r.o. </w:t>
      </w:r>
    </w:p>
    <w:p w14:paraId="498945E1" w14:textId="77777777" w:rsidR="00B55AFC" w:rsidRDefault="00B55AFC" w:rsidP="00B55AFC">
      <w:pPr>
        <w:pStyle w:val="Default"/>
        <w:rPr>
          <w:sz w:val="23"/>
          <w:szCs w:val="23"/>
        </w:rPr>
      </w:pPr>
    </w:p>
    <w:p w14:paraId="53F43437" w14:textId="77777777" w:rsidR="00B55AFC" w:rsidRDefault="00B55AFC" w:rsidP="00B55A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62743741 </w:t>
      </w:r>
    </w:p>
    <w:p w14:paraId="324AA68D" w14:textId="77777777" w:rsidR="00B55AFC" w:rsidRDefault="00B55AFC" w:rsidP="00B55AFC">
      <w:pPr>
        <w:pStyle w:val="Default"/>
        <w:rPr>
          <w:sz w:val="23"/>
          <w:szCs w:val="23"/>
        </w:rPr>
      </w:pPr>
    </w:p>
    <w:p w14:paraId="5A840E7A" w14:textId="77777777" w:rsidR="00B55AFC" w:rsidRDefault="00B55AFC" w:rsidP="00B55A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CZ62743741 </w:t>
      </w:r>
    </w:p>
    <w:p w14:paraId="74E43295" w14:textId="77777777" w:rsidR="00B55AFC" w:rsidRDefault="00B55AFC" w:rsidP="00B55AFC">
      <w:pPr>
        <w:pStyle w:val="Default"/>
        <w:rPr>
          <w:sz w:val="23"/>
          <w:szCs w:val="23"/>
        </w:rPr>
      </w:pPr>
    </w:p>
    <w:p w14:paraId="172C38C3" w14:textId="77777777" w:rsidR="00B55AFC" w:rsidRDefault="00B55AFC" w:rsidP="00B55A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K Holyni 833/42, 154 00 Praha 5 </w:t>
      </w:r>
    </w:p>
    <w:p w14:paraId="71756348" w14:textId="77777777" w:rsidR="00B55AFC" w:rsidRDefault="00B55AFC" w:rsidP="00B55AFC">
      <w:pPr>
        <w:pStyle w:val="Default"/>
        <w:rPr>
          <w:sz w:val="23"/>
          <w:szCs w:val="23"/>
        </w:rPr>
      </w:pPr>
    </w:p>
    <w:p w14:paraId="168A4D89" w14:textId="77777777" w:rsidR="00B55AFC" w:rsidRDefault="00B55AFC" w:rsidP="00B55A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zapsaná v obchodním rejstříku vedeném Městským soudem v Praze, oddíl C, vložka 40956 </w:t>
      </w:r>
    </w:p>
    <w:p w14:paraId="3F6EA363" w14:textId="77777777" w:rsidR="00B55AFC" w:rsidRDefault="00B55AFC" w:rsidP="00B55AFC">
      <w:pPr>
        <w:pStyle w:val="Default"/>
        <w:rPr>
          <w:sz w:val="23"/>
          <w:szCs w:val="23"/>
        </w:rPr>
      </w:pPr>
    </w:p>
    <w:p w14:paraId="52CD3931" w14:textId="77777777" w:rsidR="00B55AFC" w:rsidRDefault="00B55AFC" w:rsidP="00B55A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zastoupena: Ladislavem Kroupou, jednatelem </w:t>
      </w:r>
    </w:p>
    <w:p w14:paraId="1043FB2F" w14:textId="77777777" w:rsidR="00B55AFC" w:rsidRDefault="00B55AFC" w:rsidP="00B55AFC">
      <w:pPr>
        <w:pStyle w:val="Default"/>
        <w:rPr>
          <w:sz w:val="22"/>
          <w:szCs w:val="22"/>
        </w:rPr>
      </w:pPr>
    </w:p>
    <w:p w14:paraId="2617DE06" w14:textId="77777777" w:rsidR="00B55AFC" w:rsidRDefault="00B55AFC" w:rsidP="00B55A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ČSOB Praha 1 </w:t>
      </w:r>
    </w:p>
    <w:p w14:paraId="2A2CB5B7" w14:textId="77777777" w:rsidR="00B55AFC" w:rsidRDefault="00B55AFC" w:rsidP="00B55AFC">
      <w:pPr>
        <w:pStyle w:val="Default"/>
        <w:rPr>
          <w:sz w:val="22"/>
          <w:szCs w:val="22"/>
        </w:rPr>
      </w:pPr>
    </w:p>
    <w:p w14:paraId="7CAD621E" w14:textId="77777777" w:rsidR="00B55AFC" w:rsidRDefault="00B55AFC" w:rsidP="00B55A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bankovního účtu: 600003483/0300 </w:t>
      </w:r>
    </w:p>
    <w:p w14:paraId="1C44D3F9" w14:textId="77777777" w:rsidR="00B55AFC" w:rsidRDefault="00B55AFC" w:rsidP="00B55AFC">
      <w:pPr>
        <w:pStyle w:val="Default"/>
        <w:rPr>
          <w:sz w:val="22"/>
          <w:szCs w:val="22"/>
        </w:rPr>
      </w:pPr>
    </w:p>
    <w:p w14:paraId="63E896E5" w14:textId="77777777" w:rsidR="00B55AFC" w:rsidRDefault="00B55AFC" w:rsidP="00B55AFC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jako prodávající, dále jen „</w:t>
      </w:r>
      <w:r>
        <w:rPr>
          <w:b/>
          <w:bCs/>
          <w:sz w:val="23"/>
          <w:szCs w:val="23"/>
        </w:rPr>
        <w:t>Prodávající</w:t>
      </w:r>
      <w:r>
        <w:rPr>
          <w:sz w:val="23"/>
          <w:szCs w:val="23"/>
        </w:rPr>
        <w:t xml:space="preserve">“, na straně jedné </w:t>
      </w:r>
    </w:p>
    <w:p w14:paraId="34C4AB4C" w14:textId="6CF1B05F" w:rsidR="007C7279" w:rsidRPr="008D17FE" w:rsidRDefault="007C7279" w:rsidP="00B55AFC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420DD4AA" w14:textId="77777777" w:rsidR="007C7279" w:rsidRPr="008D17FE" w:rsidRDefault="007C7279" w:rsidP="003E68A8">
      <w:pPr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3E68A8">
      <w:pPr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50DFB2C4" w:rsidR="007C7279" w:rsidRPr="008D17FE" w:rsidRDefault="008645D8" w:rsidP="003E68A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 xml:space="preserve">MUDr. </w:t>
      </w:r>
      <w:r w:rsidR="00A23BFD">
        <w:rPr>
          <w:rFonts w:ascii="Arial" w:hAnsi="Arial" w:cs="Arial"/>
          <w:sz w:val="23"/>
          <w:szCs w:val="23"/>
        </w:rPr>
        <w:t>Ivo Rovný</w:t>
      </w:r>
      <w:r w:rsidR="00C1603C" w:rsidRPr="00C1603C">
        <w:rPr>
          <w:rFonts w:ascii="Arial" w:hAnsi="Arial" w:cs="Arial"/>
          <w:sz w:val="23"/>
          <w:szCs w:val="23"/>
        </w:rPr>
        <w:t>,</w:t>
      </w:r>
      <w:r w:rsidR="00A23BFD">
        <w:rPr>
          <w:rFonts w:ascii="Arial" w:hAnsi="Arial" w:cs="Arial"/>
          <w:sz w:val="23"/>
          <w:szCs w:val="23"/>
        </w:rPr>
        <w:t xml:space="preserve"> MBA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3E68A8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3E68A8">
      <w:pPr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3E68A8">
      <w:pPr>
        <w:spacing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47B3723B" w14:textId="77777777" w:rsidR="007C7279" w:rsidRPr="008D17FE" w:rsidRDefault="007C727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lastRenderedPageBreak/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2FA0074E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BA0D2F3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39B9949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544865" w14:textId="29F7699E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AB4D92E" w14:textId="77777777" w:rsidR="00A54046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</w:p>
    <w:p w14:paraId="07BC4D83" w14:textId="51399DFC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F5A8D3E" w14:textId="79D393E4" w:rsidR="00A23BFD" w:rsidRPr="00B55AFC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pro část č. </w:t>
      </w:r>
      <w:proofErr w:type="gramStart"/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11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–</w:t>
      </w:r>
      <w:proofErr w:type="gramStart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>TYP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J celkem </w:t>
      </w:r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2</w:t>
      </w: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ks</w:t>
      </w:r>
    </w:p>
    <w:p w14:paraId="1FE93B33" w14:textId="37C27CA1" w:rsidR="00A23BFD" w:rsidRPr="00B55AFC" w:rsidRDefault="00B55AFC" w:rsidP="00A23BFD">
      <w:pPr>
        <w:pStyle w:val="Zkladntext3"/>
        <w:ind w:left="709"/>
        <w:rPr>
          <w:rFonts w:ascii="Arial" w:hAnsi="Arial" w:cs="Arial"/>
          <w:i/>
          <w:sz w:val="22"/>
          <w:szCs w:val="22"/>
          <w:lang w:val="cs-CZ"/>
        </w:rPr>
      </w:pPr>
      <w:r w:rsidRPr="00B55AFC">
        <w:rPr>
          <w:rFonts w:ascii="Arial" w:hAnsi="Arial" w:cs="Arial"/>
          <w:b/>
          <w:bCs/>
          <w:sz w:val="22"/>
          <w:szCs w:val="22"/>
        </w:rPr>
        <w:t xml:space="preserve">typ: </w:t>
      </w:r>
      <w:r w:rsidRPr="00B55AFC">
        <w:rPr>
          <w:rFonts w:ascii="Arial" w:hAnsi="Arial" w:cs="Arial"/>
          <w:i/>
          <w:iCs/>
          <w:sz w:val="22"/>
          <w:szCs w:val="22"/>
        </w:rPr>
        <w:t>52513</w:t>
      </w:r>
    </w:p>
    <w:p w14:paraId="5190C56E" w14:textId="0060CF74" w:rsidR="00A23BFD" w:rsidRPr="00B55AFC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pro část č. </w:t>
      </w:r>
      <w:proofErr w:type="gramStart"/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12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–</w:t>
      </w:r>
      <w:proofErr w:type="gramStart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>TYP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K celkem </w:t>
      </w:r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2</w:t>
      </w: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ks</w:t>
      </w:r>
    </w:p>
    <w:p w14:paraId="3ABF7979" w14:textId="77777777" w:rsidR="00B55AFC" w:rsidRPr="00B55AFC" w:rsidRDefault="00B55AFC" w:rsidP="00A23BFD">
      <w:pPr>
        <w:pStyle w:val="Zkladntext3"/>
        <w:spacing w:before="120"/>
        <w:ind w:left="709"/>
        <w:rPr>
          <w:rFonts w:ascii="Arial" w:hAnsi="Arial" w:cs="Arial"/>
          <w:i/>
          <w:iCs/>
          <w:sz w:val="22"/>
          <w:szCs w:val="22"/>
        </w:rPr>
      </w:pPr>
      <w:r w:rsidRPr="00B55AFC">
        <w:rPr>
          <w:rFonts w:ascii="Arial" w:hAnsi="Arial" w:cs="Arial"/>
          <w:b/>
          <w:bCs/>
          <w:sz w:val="22"/>
          <w:szCs w:val="22"/>
        </w:rPr>
        <w:t xml:space="preserve">typ: </w:t>
      </w:r>
      <w:r w:rsidRPr="00B55AFC">
        <w:rPr>
          <w:rFonts w:ascii="Arial" w:hAnsi="Arial" w:cs="Arial"/>
          <w:i/>
          <w:iCs/>
          <w:sz w:val="22"/>
          <w:szCs w:val="22"/>
        </w:rPr>
        <w:t xml:space="preserve">IPCCA14 </w:t>
      </w:r>
    </w:p>
    <w:p w14:paraId="30BAEA4D" w14:textId="5EA3F990" w:rsidR="00A23BFD" w:rsidRPr="00B55AFC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pro část č. </w:t>
      </w:r>
      <w:proofErr w:type="gramStart"/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16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–</w:t>
      </w:r>
      <w:proofErr w:type="gramStart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>TYP</w:t>
      </w:r>
      <w:proofErr w:type="gramEnd"/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O</w:t>
      </w: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celkem </w:t>
      </w:r>
      <w:r w:rsidR="00452F5B" w:rsidRPr="00B55AFC">
        <w:rPr>
          <w:rFonts w:ascii="Arial" w:hAnsi="Arial" w:cs="Arial"/>
          <w:b/>
          <w:sz w:val="22"/>
          <w:szCs w:val="22"/>
          <w:u w:val="single"/>
          <w:lang w:val="cs-CZ"/>
        </w:rPr>
        <w:t>47</w:t>
      </w:r>
      <w:r w:rsidRPr="00B55AF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ks</w:t>
      </w:r>
    </w:p>
    <w:p w14:paraId="2A6EB4D9" w14:textId="53295EDD" w:rsidR="00A54046" w:rsidRPr="00B55AFC" w:rsidRDefault="00B55AFC" w:rsidP="00A54046">
      <w:pPr>
        <w:pStyle w:val="Zkladntext3"/>
        <w:ind w:left="709"/>
        <w:rPr>
          <w:rFonts w:ascii="Arial" w:hAnsi="Arial" w:cs="Arial"/>
          <w:i/>
          <w:iCs/>
          <w:sz w:val="22"/>
          <w:szCs w:val="22"/>
        </w:rPr>
      </w:pPr>
      <w:r w:rsidRPr="00B55AFC">
        <w:rPr>
          <w:rFonts w:ascii="Arial" w:hAnsi="Arial" w:cs="Arial"/>
          <w:b/>
          <w:bCs/>
          <w:sz w:val="22"/>
          <w:szCs w:val="22"/>
        </w:rPr>
        <w:t xml:space="preserve">typ: </w:t>
      </w:r>
      <w:r w:rsidRPr="00B55AFC">
        <w:rPr>
          <w:rFonts w:ascii="Arial" w:hAnsi="Arial" w:cs="Arial"/>
          <w:i/>
          <w:iCs/>
          <w:sz w:val="22"/>
          <w:szCs w:val="22"/>
        </w:rPr>
        <w:t>SUM 320 W</w:t>
      </w:r>
    </w:p>
    <w:p w14:paraId="75291EDF" w14:textId="77777777" w:rsidR="00B55AFC" w:rsidRPr="00B55AFC" w:rsidRDefault="00B55AFC" w:rsidP="00A54046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</w:p>
    <w:p w14:paraId="30B45725" w14:textId="78DF4309" w:rsidR="00D86891" w:rsidRPr="008D17FE" w:rsidRDefault="00142BD2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  <w:proofErr w:type="spellStart"/>
      <w:r w:rsidRPr="008D17FE">
        <w:rPr>
          <w:rFonts w:ascii="Arial" w:hAnsi="Arial" w:cs="Arial"/>
          <w:sz w:val="23"/>
          <w:szCs w:val="23"/>
        </w:rPr>
        <w:t>je</w:t>
      </w:r>
      <w:r w:rsidR="00137C49">
        <w:rPr>
          <w:rFonts w:ascii="Arial" w:hAnsi="Arial" w:cs="Arial"/>
          <w:sz w:val="23"/>
          <w:szCs w:val="23"/>
          <w:lang w:val="cs-CZ"/>
        </w:rPr>
        <w:t>jic</w:t>
      </w:r>
      <w:r w:rsidRPr="008D17FE">
        <w:rPr>
          <w:rFonts w:ascii="Arial" w:hAnsi="Arial" w:cs="Arial"/>
          <w:sz w:val="23"/>
          <w:szCs w:val="23"/>
        </w:rPr>
        <w:t>h</w:t>
      </w:r>
      <w:r w:rsidR="00BC33FB">
        <w:rPr>
          <w:rFonts w:ascii="Arial" w:hAnsi="Arial" w:cs="Arial"/>
          <w:sz w:val="23"/>
          <w:szCs w:val="23"/>
          <w:lang w:val="cs-CZ"/>
        </w:rPr>
        <w:t>ž</w:t>
      </w:r>
      <w:proofErr w:type="spellEnd"/>
      <w:r w:rsidRPr="008D17FE">
        <w:rPr>
          <w:rFonts w:ascii="Arial" w:hAnsi="Arial" w:cs="Arial"/>
          <w:sz w:val="23"/>
          <w:szCs w:val="23"/>
        </w:rPr>
        <w:t xml:space="preserve">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6086E3CD" w14:textId="71B4CCB0" w:rsidR="00B9193B" w:rsidRDefault="00B9193B" w:rsidP="00BC33FB">
      <w:pPr>
        <w:pStyle w:val="Zkladntext3"/>
        <w:rPr>
          <w:rFonts w:ascii="Arial" w:hAnsi="Arial" w:cs="Arial"/>
          <w:sz w:val="23"/>
          <w:szCs w:val="23"/>
        </w:rPr>
      </w:pPr>
    </w:p>
    <w:p w14:paraId="0434E118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DE2C87" w14:textId="0D6203B5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53CCEE3E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</w:t>
      </w:r>
      <w:r w:rsidR="009A3D16" w:rsidRPr="00B55AFC">
        <w:rPr>
          <w:rFonts w:ascii="Arial" w:hAnsi="Arial" w:cs="Arial"/>
          <w:sz w:val="23"/>
          <w:szCs w:val="23"/>
        </w:rPr>
        <w:t xml:space="preserve">veškeré doklady, které se ke Zboží vztahují, </w:t>
      </w:r>
      <w:r w:rsidRPr="00B55AFC">
        <w:rPr>
          <w:rFonts w:ascii="Arial" w:hAnsi="Arial" w:cs="Arial"/>
          <w:sz w:val="23"/>
          <w:szCs w:val="23"/>
        </w:rPr>
        <w:t>Kupujícímu</w:t>
      </w:r>
      <w:r w:rsidR="003F7B02" w:rsidRPr="00B55AFC">
        <w:rPr>
          <w:rFonts w:ascii="Arial" w:hAnsi="Arial" w:cs="Arial"/>
          <w:sz w:val="23"/>
          <w:szCs w:val="23"/>
        </w:rPr>
        <w:t xml:space="preserve"> nejpozději </w:t>
      </w:r>
      <w:r w:rsidR="003F7B02" w:rsidRPr="00B55AFC">
        <w:rPr>
          <w:rFonts w:ascii="Arial" w:hAnsi="Arial" w:cs="Arial"/>
          <w:b/>
          <w:sz w:val="23"/>
          <w:szCs w:val="23"/>
        </w:rPr>
        <w:t xml:space="preserve">do </w:t>
      </w:r>
      <w:r w:rsidR="00B55AFC" w:rsidRPr="00B55AFC">
        <w:rPr>
          <w:rFonts w:ascii="Arial" w:hAnsi="Arial" w:cs="Arial"/>
          <w:b/>
          <w:sz w:val="23"/>
          <w:szCs w:val="23"/>
          <w:lang w:val="cs-CZ"/>
        </w:rPr>
        <w:t>6</w:t>
      </w:r>
      <w:r w:rsidR="008C5483" w:rsidRPr="00B55AFC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6C3751" w:rsidRPr="00B55AFC">
        <w:rPr>
          <w:rFonts w:ascii="Arial" w:hAnsi="Arial" w:cs="Arial"/>
          <w:b/>
          <w:sz w:val="23"/>
          <w:szCs w:val="23"/>
        </w:rPr>
        <w:t>týdnů</w:t>
      </w:r>
      <w:r w:rsidRPr="00B55AFC">
        <w:rPr>
          <w:rFonts w:ascii="Arial" w:hAnsi="Arial" w:cs="Arial"/>
          <w:sz w:val="23"/>
          <w:szCs w:val="23"/>
        </w:rPr>
        <w:t xml:space="preserve"> </w:t>
      </w:r>
      <w:r w:rsidR="00D7799F" w:rsidRPr="00B55AFC">
        <w:rPr>
          <w:rFonts w:ascii="Arial" w:hAnsi="Arial" w:cs="Arial"/>
          <w:sz w:val="23"/>
          <w:szCs w:val="23"/>
        </w:rPr>
        <w:t xml:space="preserve">ode dne </w:t>
      </w:r>
      <w:r w:rsidR="00D7799F" w:rsidRPr="00B55AFC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B55AFC">
        <w:rPr>
          <w:rFonts w:ascii="Arial" w:hAnsi="Arial" w:cs="Arial"/>
          <w:sz w:val="23"/>
          <w:szCs w:val="23"/>
        </w:rPr>
        <w:t xml:space="preserve"> </w:t>
      </w:r>
      <w:r w:rsidR="003F7B02" w:rsidRPr="00B55AFC">
        <w:rPr>
          <w:rFonts w:ascii="Arial" w:hAnsi="Arial" w:cs="Arial"/>
          <w:sz w:val="23"/>
          <w:szCs w:val="23"/>
        </w:rPr>
        <w:t xml:space="preserve">této </w:t>
      </w:r>
      <w:r w:rsidR="00250E90" w:rsidRPr="00B55AFC">
        <w:rPr>
          <w:rFonts w:ascii="Arial" w:hAnsi="Arial" w:cs="Arial"/>
          <w:sz w:val="23"/>
          <w:szCs w:val="23"/>
        </w:rPr>
        <w:t>smlouvy a Kupující se zavazuje</w:t>
      </w:r>
      <w:r w:rsidR="00250E90" w:rsidRPr="008D17FE">
        <w:rPr>
          <w:rFonts w:ascii="Arial" w:hAnsi="Arial" w:cs="Arial"/>
          <w:sz w:val="23"/>
          <w:szCs w:val="23"/>
        </w:rPr>
        <w:t xml:space="preserve">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1DDE7DB6" w:rsidR="00BE2371" w:rsidRPr="00183DEA" w:rsidRDefault="001102B1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Místem dodání Zboží </w:t>
      </w:r>
      <w:r w:rsidR="00321FF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sklad Materiálně-technického zásobování</w:t>
      </w:r>
      <w:r w:rsidRPr="00B166E6">
        <w:rPr>
          <w:rFonts w:ascii="Arial" w:hAnsi="Arial" w:cs="Arial"/>
          <w:sz w:val="22"/>
          <w:szCs w:val="22"/>
        </w:rPr>
        <w:t>, pracoviště Nemocnice Bohunice a Porodnice (</w:t>
      </w:r>
      <w:r>
        <w:rPr>
          <w:rFonts w:ascii="Arial" w:hAnsi="Arial" w:cs="Arial"/>
          <w:sz w:val="22"/>
          <w:szCs w:val="22"/>
        </w:rPr>
        <w:t>NBP), Jihlavská 20, 625 00 Brno.</w:t>
      </w:r>
    </w:p>
    <w:p w14:paraId="49E804B8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8AA5DB8" w14:textId="518CC6BB" w:rsidR="001102B1" w:rsidRPr="001102B1" w:rsidRDefault="001102B1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F547E8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pět pracovních dnů před plánovaným termínem </w:t>
      </w:r>
      <w:r>
        <w:rPr>
          <w:rFonts w:ascii="Arial" w:hAnsi="Arial" w:cs="Arial"/>
          <w:sz w:val="22"/>
          <w:szCs w:val="22"/>
        </w:rPr>
        <w:t>dodání</w:t>
      </w:r>
      <w:r w:rsidRPr="007E6F20">
        <w:rPr>
          <w:rFonts w:ascii="Arial" w:hAnsi="Arial" w:cs="Arial"/>
          <w:sz w:val="22"/>
          <w:szCs w:val="22"/>
        </w:rPr>
        <w:t xml:space="preserve"> na sklad FN Brno </w:t>
      </w:r>
      <w:r w:rsidR="00A81A6B">
        <w:rPr>
          <w:rFonts w:ascii="Arial" w:hAnsi="Arial" w:cs="Arial"/>
          <w:sz w:val="22"/>
          <w:szCs w:val="22"/>
          <w:lang w:val="cs-CZ"/>
        </w:rPr>
        <w:t xml:space="preserve">paní </w:t>
      </w:r>
      <w:r w:rsidR="00030B88">
        <w:rPr>
          <w:rFonts w:ascii="Arial" w:hAnsi="Arial" w:cs="Arial"/>
          <w:sz w:val="22"/>
          <w:szCs w:val="22"/>
          <w:lang w:val="cs-CZ"/>
        </w:rPr>
        <w:t>XXXXXXXXX</w:t>
      </w:r>
      <w:r w:rsidRPr="007E6F20">
        <w:rPr>
          <w:rFonts w:ascii="Arial" w:hAnsi="Arial" w:cs="Arial"/>
          <w:sz w:val="22"/>
          <w:szCs w:val="22"/>
        </w:rPr>
        <w:t xml:space="preserve"> vedoucí</w:t>
      </w:r>
      <w:r>
        <w:rPr>
          <w:rFonts w:ascii="Arial" w:hAnsi="Arial" w:cs="Arial"/>
          <w:sz w:val="22"/>
          <w:szCs w:val="22"/>
          <w:lang w:val="cs-CZ"/>
        </w:rPr>
        <w:t>mu</w:t>
      </w:r>
      <w:r w:rsidRPr="007E6F20">
        <w:rPr>
          <w:rFonts w:ascii="Arial" w:hAnsi="Arial" w:cs="Arial"/>
          <w:sz w:val="22"/>
          <w:szCs w:val="22"/>
        </w:rPr>
        <w:t xml:space="preserve"> MTZ, tel.: </w:t>
      </w:r>
      <w:r w:rsidR="00030B88">
        <w:rPr>
          <w:rFonts w:ascii="Arial" w:hAnsi="Arial" w:cs="Arial"/>
          <w:sz w:val="22"/>
          <w:szCs w:val="22"/>
          <w:lang w:val="cs-CZ"/>
        </w:rPr>
        <w:t>XXXXXXXX</w:t>
      </w:r>
      <w:r w:rsidRPr="007E6F20">
        <w:rPr>
          <w:rFonts w:ascii="Arial" w:hAnsi="Arial" w:cs="Arial"/>
          <w:sz w:val="22"/>
          <w:szCs w:val="22"/>
        </w:rPr>
        <w:t xml:space="preserve">, e-mail: </w:t>
      </w:r>
      <w:r w:rsidR="00030B88">
        <w:rPr>
          <w:rFonts w:ascii="Arial" w:hAnsi="Arial" w:cs="Arial"/>
          <w:sz w:val="22"/>
          <w:szCs w:val="22"/>
          <w:lang w:val="cs-CZ"/>
        </w:rPr>
        <w:t>XXXXXXXXXXX</w:t>
      </w:r>
      <w:bookmarkStart w:id="0" w:name="_GoBack"/>
      <w:bookmarkEnd w:id="0"/>
      <w:r w:rsidR="00A81A6B" w:rsidRPr="00030B88">
        <w:rPr>
          <w:rFonts w:ascii="Arial" w:hAnsi="Arial" w:cs="Arial"/>
          <w:sz w:val="22"/>
          <w:szCs w:val="22"/>
        </w:rPr>
        <w:t>@fnbrno.cz</w:t>
      </w:r>
      <w:r w:rsidRPr="007E6F20">
        <w:rPr>
          <w:rFonts w:ascii="Arial" w:hAnsi="Arial" w:cs="Arial"/>
          <w:sz w:val="22"/>
          <w:szCs w:val="22"/>
        </w:rPr>
        <w:t>. Bez tohoto oznámení není Kupující povinen</w:t>
      </w:r>
      <w:r w:rsidRPr="00F547E8">
        <w:rPr>
          <w:rFonts w:ascii="Arial" w:hAnsi="Arial" w:cs="Arial"/>
          <w:sz w:val="22"/>
          <w:szCs w:val="22"/>
        </w:rPr>
        <w:t xml:space="preserve"> Zboží převzít.</w:t>
      </w:r>
    </w:p>
    <w:p w14:paraId="7EB38EFE" w14:textId="77777777" w:rsidR="001102B1" w:rsidRDefault="001102B1" w:rsidP="006E465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C1FD911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5CD71B79" w14:textId="77777777" w:rsidR="001102B1" w:rsidRPr="005D1B08" w:rsidRDefault="001102B1" w:rsidP="001102B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345C793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</w:t>
      </w:r>
    </w:p>
    <w:p w14:paraId="67062B57" w14:textId="77777777" w:rsidR="001102B1" w:rsidRPr="005D1B08" w:rsidRDefault="001102B1" w:rsidP="001102B1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2B999BF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Kupujícího nebezpečí škody na Zboží.</w:t>
      </w:r>
    </w:p>
    <w:p w14:paraId="2BE8E7E9" w14:textId="77777777" w:rsidR="003E68A8" w:rsidRDefault="003E68A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C9F9471" w14:textId="60EAD48C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349F876B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3904"/>
      </w:tblGrid>
      <w:tr w:rsidR="00B55AFC" w14:paraId="05DB80E8" w14:textId="77777777">
        <w:trPr>
          <w:trHeight w:val="372"/>
        </w:trPr>
        <w:tc>
          <w:tcPr>
            <w:tcW w:w="3904" w:type="dxa"/>
          </w:tcPr>
          <w:p w14:paraId="00D8FD7D" w14:textId="45ACBCA3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04" w:type="dxa"/>
          </w:tcPr>
          <w:p w14:paraId="3FD913DB" w14:textId="698035F5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</w:tr>
      <w:tr w:rsidR="00B55AFC" w14:paraId="76AA6B4C" w14:textId="77777777">
        <w:trPr>
          <w:trHeight w:val="108"/>
        </w:trPr>
        <w:tc>
          <w:tcPr>
            <w:tcW w:w="3904" w:type="dxa"/>
          </w:tcPr>
          <w:p w14:paraId="50ECF2E3" w14:textId="0ECD924F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04" w:type="dxa"/>
          </w:tcPr>
          <w:p w14:paraId="2D2EC78E" w14:textId="76A2E8EB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</w:tr>
      <w:tr w:rsidR="00B55AFC" w14:paraId="1A10910C" w14:textId="77777777">
        <w:trPr>
          <w:trHeight w:val="373"/>
        </w:trPr>
        <w:tc>
          <w:tcPr>
            <w:tcW w:w="3904" w:type="dxa"/>
          </w:tcPr>
          <w:p w14:paraId="02E34537" w14:textId="7F72930C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04" w:type="dxa"/>
          </w:tcPr>
          <w:p w14:paraId="1497AE90" w14:textId="62CE754E" w:rsidR="00B55AFC" w:rsidRDefault="00B55AFC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3D30AE0" w14:textId="1FA8AD3D" w:rsidR="00452F5B" w:rsidRPr="00B55AFC" w:rsidRDefault="00452F5B" w:rsidP="00710374">
      <w:pPr>
        <w:pStyle w:val="Zkladntext3"/>
        <w:rPr>
          <w:rFonts w:ascii="Arial" w:hAnsi="Arial" w:cs="Arial"/>
          <w:b/>
          <w:sz w:val="22"/>
          <w:szCs w:val="22"/>
          <w:lang w:val="cs-CZ"/>
        </w:rPr>
      </w:pPr>
      <w:r w:rsidRPr="00B55AFC">
        <w:rPr>
          <w:rFonts w:ascii="Arial" w:hAnsi="Arial" w:cs="Arial"/>
          <w:b/>
          <w:sz w:val="22"/>
          <w:szCs w:val="22"/>
          <w:lang w:val="cs-CZ"/>
        </w:rPr>
        <w:t>Pro část č. 11 – TYP J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B55AFC" w:rsidRPr="00B55AFC" w14:paraId="550ADA62" w14:textId="77777777" w:rsidTr="005A459C">
        <w:tc>
          <w:tcPr>
            <w:tcW w:w="2977" w:type="dxa"/>
            <w:shd w:val="clear" w:color="auto" w:fill="auto"/>
          </w:tcPr>
          <w:p w14:paraId="02553335" w14:textId="77777777" w:rsidR="00B55AFC" w:rsidRPr="00B55AFC" w:rsidRDefault="00B55AFC" w:rsidP="00B55AF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199A273D" w14:textId="77777777" w:rsidR="00B55AFC" w:rsidRPr="00B55AFC" w:rsidRDefault="00B55AFC" w:rsidP="00B55AF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3E18F69" w14:textId="70CAC740" w:rsidR="00B55AFC" w:rsidRPr="00B55AFC" w:rsidRDefault="00CE1582" w:rsidP="00B55A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</w:t>
            </w:r>
            <w:r w:rsidR="00CF6F0D">
              <w:rPr>
                <w:b/>
                <w:bCs/>
                <w:sz w:val="22"/>
                <w:szCs w:val="22"/>
              </w:rPr>
              <w:t>612,00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312E3743" w14:textId="2F47A0F6" w:rsidR="00B55AFC" w:rsidRPr="00B55AFC" w:rsidRDefault="00B55AFC" w:rsidP="00B55AF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devatenácttisícšestsetdvanáct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českých) </w:t>
            </w:r>
          </w:p>
        </w:tc>
      </w:tr>
      <w:tr w:rsidR="00B55AFC" w:rsidRPr="00B55AFC" w14:paraId="5A05A094" w14:textId="77777777" w:rsidTr="005A459C">
        <w:tc>
          <w:tcPr>
            <w:tcW w:w="2977" w:type="dxa"/>
            <w:shd w:val="clear" w:color="auto" w:fill="auto"/>
          </w:tcPr>
          <w:p w14:paraId="1C68C1AA" w14:textId="77777777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9DA44FC" w14:textId="77777777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45957A86" w14:textId="77777777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128A2DA4" w14:textId="2FE7405B" w:rsidR="00B55AFC" w:rsidRPr="00B55AFC" w:rsidRDefault="00CE1582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CF6F0D">
              <w:rPr>
                <w:rFonts w:ascii="Arial" w:hAnsi="Arial" w:cs="Arial"/>
                <w:b/>
                <w:bCs/>
                <w:sz w:val="22"/>
                <w:szCs w:val="22"/>
              </w:rPr>
              <w:t>118,52</w:t>
            </w:r>
            <w:r w:rsidR="00B55AFC"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B55AFC" w:rsidRPr="00B55AFC" w14:paraId="35424AB2" w14:textId="77777777" w:rsidTr="005A459C">
        <w:tc>
          <w:tcPr>
            <w:tcW w:w="2977" w:type="dxa"/>
            <w:shd w:val="clear" w:color="auto" w:fill="auto"/>
          </w:tcPr>
          <w:p w14:paraId="24EE29DB" w14:textId="77777777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FC87319" w14:textId="77777777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68677723" w14:textId="0AAD4494" w:rsidR="00B55AFC" w:rsidRPr="00B55AFC" w:rsidRDefault="00CE1582" w:rsidP="00B55A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</w:t>
            </w:r>
            <w:r w:rsidR="00CF6F0D">
              <w:rPr>
                <w:b/>
                <w:bCs/>
                <w:sz w:val="22"/>
                <w:szCs w:val="22"/>
              </w:rPr>
              <w:t>730,52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286B3E50" w14:textId="645255A6" w:rsidR="00B55AFC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dvacettřitisícsedmsettřicet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českých,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padesátdva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haléřů)</w:t>
            </w:r>
          </w:p>
        </w:tc>
      </w:tr>
    </w:tbl>
    <w:p w14:paraId="4B385B04" w14:textId="77777777" w:rsidR="00452F5B" w:rsidRPr="00B55AFC" w:rsidRDefault="00452F5B" w:rsidP="00452F5B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C0885D0" w14:textId="28F025D2" w:rsidR="00452F5B" w:rsidRPr="00B55AFC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B55AFC">
        <w:rPr>
          <w:rFonts w:ascii="Arial" w:hAnsi="Arial" w:cs="Arial"/>
          <w:b/>
          <w:sz w:val="22"/>
          <w:szCs w:val="22"/>
          <w:lang w:val="cs-CZ"/>
        </w:rPr>
        <w:t>Pro část č. 12 – TYP K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452F5B" w:rsidRPr="00B55AFC" w14:paraId="65ABF130" w14:textId="77777777" w:rsidTr="005A459C">
        <w:tc>
          <w:tcPr>
            <w:tcW w:w="2977" w:type="dxa"/>
            <w:shd w:val="clear" w:color="auto" w:fill="auto"/>
          </w:tcPr>
          <w:p w14:paraId="7E0262D6" w14:textId="77777777" w:rsidR="00452F5B" w:rsidRPr="00B55AFC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C96A99F" w14:textId="77777777" w:rsidR="00452F5B" w:rsidRPr="00B55AFC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39ADB4B" w14:textId="79387306" w:rsidR="00B55AFC" w:rsidRPr="00B55AFC" w:rsidRDefault="00CE1582" w:rsidP="00B55A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 w:rsidR="00CF6F0D">
              <w:rPr>
                <w:b/>
                <w:bCs/>
                <w:sz w:val="22"/>
                <w:szCs w:val="22"/>
              </w:rPr>
              <w:t>230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,- Kč </w:t>
            </w:r>
          </w:p>
          <w:p w14:paraId="4E1A6545" w14:textId="087032D7" w:rsidR="00452F5B" w:rsidRPr="00B55AFC" w:rsidRDefault="00B55AFC" w:rsidP="00B55AF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sedmtisícdvěstětřicet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českých) </w:t>
            </w:r>
          </w:p>
        </w:tc>
      </w:tr>
      <w:tr w:rsidR="00452F5B" w:rsidRPr="00B55AFC" w14:paraId="5C8FC9B3" w14:textId="77777777" w:rsidTr="005A459C">
        <w:tc>
          <w:tcPr>
            <w:tcW w:w="2977" w:type="dxa"/>
            <w:shd w:val="clear" w:color="auto" w:fill="auto"/>
          </w:tcPr>
          <w:p w14:paraId="1050B893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3C595BB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4E0DCE7F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2B7B462" w14:textId="2773EFB1" w:rsidR="00452F5B" w:rsidRPr="00B55AFC" w:rsidRDefault="00CE1582" w:rsidP="00B55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CF6F0D">
              <w:rPr>
                <w:b/>
                <w:bCs/>
                <w:sz w:val="22"/>
                <w:szCs w:val="22"/>
              </w:rPr>
              <w:t>518,30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</w:tc>
      </w:tr>
      <w:tr w:rsidR="00452F5B" w:rsidRPr="00B55AFC" w14:paraId="2BBD24D5" w14:textId="77777777" w:rsidTr="005A459C">
        <w:tc>
          <w:tcPr>
            <w:tcW w:w="2977" w:type="dxa"/>
            <w:shd w:val="clear" w:color="auto" w:fill="auto"/>
          </w:tcPr>
          <w:p w14:paraId="1339B76B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283E30C1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687F8EF2" w14:textId="2FDB0320" w:rsidR="00B55AFC" w:rsidRPr="00B55AFC" w:rsidRDefault="00CE1582" w:rsidP="00B55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 w:rsidR="00CF6F0D">
              <w:rPr>
                <w:b/>
                <w:bCs/>
                <w:sz w:val="22"/>
                <w:szCs w:val="22"/>
              </w:rPr>
              <w:t>748,30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62C14691" w14:textId="728D8ACA" w:rsidR="00452F5B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osmtisícsedmsetčtyřicetosm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českých, třicet haléřů) </w:t>
            </w:r>
          </w:p>
        </w:tc>
      </w:tr>
    </w:tbl>
    <w:p w14:paraId="4FC16DA1" w14:textId="77777777" w:rsidR="00452F5B" w:rsidRPr="00B55AFC" w:rsidRDefault="00452F5B" w:rsidP="00452F5B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A979A38" w14:textId="02436032" w:rsidR="00452F5B" w:rsidRPr="00B55AFC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B55AFC">
        <w:rPr>
          <w:rFonts w:ascii="Arial" w:hAnsi="Arial" w:cs="Arial"/>
          <w:b/>
          <w:sz w:val="22"/>
          <w:szCs w:val="22"/>
          <w:lang w:val="cs-CZ"/>
        </w:rPr>
        <w:t>Pro část č. 16 – TYP O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452F5B" w:rsidRPr="00B55AFC" w14:paraId="37B9152A" w14:textId="77777777" w:rsidTr="005A459C">
        <w:tc>
          <w:tcPr>
            <w:tcW w:w="2977" w:type="dxa"/>
            <w:shd w:val="clear" w:color="auto" w:fill="auto"/>
          </w:tcPr>
          <w:p w14:paraId="3504434A" w14:textId="77777777" w:rsidR="00452F5B" w:rsidRPr="00B55AFC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F964BC4" w14:textId="77777777" w:rsidR="00452F5B" w:rsidRPr="00B55AFC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6FB3A326" w14:textId="1062D0B5" w:rsidR="00B55AFC" w:rsidRPr="00B55AFC" w:rsidRDefault="00CE1582" w:rsidP="00B55A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138.</w:t>
            </w:r>
            <w:r w:rsidR="00CF6F0D">
              <w:rPr>
                <w:b/>
                <w:bCs/>
                <w:sz w:val="22"/>
                <w:szCs w:val="22"/>
              </w:rPr>
              <w:t>932,00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58A7C839" w14:textId="25B759B8" w:rsidR="00452F5B" w:rsidRPr="00B55AFC" w:rsidRDefault="00B55AFC" w:rsidP="00B55AF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stotřicetosmtisícdevětsettřicetdva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českých) </w:t>
            </w:r>
          </w:p>
        </w:tc>
      </w:tr>
      <w:tr w:rsidR="00452F5B" w:rsidRPr="00B55AFC" w14:paraId="71FB70DA" w14:textId="77777777" w:rsidTr="005A459C">
        <w:tc>
          <w:tcPr>
            <w:tcW w:w="2977" w:type="dxa"/>
            <w:shd w:val="clear" w:color="auto" w:fill="auto"/>
          </w:tcPr>
          <w:p w14:paraId="526DB9A8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6785439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6143E1A7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276A6879" w14:textId="63F34306" w:rsidR="00B55AFC" w:rsidRPr="00B55AFC" w:rsidRDefault="00CE1582" w:rsidP="00B55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</w:t>
            </w:r>
            <w:r w:rsidR="00CF6F0D">
              <w:rPr>
                <w:b/>
                <w:bCs/>
                <w:sz w:val="22"/>
                <w:szCs w:val="22"/>
              </w:rPr>
              <w:t>175,72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0434A06F" w14:textId="5FB3F411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452F5B" w:rsidRPr="00B55AFC" w14:paraId="4DCC6300" w14:textId="77777777" w:rsidTr="005A459C">
        <w:tc>
          <w:tcPr>
            <w:tcW w:w="2977" w:type="dxa"/>
            <w:shd w:val="clear" w:color="auto" w:fill="auto"/>
          </w:tcPr>
          <w:p w14:paraId="562553AE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108170B" w14:textId="77777777" w:rsidR="00452F5B" w:rsidRPr="00B55AFC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6732361A" w14:textId="0E556F31" w:rsidR="00B55AFC" w:rsidRPr="00B55AFC" w:rsidRDefault="00CE1582" w:rsidP="00B55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168.</w:t>
            </w:r>
            <w:r w:rsidR="00CF6F0D">
              <w:rPr>
                <w:b/>
                <w:bCs/>
                <w:sz w:val="22"/>
                <w:szCs w:val="22"/>
              </w:rPr>
              <w:t>107,72</w:t>
            </w:r>
            <w:r w:rsidR="00B55AFC" w:rsidRPr="00B55AFC">
              <w:rPr>
                <w:b/>
                <w:bCs/>
                <w:sz w:val="22"/>
                <w:szCs w:val="22"/>
              </w:rPr>
              <w:t xml:space="preserve"> Kč </w:t>
            </w:r>
          </w:p>
          <w:p w14:paraId="01A90FB6" w14:textId="545D8B4E" w:rsidR="00452F5B" w:rsidRPr="00B55AFC" w:rsidRDefault="00B55AFC" w:rsidP="00B55AF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(slovy: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stošedesátosmtisícstosedm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korun českých, </w:t>
            </w:r>
            <w:proofErr w:type="spellStart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>sedmdesátdva</w:t>
            </w:r>
            <w:proofErr w:type="spellEnd"/>
            <w:r w:rsidRPr="00B55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haléřů) </w:t>
            </w:r>
          </w:p>
        </w:tc>
      </w:tr>
    </w:tbl>
    <w:p w14:paraId="34FEE572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60A412DD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6D9BDA68" w14:textId="77777777" w:rsidR="00452F5B" w:rsidRDefault="00452F5B" w:rsidP="00452F5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p w14:paraId="346F07F4" w14:textId="13030ECF" w:rsidR="00B3728B" w:rsidRPr="00C06850" w:rsidRDefault="00452F5B" w:rsidP="00B3728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  <w:r>
        <w:rPr>
          <w:rFonts w:ascii="Arial" w:hAnsi="Arial" w:cs="Arial"/>
          <w:b/>
          <w:sz w:val="23"/>
          <w:szCs w:val="23"/>
          <w:lang w:val="cs-CZ"/>
        </w:rPr>
        <w:t>C</w:t>
      </w:r>
      <w:r w:rsidR="00B3728B">
        <w:rPr>
          <w:rFonts w:ascii="Arial" w:hAnsi="Arial" w:cs="Arial"/>
          <w:b/>
          <w:sz w:val="23"/>
          <w:szCs w:val="23"/>
          <w:lang w:val="cs-CZ"/>
        </w:rPr>
        <w:t xml:space="preserve">elkem za </w:t>
      </w:r>
      <w:r w:rsidR="00887D29">
        <w:rPr>
          <w:rFonts w:ascii="Arial" w:hAnsi="Arial" w:cs="Arial"/>
          <w:b/>
          <w:sz w:val="23"/>
          <w:szCs w:val="23"/>
          <w:lang w:val="cs-CZ"/>
        </w:rPr>
        <w:t>všechny</w:t>
      </w:r>
      <w:r w:rsidR="00B3728B">
        <w:rPr>
          <w:rFonts w:ascii="Arial" w:hAnsi="Arial" w:cs="Arial"/>
          <w:b/>
          <w:sz w:val="23"/>
          <w:szCs w:val="23"/>
          <w:lang w:val="cs-CZ"/>
        </w:rPr>
        <w:t xml:space="preserve"> části</w:t>
      </w:r>
    </w:p>
    <w:p w14:paraId="1C44ACF6" w14:textId="4BDFBE8C" w:rsidR="00B3728B" w:rsidRPr="00B3728B" w:rsidRDefault="00B3728B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6166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47C2C020" w:rsidR="00FC6465" w:rsidRPr="007766C8" w:rsidRDefault="00CF6F0D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165.774,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7015A7BC" w:rsidR="00FC6465" w:rsidRPr="007766C8" w:rsidRDefault="00FC6465" w:rsidP="00CF6F0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jednostošedesátpěttisícsedmsetsedmdesátčtyři</w:t>
            </w:r>
            <w:proofErr w:type="spellEnd"/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4497C742" w:rsidR="00FC6465" w:rsidRPr="007766C8" w:rsidRDefault="00CF6F0D" w:rsidP="00CF6F0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34.812,54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65983160" w:rsidR="00FC6465" w:rsidRPr="007766C8" w:rsidRDefault="00CF6F0D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200.586,54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76CBB6A" w14:textId="136B2025" w:rsidR="00FC6465" w:rsidRPr="007766C8" w:rsidRDefault="00FC6465" w:rsidP="00CF6F0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 w:rsidR="0096281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proofErr w:type="spellStart"/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dvěstětisícpětsetosmdesátšeset</w:t>
            </w:r>
            <w:proofErr w:type="spellEnd"/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 českých</w:t>
            </w:r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, </w:t>
            </w:r>
            <w:proofErr w:type="spellStart"/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>padesátčtyči</w:t>
            </w:r>
            <w:proofErr w:type="spellEnd"/>
            <w:r w:rsidR="00CF6F0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E89C78" w14:textId="1A75CD7E" w:rsidR="001102B1" w:rsidRPr="005D1B08" w:rsidRDefault="001102B1" w:rsidP="001102B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Sjednaná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D1B0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>zahrnuje kromě Z</w:t>
      </w:r>
      <w:r>
        <w:rPr>
          <w:rFonts w:ascii="Arial" w:hAnsi="Arial" w:cs="Arial"/>
          <w:sz w:val="22"/>
          <w:szCs w:val="22"/>
        </w:rPr>
        <w:t>boží,</w:t>
      </w:r>
      <w:r w:rsidRPr="005D1B08">
        <w:rPr>
          <w:rFonts w:ascii="Arial" w:hAnsi="Arial" w:cs="Arial"/>
          <w:sz w:val="22"/>
          <w:szCs w:val="22"/>
        </w:rPr>
        <w:t xml:space="preserve"> zejména </w:t>
      </w:r>
      <w:r>
        <w:rPr>
          <w:rFonts w:ascii="Arial" w:hAnsi="Arial" w:cs="Arial"/>
          <w:sz w:val="22"/>
          <w:szCs w:val="22"/>
        </w:rPr>
        <w:t xml:space="preserve">náklady na </w:t>
      </w:r>
      <w:r w:rsidRPr="005D1B08">
        <w:rPr>
          <w:rFonts w:ascii="Arial" w:hAnsi="Arial" w:cs="Arial"/>
          <w:sz w:val="22"/>
          <w:szCs w:val="22"/>
        </w:rPr>
        <w:t>dopravu</w:t>
      </w:r>
      <w:r>
        <w:rPr>
          <w:rFonts w:ascii="Arial" w:hAnsi="Arial" w:cs="Arial"/>
          <w:sz w:val="22"/>
          <w:szCs w:val="22"/>
        </w:rPr>
        <w:t xml:space="preserve"> do místa plnění</w:t>
      </w:r>
      <w:r w:rsidR="00105769">
        <w:rPr>
          <w:rFonts w:ascii="Arial" w:hAnsi="Arial" w:cs="Arial"/>
          <w:sz w:val="22"/>
          <w:szCs w:val="22"/>
          <w:lang w:val="cs-CZ"/>
        </w:rPr>
        <w:t xml:space="preserve"> včetně montáže</w:t>
      </w:r>
      <w:r w:rsidRPr="005D1B08">
        <w:rPr>
          <w:rFonts w:ascii="Arial" w:hAnsi="Arial" w:cs="Arial"/>
          <w:sz w:val="22"/>
          <w:szCs w:val="22"/>
        </w:rPr>
        <w:t>, obaly, naložení, složení, pojištění během do</w:t>
      </w:r>
      <w:r>
        <w:rPr>
          <w:rFonts w:ascii="Arial" w:hAnsi="Arial" w:cs="Arial"/>
          <w:sz w:val="22"/>
          <w:szCs w:val="22"/>
        </w:rPr>
        <w:t>pravy, případné clo, instalaci</w:t>
      </w:r>
      <w:r w:rsidRPr="005D1B08">
        <w:rPr>
          <w:rFonts w:ascii="Arial" w:hAnsi="Arial" w:cs="Arial"/>
          <w:sz w:val="22"/>
          <w:szCs w:val="22"/>
        </w:rPr>
        <w:t xml:space="preserve">, recyklační poplatek </w:t>
      </w:r>
      <w:r w:rsidRPr="005D1B08">
        <w:rPr>
          <w:rFonts w:ascii="Arial" w:hAnsi="Arial" w:cs="Arial"/>
          <w:i/>
          <w:sz w:val="22"/>
          <w:szCs w:val="22"/>
        </w:rPr>
        <w:t>(pouze u zboží, které tomuto poplatku podle zákona č. 185/2001 Sb., o odpadech, ve znění pozdějších předpisů, podléhá)</w:t>
      </w:r>
      <w:r w:rsidRPr="005D1B08">
        <w:rPr>
          <w:rFonts w:ascii="Arial" w:hAnsi="Arial" w:cs="Arial"/>
          <w:sz w:val="22"/>
          <w:szCs w:val="22"/>
        </w:rPr>
        <w:t>.</w:t>
      </w:r>
    </w:p>
    <w:p w14:paraId="79C78DA5" w14:textId="77777777" w:rsidR="001102B1" w:rsidRPr="005D1B08" w:rsidRDefault="001102B1" w:rsidP="001102B1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6AEA7B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12985F" w14:textId="2AD7526F" w:rsidR="00FD621D" w:rsidRPr="007B4AC9" w:rsidRDefault="007B4AC9" w:rsidP="007B4AC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>60</w:t>
      </w: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dnů od data vystavení faktury. Dnem uskutečnění zdanitelného plnění bude den protokolárního převzetí předmětu plnění kupujícím od Prodávajícího.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 xml:space="preserve"> </w:t>
      </w:r>
    </w:p>
    <w:p w14:paraId="21824711" w14:textId="491FE847" w:rsidR="007B4AC9" w:rsidRPr="007B4AC9" w:rsidRDefault="007B4AC9" w:rsidP="007B4AC9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="00D7799F">
        <w:rPr>
          <w:rFonts w:ascii="Arial" w:hAnsi="Arial" w:cs="Arial"/>
          <w:sz w:val="22"/>
          <w:szCs w:val="22"/>
        </w:rPr>
        <w:t>541/20</w:t>
      </w:r>
      <w:r w:rsidR="00D7799F">
        <w:rPr>
          <w:rFonts w:ascii="Arial" w:hAnsi="Arial" w:cs="Arial"/>
          <w:sz w:val="22"/>
          <w:szCs w:val="22"/>
          <w:lang w:val="cs-CZ"/>
        </w:rPr>
        <w:t>20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28DB099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4681055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1710AB05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8D04E96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00635A01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="004E1AB6">
        <w:rPr>
          <w:rFonts w:ascii="Arial" w:hAnsi="Arial" w:cs="Arial"/>
          <w:b/>
          <w:sz w:val="23"/>
          <w:szCs w:val="23"/>
          <w:lang w:val="cs-CZ"/>
        </w:rPr>
        <w:t>24</w:t>
      </w:r>
      <w:r w:rsidRPr="00C50669">
        <w:rPr>
          <w:rFonts w:ascii="Arial" w:hAnsi="Arial" w:cs="Arial"/>
          <w:b/>
          <w:sz w:val="23"/>
          <w:szCs w:val="23"/>
          <w:lang w:val="cs-CZ"/>
        </w:rPr>
        <w:t xml:space="preserve">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AF7BC1">
        <w:rPr>
          <w:rFonts w:ascii="Arial" w:hAnsi="Arial" w:cs="Arial"/>
          <w:sz w:val="23"/>
          <w:szCs w:val="23"/>
          <w:lang w:val="cs-CZ"/>
        </w:rPr>
        <w:t>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6CABA76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2F097EB" w14:textId="41F70813" w:rsidR="008F4237" w:rsidRPr="005714C9" w:rsidRDefault="006E2FF9" w:rsidP="005714C9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5BB6D92A" w14:textId="77777777" w:rsidR="005714C9" w:rsidRDefault="005714C9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87D0B0" w14:textId="1DA4F0CE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2399874A" w14:textId="77777777" w:rsidR="005714C9" w:rsidRDefault="005714C9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ECD67A6" w14:textId="546436DC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759CD14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C948228" w14:textId="77777777" w:rsidR="00A81A6B" w:rsidRDefault="00A81A6B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35FF1C" w14:textId="5816CB7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BF790EF" w14:textId="6FC78CA3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9563E15" w14:textId="034205CD" w:rsidR="00D7799F" w:rsidRPr="00313A91" w:rsidRDefault="00D7799F" w:rsidP="00D7799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579A6C1" w14:textId="6C16307E" w:rsid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4A6925ED" w14:textId="77777777" w:rsidR="00A81A6B" w:rsidRDefault="00A81A6B" w:rsidP="00D818EC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20"/>
      </w:tblGrid>
      <w:tr w:rsidR="00D039A9" w:rsidRPr="008D17FE" w14:paraId="68170AF6" w14:textId="77777777" w:rsidTr="00AF7BC1">
        <w:tc>
          <w:tcPr>
            <w:tcW w:w="4552" w:type="dxa"/>
          </w:tcPr>
          <w:p w14:paraId="2C90FC8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6810EDBC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92160E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E81D11">
              <w:rPr>
                <w:rFonts w:ascii="Arial" w:hAnsi="Arial" w:cs="Arial"/>
                <w:sz w:val="23"/>
                <w:szCs w:val="23"/>
                <w:lang w:val="cs-CZ"/>
              </w:rPr>
              <w:t>………………………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2F39786" w14:textId="77777777" w:rsidR="005714C9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836C86D" w14:textId="77777777" w:rsidR="003E68A8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A9F7134" w14:textId="77777777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F13C878" w14:textId="77777777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5B8F9A00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7403687B" w:rsidR="007157D9" w:rsidRPr="00E7575B" w:rsidRDefault="0092160E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       ENPRAG, s.r.o.</w:t>
            </w:r>
          </w:p>
          <w:p w14:paraId="465E3A2E" w14:textId="50AF9C25" w:rsidR="007157D9" w:rsidRPr="003E0DE8" w:rsidRDefault="008C3401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</w:t>
            </w:r>
            <w:r w:rsidR="0092160E">
              <w:rPr>
                <w:rFonts w:ascii="Arial" w:hAnsi="Arial" w:cs="Arial"/>
                <w:sz w:val="23"/>
                <w:szCs w:val="23"/>
                <w:lang w:val="cs-CZ"/>
              </w:rPr>
              <w:t xml:space="preserve">     </w:t>
            </w: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92160E">
              <w:rPr>
                <w:rFonts w:ascii="Arial" w:hAnsi="Arial" w:cs="Arial"/>
                <w:sz w:val="23"/>
                <w:szCs w:val="23"/>
                <w:lang w:val="cs-CZ"/>
              </w:rPr>
              <w:t>Ladislav Kroupa</w:t>
            </w:r>
          </w:p>
          <w:p w14:paraId="5AD34DD0" w14:textId="0E87425E" w:rsidR="00A51741" w:rsidRDefault="0092160E" w:rsidP="0092160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    </w:t>
            </w:r>
            <w:r w:rsidR="00AF7BC1">
              <w:rPr>
                <w:rFonts w:ascii="Arial" w:hAnsi="Arial" w:cs="Arial"/>
                <w:sz w:val="23"/>
                <w:szCs w:val="23"/>
                <w:lang w:val="cs-CZ"/>
              </w:rPr>
              <w:t>j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>ednatel</w:t>
            </w:r>
          </w:p>
          <w:p w14:paraId="119A5F12" w14:textId="77777777" w:rsidR="00452F5B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3FBB91A2" w14:textId="77777777" w:rsidR="00AF7BC1" w:rsidRDefault="00AF7BC1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  <w:r w:rsidRPr="005D1B08">
              <w:rPr>
                <w:rFonts w:ascii="Arial" w:hAnsi="Arial" w:cs="Arial"/>
              </w:rPr>
              <w:t>Příloha č. 1 –</w:t>
            </w:r>
            <w:r>
              <w:rPr>
                <w:rFonts w:ascii="Arial" w:hAnsi="Arial" w:cs="Arial"/>
              </w:rPr>
              <w:t xml:space="preserve"> </w:t>
            </w:r>
            <w:r w:rsidRPr="005D1B08">
              <w:rPr>
                <w:rFonts w:ascii="Arial" w:hAnsi="Arial" w:cs="Arial"/>
              </w:rPr>
              <w:t>specifikace</w:t>
            </w:r>
            <w:r>
              <w:rPr>
                <w:rFonts w:ascii="Arial" w:hAnsi="Arial" w:cs="Arial"/>
              </w:rPr>
              <w:t xml:space="preserve"> položek</w:t>
            </w:r>
          </w:p>
          <w:p w14:paraId="19CED603" w14:textId="77777777" w:rsidR="00710374" w:rsidRDefault="00710374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69544AFF" w14:textId="77777777" w:rsidR="00710374" w:rsidRDefault="00710374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11</w:t>
            </w:r>
          </w:p>
          <w:p w14:paraId="27EAC58A" w14:textId="07191C03" w:rsidR="00710374" w:rsidRPr="00415B16" w:rsidRDefault="00710374" w:rsidP="00AF7BC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520" w:type="dxa"/>
          </w:tcPr>
          <w:p w14:paraId="74A8F5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CE71C31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C8F7731" w14:textId="4513560C" w:rsidR="00AF7BC1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E6C58AC" w14:textId="77777777" w:rsidR="003E68A8" w:rsidRPr="00415B16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1147FBFA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MUDr. </w:t>
            </w:r>
            <w:r w:rsidR="00452F5B">
              <w:rPr>
                <w:rFonts w:ascii="Arial" w:hAnsi="Arial" w:cs="Arial"/>
                <w:sz w:val="23"/>
                <w:szCs w:val="23"/>
                <w:lang w:val="cs-CZ"/>
              </w:rPr>
              <w:t>Ivo Rovný</w:t>
            </w: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, </w:t>
            </w:r>
            <w:r w:rsidR="00452F5B">
              <w:rPr>
                <w:rFonts w:ascii="Arial" w:hAnsi="Arial" w:cs="Arial"/>
                <w:sz w:val="23"/>
                <w:szCs w:val="23"/>
                <w:lang w:val="cs-CZ"/>
              </w:rPr>
              <w:t>MBA</w:t>
            </w:r>
          </w:p>
          <w:p w14:paraId="5ACC3B9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019CEFE2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14:paraId="7CAB7489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cs-CZ"/>
        </w:rPr>
      </w:pPr>
      <w:r w:rsidRPr="00710374">
        <w:rPr>
          <w:rFonts w:cs="Calibri"/>
          <w:color w:val="000000"/>
          <w:sz w:val="24"/>
          <w:szCs w:val="24"/>
          <w:lang w:eastAsia="cs-CZ"/>
        </w:rPr>
        <w:t xml:space="preserve"> </w:t>
      </w:r>
      <w:r w:rsidRPr="00710374">
        <w:rPr>
          <w:rFonts w:cs="Calibri"/>
          <w:b/>
          <w:bCs/>
          <w:color w:val="000000"/>
          <w:sz w:val="36"/>
          <w:szCs w:val="36"/>
          <w:lang w:eastAsia="cs-CZ"/>
        </w:rPr>
        <w:t xml:space="preserve">Kovová kartotéka pro formát A5 - 52513 </w:t>
      </w:r>
    </w:p>
    <w:p w14:paraId="58A297E4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svařovaný korpus </w:t>
      </w:r>
    </w:p>
    <w:p w14:paraId="70A9EF66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6 zásuvek, každá zásuvka má dvě oddělení a dva popisovací štítky </w:t>
      </w:r>
    </w:p>
    <w:p w14:paraId="425219A2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archivovaný doklad (obálka) může mít šířku až 235 mm </w:t>
      </w:r>
    </w:p>
    <w:p w14:paraId="62AE462C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nosnost jedné zásuvky 26 kg </w:t>
      </w:r>
    </w:p>
    <w:p w14:paraId="52C6FC85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centrální cylindrický zámek </w:t>
      </w:r>
    </w:p>
    <w:p w14:paraId="36D261CB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100% výsuv zásuvek </w:t>
      </w:r>
    </w:p>
    <w:p w14:paraId="3FFE7CAB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zásuvky na kuličkových výsuvech </w:t>
      </w:r>
    </w:p>
    <w:p w14:paraId="21017062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zařízení proti převážení (nelze vysunout víc zásuvek najednou) </w:t>
      </w:r>
    </w:p>
    <w:p w14:paraId="4F412549" w14:textId="77777777" w:rsidR="00710374" w:rsidRPr="00710374" w:rsidRDefault="00710374" w:rsidP="00710374">
      <w:pPr>
        <w:autoSpaceDE w:val="0"/>
        <w:autoSpaceDN w:val="0"/>
        <w:adjustRightInd w:val="0"/>
        <w:spacing w:after="85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možnost doplnění dělícími příčkami </w:t>
      </w:r>
    </w:p>
    <w:p w14:paraId="11403884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váha 80,4 kg </w:t>
      </w:r>
    </w:p>
    <w:p w14:paraId="67C4CF02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4465C44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 xml:space="preserve">Povrchová úprava práškovým lakem – světle šedá RAL 7035 </w:t>
      </w:r>
    </w:p>
    <w:p w14:paraId="1A4E5CB2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>Celkový rozměr – 1321x568x622 mm (</w:t>
      </w:r>
      <w:proofErr w:type="spellStart"/>
      <w:r w:rsidRPr="00710374">
        <w:rPr>
          <w:rFonts w:cs="Calibri"/>
          <w:color w:val="000000"/>
          <w:lang w:eastAsia="cs-CZ"/>
        </w:rPr>
        <w:t>vxšxh</w:t>
      </w:r>
      <w:proofErr w:type="spellEnd"/>
      <w:r w:rsidRPr="00710374">
        <w:rPr>
          <w:rFonts w:cs="Calibri"/>
          <w:color w:val="000000"/>
          <w:lang w:eastAsia="cs-CZ"/>
        </w:rPr>
        <w:t xml:space="preserve">) </w:t>
      </w:r>
    </w:p>
    <w:p w14:paraId="1D3E4811" w14:textId="4B46D0C9" w:rsidR="007A2AD3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>Vnitřní rozměr zásuvky – 192x237x560 mm (</w:t>
      </w:r>
      <w:proofErr w:type="spellStart"/>
      <w:r w:rsidRPr="00710374">
        <w:rPr>
          <w:rFonts w:cs="Calibri"/>
          <w:color w:val="000000"/>
          <w:lang w:eastAsia="cs-CZ"/>
        </w:rPr>
        <w:t>vxšxh</w:t>
      </w:r>
      <w:proofErr w:type="spellEnd"/>
      <w:r w:rsidRPr="00710374">
        <w:rPr>
          <w:rFonts w:cs="Calibri"/>
          <w:color w:val="000000"/>
          <w:lang w:eastAsia="cs-CZ"/>
        </w:rPr>
        <w:t>)</w:t>
      </w:r>
    </w:p>
    <w:p w14:paraId="76C48ABB" w14:textId="77777777" w:rsidR="00710374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</w:p>
    <w:p w14:paraId="6D0B0E5C" w14:textId="7D32FD99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val="x-none" w:eastAsia="cs-CZ"/>
        </w:rPr>
      </w:pPr>
      <w:r w:rsidRPr="00710374">
        <w:rPr>
          <w:rFonts w:ascii="Arial" w:eastAsia="Times New Roman" w:hAnsi="Arial" w:cs="Arial"/>
          <w:noProof/>
          <w:sz w:val="23"/>
          <w:szCs w:val="23"/>
          <w:lang w:eastAsia="cs-CZ"/>
        </w:rPr>
        <w:drawing>
          <wp:inline distT="0" distB="0" distL="0" distR="0" wp14:anchorId="4D7EEED6" wp14:editId="275EDC37">
            <wp:extent cx="2619375" cy="4143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CBB2" w14:textId="61371E53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Část 12</w:t>
      </w:r>
    </w:p>
    <w:p w14:paraId="3D634BF3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14:paraId="25657568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cs-CZ"/>
        </w:rPr>
      </w:pPr>
      <w:r w:rsidRPr="00710374">
        <w:rPr>
          <w:rFonts w:cs="Calibri"/>
          <w:color w:val="000000"/>
          <w:sz w:val="24"/>
          <w:szCs w:val="24"/>
          <w:lang w:eastAsia="cs-CZ"/>
        </w:rPr>
        <w:t xml:space="preserve"> </w:t>
      </w:r>
      <w:r w:rsidRPr="00710374">
        <w:rPr>
          <w:rFonts w:cs="Calibri"/>
          <w:b/>
          <w:bCs/>
          <w:color w:val="000000"/>
          <w:sz w:val="36"/>
          <w:szCs w:val="36"/>
          <w:lang w:eastAsia="cs-CZ"/>
        </w:rPr>
        <w:t xml:space="preserve">Kovová kartotéka pro formát A4 – 4-zásuvková IPCCA14 </w:t>
      </w:r>
    </w:p>
    <w:p w14:paraId="4055DF3D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 xml:space="preserve">Svařovaná konstrukce z kvalitního ocelového plechu se zařízením proti převážení (nelze vysunout více zásuvek najednou). Zásuvky mají 100% teleskopický výsuv a nosnost 40 kg. Kartotéka je opatřena centrálním zámkem a štítky pro umístění jmenovek. </w:t>
      </w:r>
    </w:p>
    <w:p w14:paraId="3961F370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 xml:space="preserve">Povrchová úprava práškovým strukturovaným lakem – světle šedá RAL 7035 nebo RAL 9010 bílá </w:t>
      </w:r>
    </w:p>
    <w:p w14:paraId="7DC4E614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>Celkový rozměr – 1321x413x622 mm (</w:t>
      </w:r>
      <w:proofErr w:type="spellStart"/>
      <w:r w:rsidRPr="00710374">
        <w:rPr>
          <w:rFonts w:cs="Calibri"/>
          <w:color w:val="000000"/>
          <w:lang w:eastAsia="cs-CZ"/>
        </w:rPr>
        <w:t>vxšxh</w:t>
      </w:r>
      <w:proofErr w:type="spellEnd"/>
      <w:r w:rsidRPr="00710374">
        <w:rPr>
          <w:rFonts w:cs="Calibri"/>
          <w:color w:val="000000"/>
          <w:lang w:eastAsia="cs-CZ"/>
        </w:rPr>
        <w:t xml:space="preserve">) </w:t>
      </w:r>
    </w:p>
    <w:p w14:paraId="28766616" w14:textId="05BB77AB" w:rsidR="00710374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>Vnitřní rozměr zásuvky – 267x330x540 mm (</w:t>
      </w:r>
      <w:proofErr w:type="spellStart"/>
      <w:r w:rsidRPr="00710374">
        <w:rPr>
          <w:rFonts w:cs="Calibri"/>
          <w:color w:val="000000"/>
          <w:lang w:eastAsia="cs-CZ"/>
        </w:rPr>
        <w:t>vxšxh</w:t>
      </w:r>
      <w:proofErr w:type="spellEnd"/>
      <w:r w:rsidRPr="00710374">
        <w:rPr>
          <w:rFonts w:cs="Calibri"/>
          <w:color w:val="000000"/>
          <w:lang w:eastAsia="cs-CZ"/>
        </w:rPr>
        <w:t>)</w:t>
      </w:r>
    </w:p>
    <w:p w14:paraId="03EA8BE7" w14:textId="77777777" w:rsidR="00710374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</w:p>
    <w:p w14:paraId="5805D9E9" w14:textId="4B3D703A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710374">
        <w:rPr>
          <w:rFonts w:ascii="Arial" w:eastAsia="Times New Roman" w:hAnsi="Arial" w:cs="Arial"/>
          <w:noProof/>
          <w:sz w:val="23"/>
          <w:szCs w:val="23"/>
          <w:lang w:eastAsia="cs-CZ"/>
        </w:rPr>
        <w:drawing>
          <wp:inline distT="0" distB="0" distL="0" distR="0" wp14:anchorId="23D27E85" wp14:editId="7A7AD793">
            <wp:extent cx="3711380" cy="561022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573" cy="56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433B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55AD1305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6BBF80F4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2CC2FE30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4F9E407E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051CFF70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4480211D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574C87E1" w14:textId="2201E3FC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Část 16</w:t>
      </w:r>
    </w:p>
    <w:p w14:paraId="28716A25" w14:textId="77777777" w:rsid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2A6F74D3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14:paraId="10E17F59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cs-CZ"/>
        </w:rPr>
      </w:pPr>
      <w:r w:rsidRPr="00710374">
        <w:rPr>
          <w:rFonts w:cs="Calibri"/>
          <w:color w:val="000000"/>
          <w:sz w:val="24"/>
          <w:szCs w:val="24"/>
          <w:lang w:eastAsia="cs-CZ"/>
        </w:rPr>
        <w:t xml:space="preserve"> </w:t>
      </w:r>
      <w:r w:rsidRPr="00710374">
        <w:rPr>
          <w:rFonts w:cs="Calibri"/>
          <w:b/>
          <w:bCs/>
          <w:color w:val="000000"/>
          <w:sz w:val="36"/>
          <w:szCs w:val="36"/>
          <w:lang w:eastAsia="cs-CZ"/>
        </w:rPr>
        <w:t xml:space="preserve">Šatní skříň SUM 320 W </w:t>
      </w:r>
    </w:p>
    <w:p w14:paraId="35DF31C1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 xml:space="preserve">Šatní skříňka dvoudvéřová na nízkém soklu: </w:t>
      </w:r>
    </w:p>
    <w:p w14:paraId="4E848A56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kvalitní svařovaná konstrukce </w:t>
      </w:r>
    </w:p>
    <w:p w14:paraId="4DBBDB2F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2x samostatně uzamykatelný oddíl </w:t>
      </w:r>
    </w:p>
    <w:p w14:paraId="3AD48107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šířka oddílu 300 mm </w:t>
      </w:r>
    </w:p>
    <w:p w14:paraId="0566B30D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v oddílu police v horní části, tyč na ramínka + 2 posuvné háčky, háček na ručník, zrcátko </w:t>
      </w:r>
    </w:p>
    <w:p w14:paraId="4FEFB477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dveře zavěšeny na vnitřních pantech s úhlem otevření 110° </w:t>
      </w:r>
    </w:p>
    <w:p w14:paraId="39EB22A8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uzávěr pro visací zámek (visací zámek není součástí dodávky) </w:t>
      </w:r>
    </w:p>
    <w:p w14:paraId="0C9D5051" w14:textId="77777777" w:rsidR="00710374" w:rsidRPr="00710374" w:rsidRDefault="00710374" w:rsidP="00710374">
      <w:pPr>
        <w:autoSpaceDE w:val="0"/>
        <w:autoSpaceDN w:val="0"/>
        <w:adjustRightInd w:val="0"/>
        <w:spacing w:after="87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větrací otvory ve dvířkách (v dolní i horní části) </w:t>
      </w:r>
    </w:p>
    <w:p w14:paraId="0A1ED945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sz w:val="20"/>
          <w:szCs w:val="20"/>
          <w:lang w:eastAsia="cs-CZ"/>
        </w:rPr>
        <w:t xml:space="preserve"> </w:t>
      </w:r>
      <w:r w:rsidRPr="00710374">
        <w:rPr>
          <w:rFonts w:cs="Calibri"/>
          <w:color w:val="000000"/>
          <w:lang w:eastAsia="cs-CZ"/>
        </w:rPr>
        <w:t xml:space="preserve">samolepící štítek pro umístění jmenovky </w:t>
      </w:r>
    </w:p>
    <w:p w14:paraId="5C81D520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7BDA1B24" w14:textId="77777777" w:rsidR="00710374" w:rsidRPr="00710374" w:rsidRDefault="00710374" w:rsidP="007103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 xml:space="preserve">Povrchová úprava práškovým lakem – RAL 7035 světle šedá (korpus) + RAL 5012 modrá (dveře) </w:t>
      </w:r>
    </w:p>
    <w:p w14:paraId="3D940C85" w14:textId="79503135" w:rsidR="00710374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  <w:r w:rsidRPr="00710374">
        <w:rPr>
          <w:rFonts w:cs="Calibri"/>
          <w:color w:val="000000"/>
          <w:lang w:eastAsia="cs-CZ"/>
        </w:rPr>
        <w:t>Celkový rozměr – 1800x600x500 mm (</w:t>
      </w:r>
      <w:proofErr w:type="spellStart"/>
      <w:r w:rsidRPr="00710374">
        <w:rPr>
          <w:rFonts w:cs="Calibri"/>
          <w:color w:val="000000"/>
          <w:lang w:eastAsia="cs-CZ"/>
        </w:rPr>
        <w:t>vxšxh</w:t>
      </w:r>
      <w:proofErr w:type="spellEnd"/>
      <w:r w:rsidRPr="00710374">
        <w:rPr>
          <w:rFonts w:cs="Calibri"/>
          <w:color w:val="000000"/>
          <w:lang w:eastAsia="cs-CZ"/>
        </w:rPr>
        <w:t>)</w:t>
      </w:r>
    </w:p>
    <w:p w14:paraId="147CA549" w14:textId="77777777" w:rsidR="00710374" w:rsidRDefault="00710374" w:rsidP="00710374">
      <w:pPr>
        <w:spacing w:after="0" w:line="240" w:lineRule="auto"/>
        <w:rPr>
          <w:rFonts w:cs="Calibri"/>
          <w:color w:val="000000"/>
          <w:lang w:eastAsia="cs-CZ"/>
        </w:rPr>
      </w:pPr>
    </w:p>
    <w:p w14:paraId="0CDD8BB5" w14:textId="2D0F11C2" w:rsidR="00710374" w:rsidRPr="00710374" w:rsidRDefault="00710374" w:rsidP="0071037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710374">
        <w:rPr>
          <w:rFonts w:ascii="Arial" w:eastAsia="Times New Roman" w:hAnsi="Arial" w:cs="Arial"/>
          <w:noProof/>
          <w:sz w:val="23"/>
          <w:szCs w:val="23"/>
          <w:lang w:eastAsia="cs-CZ"/>
        </w:rPr>
        <w:drawing>
          <wp:inline distT="0" distB="0" distL="0" distR="0" wp14:anchorId="19A53A21" wp14:editId="03CEBC01">
            <wp:extent cx="2238375" cy="41433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374" w:rsidRPr="0071037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B623" w14:textId="77777777" w:rsidR="008976E9" w:rsidRDefault="008976E9" w:rsidP="00FF18EB">
      <w:pPr>
        <w:spacing w:after="0" w:line="240" w:lineRule="auto"/>
      </w:pPr>
      <w:r>
        <w:separator/>
      </w:r>
    </w:p>
  </w:endnote>
  <w:endnote w:type="continuationSeparator" w:id="0">
    <w:p w14:paraId="4F9C7700" w14:textId="77777777" w:rsidR="008976E9" w:rsidRDefault="008976E9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29C29E0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030B88">
      <w:rPr>
        <w:rFonts w:ascii="Arial" w:hAnsi="Arial" w:cs="Arial"/>
        <w:b/>
        <w:bCs/>
        <w:noProof/>
        <w:sz w:val="20"/>
        <w:szCs w:val="20"/>
      </w:rPr>
      <w:t>3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030B88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F298" w14:textId="77777777" w:rsidR="008976E9" w:rsidRDefault="008976E9" w:rsidP="00FF18EB">
      <w:pPr>
        <w:spacing w:after="0" w:line="240" w:lineRule="auto"/>
      </w:pPr>
      <w:r>
        <w:separator/>
      </w:r>
    </w:p>
  </w:footnote>
  <w:footnote w:type="continuationSeparator" w:id="0">
    <w:p w14:paraId="661A062D" w14:textId="77777777" w:rsidR="008976E9" w:rsidRDefault="008976E9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0B88"/>
    <w:rsid w:val="00032F0B"/>
    <w:rsid w:val="000333EF"/>
    <w:rsid w:val="00052CC9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D1B7F"/>
    <w:rsid w:val="000F4C59"/>
    <w:rsid w:val="00105769"/>
    <w:rsid w:val="001102B1"/>
    <w:rsid w:val="00113B40"/>
    <w:rsid w:val="001341A7"/>
    <w:rsid w:val="00134BC1"/>
    <w:rsid w:val="00137C49"/>
    <w:rsid w:val="00142BD2"/>
    <w:rsid w:val="001470F0"/>
    <w:rsid w:val="0014717B"/>
    <w:rsid w:val="00154F85"/>
    <w:rsid w:val="0016732B"/>
    <w:rsid w:val="00183226"/>
    <w:rsid w:val="00183727"/>
    <w:rsid w:val="00183DEA"/>
    <w:rsid w:val="001874D4"/>
    <w:rsid w:val="00196288"/>
    <w:rsid w:val="001A32A4"/>
    <w:rsid w:val="001A3D28"/>
    <w:rsid w:val="001B48EF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2C65"/>
    <w:rsid w:val="002373A7"/>
    <w:rsid w:val="00243FE4"/>
    <w:rsid w:val="00250E90"/>
    <w:rsid w:val="0025616B"/>
    <w:rsid w:val="002575A6"/>
    <w:rsid w:val="0026168E"/>
    <w:rsid w:val="002771ED"/>
    <w:rsid w:val="002812F7"/>
    <w:rsid w:val="002834BC"/>
    <w:rsid w:val="00283E98"/>
    <w:rsid w:val="0029524D"/>
    <w:rsid w:val="00296488"/>
    <w:rsid w:val="00297406"/>
    <w:rsid w:val="00297AB2"/>
    <w:rsid w:val="00297EE2"/>
    <w:rsid w:val="002A29DA"/>
    <w:rsid w:val="002D7B66"/>
    <w:rsid w:val="002E1388"/>
    <w:rsid w:val="002E48E0"/>
    <w:rsid w:val="002F4EDA"/>
    <w:rsid w:val="003073CD"/>
    <w:rsid w:val="00321FF1"/>
    <w:rsid w:val="00327588"/>
    <w:rsid w:val="00330DC4"/>
    <w:rsid w:val="00331BAE"/>
    <w:rsid w:val="003360BF"/>
    <w:rsid w:val="00341AD8"/>
    <w:rsid w:val="00355E79"/>
    <w:rsid w:val="00371849"/>
    <w:rsid w:val="00372AF0"/>
    <w:rsid w:val="00375955"/>
    <w:rsid w:val="00382D5D"/>
    <w:rsid w:val="00393475"/>
    <w:rsid w:val="003A1056"/>
    <w:rsid w:val="003C7181"/>
    <w:rsid w:val="003D23D7"/>
    <w:rsid w:val="003E071E"/>
    <w:rsid w:val="003E0DE8"/>
    <w:rsid w:val="003E1EBB"/>
    <w:rsid w:val="003E5323"/>
    <w:rsid w:val="003E68A8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678A"/>
    <w:rsid w:val="00452F5B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AB6"/>
    <w:rsid w:val="004E1BB9"/>
    <w:rsid w:val="004E74F7"/>
    <w:rsid w:val="004F3A6F"/>
    <w:rsid w:val="00503008"/>
    <w:rsid w:val="0050597B"/>
    <w:rsid w:val="005153A4"/>
    <w:rsid w:val="00521953"/>
    <w:rsid w:val="005358ED"/>
    <w:rsid w:val="005371E9"/>
    <w:rsid w:val="00546C21"/>
    <w:rsid w:val="00560C16"/>
    <w:rsid w:val="005714C9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047A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635C8"/>
    <w:rsid w:val="0067085F"/>
    <w:rsid w:val="00672FA9"/>
    <w:rsid w:val="006768E4"/>
    <w:rsid w:val="00677234"/>
    <w:rsid w:val="006800A8"/>
    <w:rsid w:val="00690BB7"/>
    <w:rsid w:val="0069434E"/>
    <w:rsid w:val="006A4ED1"/>
    <w:rsid w:val="006A6647"/>
    <w:rsid w:val="006B095E"/>
    <w:rsid w:val="006C3751"/>
    <w:rsid w:val="006C44F9"/>
    <w:rsid w:val="006C589F"/>
    <w:rsid w:val="006D0F33"/>
    <w:rsid w:val="006D4738"/>
    <w:rsid w:val="006E2FF9"/>
    <w:rsid w:val="006E4652"/>
    <w:rsid w:val="006E4EF6"/>
    <w:rsid w:val="006E54D0"/>
    <w:rsid w:val="00710374"/>
    <w:rsid w:val="0071478F"/>
    <w:rsid w:val="007157D9"/>
    <w:rsid w:val="00735D41"/>
    <w:rsid w:val="0073763C"/>
    <w:rsid w:val="00744E5D"/>
    <w:rsid w:val="0075205D"/>
    <w:rsid w:val="00775695"/>
    <w:rsid w:val="007766C8"/>
    <w:rsid w:val="00787C20"/>
    <w:rsid w:val="007A2AD3"/>
    <w:rsid w:val="007B4AC9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87D29"/>
    <w:rsid w:val="008903ED"/>
    <w:rsid w:val="008976E9"/>
    <w:rsid w:val="008A4B00"/>
    <w:rsid w:val="008C3401"/>
    <w:rsid w:val="008C5483"/>
    <w:rsid w:val="008D0213"/>
    <w:rsid w:val="008D17FE"/>
    <w:rsid w:val="008F4237"/>
    <w:rsid w:val="008F5230"/>
    <w:rsid w:val="008F6BCC"/>
    <w:rsid w:val="00901F83"/>
    <w:rsid w:val="00916EE4"/>
    <w:rsid w:val="009206F6"/>
    <w:rsid w:val="0092160E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23BFD"/>
    <w:rsid w:val="00A32CC4"/>
    <w:rsid w:val="00A4060F"/>
    <w:rsid w:val="00A51741"/>
    <w:rsid w:val="00A52F13"/>
    <w:rsid w:val="00A54046"/>
    <w:rsid w:val="00A71BE8"/>
    <w:rsid w:val="00A739A7"/>
    <w:rsid w:val="00A73C62"/>
    <w:rsid w:val="00A74BD6"/>
    <w:rsid w:val="00A81A6B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AF69AE"/>
    <w:rsid w:val="00AF7BC1"/>
    <w:rsid w:val="00B00389"/>
    <w:rsid w:val="00B02DCA"/>
    <w:rsid w:val="00B0477F"/>
    <w:rsid w:val="00B127BF"/>
    <w:rsid w:val="00B17D06"/>
    <w:rsid w:val="00B2012E"/>
    <w:rsid w:val="00B3728B"/>
    <w:rsid w:val="00B406E7"/>
    <w:rsid w:val="00B41494"/>
    <w:rsid w:val="00B436FD"/>
    <w:rsid w:val="00B55AFC"/>
    <w:rsid w:val="00B733E1"/>
    <w:rsid w:val="00B82BC0"/>
    <w:rsid w:val="00B85405"/>
    <w:rsid w:val="00B9193B"/>
    <w:rsid w:val="00B95871"/>
    <w:rsid w:val="00B95AE2"/>
    <w:rsid w:val="00BA07E6"/>
    <w:rsid w:val="00BB16E5"/>
    <w:rsid w:val="00BB2CAF"/>
    <w:rsid w:val="00BC33FB"/>
    <w:rsid w:val="00BD06AB"/>
    <w:rsid w:val="00BD0B30"/>
    <w:rsid w:val="00BE2371"/>
    <w:rsid w:val="00BF65B9"/>
    <w:rsid w:val="00BF6761"/>
    <w:rsid w:val="00BF6A60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E1582"/>
    <w:rsid w:val="00CF1AEF"/>
    <w:rsid w:val="00CF49B2"/>
    <w:rsid w:val="00CF6F0D"/>
    <w:rsid w:val="00D000FE"/>
    <w:rsid w:val="00D039A9"/>
    <w:rsid w:val="00D04283"/>
    <w:rsid w:val="00D04CE9"/>
    <w:rsid w:val="00D13E92"/>
    <w:rsid w:val="00D203A0"/>
    <w:rsid w:val="00D24015"/>
    <w:rsid w:val="00D308D9"/>
    <w:rsid w:val="00D7799F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575B"/>
    <w:rsid w:val="00E80D56"/>
    <w:rsid w:val="00E81D11"/>
    <w:rsid w:val="00E826DA"/>
    <w:rsid w:val="00E9244D"/>
    <w:rsid w:val="00E928B3"/>
    <w:rsid w:val="00EA0F46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351D7"/>
    <w:rsid w:val="00F45113"/>
    <w:rsid w:val="00F7334F"/>
    <w:rsid w:val="00F74782"/>
    <w:rsid w:val="00F86F9D"/>
    <w:rsid w:val="00F91A23"/>
    <w:rsid w:val="00FA4280"/>
    <w:rsid w:val="00FA6B2E"/>
    <w:rsid w:val="00FC17C6"/>
    <w:rsid w:val="00FC4F94"/>
    <w:rsid w:val="00FC6465"/>
    <w:rsid w:val="00FD621D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B55A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2340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2021-01-26T06:38:00Z</cp:lastPrinted>
  <dcterms:created xsi:type="dcterms:W3CDTF">2023-02-02T12:58:00Z</dcterms:created>
  <dcterms:modified xsi:type="dcterms:W3CDTF">2023-02-02T12:59:00Z</dcterms:modified>
</cp:coreProperties>
</file>