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4DA25" w14:textId="1805C099" w:rsidR="00F1221C" w:rsidRDefault="00F1221C" w:rsidP="00F1221C">
      <w:pPr>
        <w:pStyle w:val="0Nzevsmlouvy-nejvyssiroven"/>
        <w:rPr>
          <w:rFonts w:asciiTheme="majorHAnsi" w:hAnsiTheme="majorHAnsi" w:cstheme="majorHAnsi"/>
        </w:rPr>
      </w:pPr>
      <w:r w:rsidRPr="00D10FA0">
        <w:rPr>
          <w:rFonts w:asciiTheme="majorHAnsi" w:hAnsiTheme="majorHAnsi" w:cstheme="majorHAnsi"/>
        </w:rPr>
        <w:t>Smlouva o dílo č. SML/0625/22</w:t>
      </w:r>
    </w:p>
    <w:p w14:paraId="0001744B" w14:textId="2A437674" w:rsidR="00F1221C" w:rsidRPr="007D38DC" w:rsidRDefault="00945C71" w:rsidP="007D38DC">
      <w:pPr>
        <w:pStyle w:val="text"/>
        <w:jc w:val="center"/>
        <w:rPr>
          <w:rFonts w:ascii="Arial" w:hAnsi="Arial" w:cs="Arial"/>
        </w:rPr>
      </w:pPr>
      <w:r>
        <w:rPr>
          <w:rFonts w:ascii="Arial" w:hAnsi="Arial" w:cs="Arial"/>
        </w:rPr>
        <w:t>(dále jen „s</w:t>
      </w:r>
      <w:r w:rsidR="007D38DC" w:rsidRPr="001E042F">
        <w:rPr>
          <w:rFonts w:ascii="Arial" w:hAnsi="Arial" w:cs="Arial"/>
        </w:rPr>
        <w:t>mlouva“)</w:t>
      </w:r>
    </w:p>
    <w:p w14:paraId="52D71339" w14:textId="77777777" w:rsidR="00F1221C" w:rsidRPr="00D10FA0" w:rsidRDefault="00F1221C" w:rsidP="00F1221C">
      <w:pPr>
        <w:pStyle w:val="text"/>
        <w:rPr>
          <w:rFonts w:asciiTheme="majorHAnsi" w:hAnsiTheme="majorHAnsi" w:cstheme="majorHAnsi"/>
        </w:rPr>
      </w:pPr>
      <w:r w:rsidRPr="00D10FA0">
        <w:rPr>
          <w:rFonts w:asciiTheme="majorHAnsi" w:hAnsiTheme="majorHAnsi" w:cstheme="majorHAnsi"/>
        </w:rPr>
        <w:t>uzavřená podle ustanovení § 2586 a následujících zákona č. 89/2012 Sb., občanský zákoník, ve znění pozdějších předpisů, následovně:</w:t>
      </w:r>
    </w:p>
    <w:p w14:paraId="20095178" w14:textId="77777777" w:rsidR="00F1221C" w:rsidRPr="00D10FA0" w:rsidRDefault="00F1221C" w:rsidP="00F1221C">
      <w:pPr>
        <w:pStyle w:val="text"/>
        <w:rPr>
          <w:rFonts w:asciiTheme="majorHAnsi" w:hAnsiTheme="majorHAnsi" w:cstheme="majorHAnsi"/>
        </w:rPr>
      </w:pPr>
    </w:p>
    <w:p w14:paraId="20872F2E"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Smluvní strany</w:t>
      </w:r>
    </w:p>
    <w:p w14:paraId="7D29AF3B" w14:textId="77777777" w:rsidR="00F1221C" w:rsidRPr="00D10FA0" w:rsidRDefault="00F1221C" w:rsidP="00F1221C">
      <w:pPr>
        <w:pStyle w:val="22uroven"/>
        <w:rPr>
          <w:rFonts w:asciiTheme="majorHAnsi" w:hAnsiTheme="majorHAnsi" w:cstheme="majorHAnsi"/>
        </w:rPr>
      </w:pPr>
      <w:r w:rsidRPr="00D10FA0">
        <w:rPr>
          <w:rFonts w:asciiTheme="majorHAnsi" w:hAnsiTheme="majorHAnsi" w:cstheme="majorHAnsi"/>
        </w:rPr>
        <w:t>Zhotovitel:</w:t>
      </w:r>
    </w:p>
    <w:tbl>
      <w:tblPr>
        <w:tblW w:w="8583" w:type="dxa"/>
        <w:tblInd w:w="534" w:type="dxa"/>
        <w:tblLook w:val="04A0" w:firstRow="1" w:lastRow="0" w:firstColumn="1" w:lastColumn="0" w:noHBand="0" w:noVBand="1"/>
      </w:tblPr>
      <w:tblGrid>
        <w:gridCol w:w="1125"/>
        <w:gridCol w:w="7458"/>
      </w:tblGrid>
      <w:tr w:rsidR="00F1221C" w:rsidRPr="00D10FA0" w14:paraId="6063FE7C" w14:textId="77777777" w:rsidTr="00984F7F">
        <w:trPr>
          <w:trHeight w:val="443"/>
        </w:trPr>
        <w:tc>
          <w:tcPr>
            <w:tcW w:w="1125" w:type="dxa"/>
            <w:shd w:val="clear" w:color="auto" w:fill="auto"/>
          </w:tcPr>
          <w:p w14:paraId="43345B20" w14:textId="77777777" w:rsidR="00F1221C" w:rsidRPr="00D10FA0" w:rsidRDefault="00F1221C" w:rsidP="00984F7F">
            <w:pPr>
              <w:pStyle w:val="text"/>
              <w:rPr>
                <w:rFonts w:asciiTheme="majorHAnsi" w:hAnsiTheme="majorHAnsi" w:cstheme="majorHAnsi"/>
              </w:rPr>
            </w:pPr>
          </w:p>
        </w:tc>
        <w:tc>
          <w:tcPr>
            <w:tcW w:w="7458" w:type="dxa"/>
            <w:shd w:val="clear" w:color="auto" w:fill="auto"/>
          </w:tcPr>
          <w:p w14:paraId="4A98BBA8"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noProof/>
              </w:rPr>
              <w:t>WOMBAT, s.r.o.</w:t>
            </w:r>
          </w:p>
        </w:tc>
      </w:tr>
      <w:tr w:rsidR="00F1221C" w:rsidRPr="00D10FA0" w14:paraId="664C4846" w14:textId="77777777" w:rsidTr="00984F7F">
        <w:trPr>
          <w:trHeight w:val="457"/>
        </w:trPr>
        <w:tc>
          <w:tcPr>
            <w:tcW w:w="1125" w:type="dxa"/>
            <w:shd w:val="clear" w:color="auto" w:fill="auto"/>
          </w:tcPr>
          <w:p w14:paraId="7726CECF"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Sídlo:</w:t>
            </w:r>
          </w:p>
        </w:tc>
        <w:tc>
          <w:tcPr>
            <w:tcW w:w="7458" w:type="dxa"/>
            <w:shd w:val="clear" w:color="auto" w:fill="auto"/>
          </w:tcPr>
          <w:p w14:paraId="26D8CD64"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noProof/>
              </w:rPr>
              <w:t>Březinova 759/23, 616 00 Brno</w:t>
            </w:r>
          </w:p>
        </w:tc>
      </w:tr>
      <w:tr w:rsidR="00F1221C" w:rsidRPr="00D10FA0" w14:paraId="44F866B2" w14:textId="77777777" w:rsidTr="00984F7F">
        <w:trPr>
          <w:trHeight w:val="443"/>
        </w:trPr>
        <w:tc>
          <w:tcPr>
            <w:tcW w:w="8583" w:type="dxa"/>
            <w:gridSpan w:val="2"/>
            <w:shd w:val="clear" w:color="auto" w:fill="auto"/>
          </w:tcPr>
          <w:p w14:paraId="177D8232"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 xml:space="preserve">Subjekt je zapsán </w:t>
            </w:r>
            <w:r w:rsidRPr="00D10FA0">
              <w:rPr>
                <w:rFonts w:asciiTheme="majorHAnsi" w:hAnsiTheme="majorHAnsi" w:cstheme="majorHAnsi"/>
                <w:noProof/>
              </w:rPr>
              <w:t>v obchodním rejstříku u Krajského soudu v Brně, oddíl C, vložka 10046</w:t>
            </w:r>
          </w:p>
        </w:tc>
      </w:tr>
      <w:tr w:rsidR="00F1221C" w:rsidRPr="00D10FA0" w14:paraId="519EC86C" w14:textId="77777777" w:rsidTr="00984F7F">
        <w:trPr>
          <w:trHeight w:val="443"/>
        </w:trPr>
        <w:tc>
          <w:tcPr>
            <w:tcW w:w="1125" w:type="dxa"/>
            <w:shd w:val="clear" w:color="auto" w:fill="auto"/>
          </w:tcPr>
          <w:p w14:paraId="08888CCA"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IČO:</w:t>
            </w:r>
          </w:p>
        </w:tc>
        <w:tc>
          <w:tcPr>
            <w:tcW w:w="7458" w:type="dxa"/>
            <w:shd w:val="clear" w:color="auto" w:fill="auto"/>
          </w:tcPr>
          <w:p w14:paraId="798DD7DA"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noProof/>
              </w:rPr>
              <w:t>47912553</w:t>
            </w:r>
          </w:p>
        </w:tc>
      </w:tr>
      <w:tr w:rsidR="00F1221C" w:rsidRPr="00D10FA0" w14:paraId="6E16A956" w14:textId="77777777" w:rsidTr="00984F7F">
        <w:trPr>
          <w:trHeight w:val="581"/>
        </w:trPr>
        <w:tc>
          <w:tcPr>
            <w:tcW w:w="1125" w:type="dxa"/>
            <w:shd w:val="clear" w:color="auto" w:fill="auto"/>
          </w:tcPr>
          <w:p w14:paraId="537BA562"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DIČ:</w:t>
            </w:r>
          </w:p>
        </w:tc>
        <w:tc>
          <w:tcPr>
            <w:tcW w:w="7458" w:type="dxa"/>
            <w:shd w:val="clear" w:color="auto" w:fill="auto"/>
          </w:tcPr>
          <w:p w14:paraId="49848BC0" w14:textId="77777777" w:rsidR="00F1221C" w:rsidRPr="00D10FA0" w:rsidRDefault="00F1221C" w:rsidP="00984F7F">
            <w:pPr>
              <w:pStyle w:val="text"/>
              <w:rPr>
                <w:rFonts w:asciiTheme="majorHAnsi" w:hAnsiTheme="majorHAnsi" w:cstheme="majorHAnsi"/>
                <w:noProof/>
              </w:rPr>
            </w:pPr>
            <w:r w:rsidRPr="00D10FA0">
              <w:rPr>
                <w:rFonts w:asciiTheme="majorHAnsi" w:hAnsiTheme="majorHAnsi" w:cstheme="majorHAnsi"/>
                <w:noProof/>
              </w:rPr>
              <w:t>CZ47912553</w:t>
            </w:r>
          </w:p>
          <w:p w14:paraId="7CF214D8" w14:textId="77777777" w:rsidR="00F1221C" w:rsidRPr="00D10FA0" w:rsidRDefault="00F1221C" w:rsidP="00984F7F">
            <w:pPr>
              <w:rPr>
                <w:rFonts w:asciiTheme="majorHAnsi" w:hAnsiTheme="majorHAnsi" w:cstheme="majorHAnsi"/>
              </w:rPr>
            </w:pPr>
          </w:p>
        </w:tc>
      </w:tr>
      <w:tr w:rsidR="00F1221C" w:rsidRPr="00D10FA0" w14:paraId="23F67AB9" w14:textId="77777777" w:rsidTr="00984F7F">
        <w:trPr>
          <w:trHeight w:val="443"/>
        </w:trPr>
        <w:tc>
          <w:tcPr>
            <w:tcW w:w="8583" w:type="dxa"/>
            <w:gridSpan w:val="2"/>
            <w:shd w:val="clear" w:color="auto" w:fill="auto"/>
          </w:tcPr>
          <w:p w14:paraId="766B46A5" w14:textId="77777777" w:rsidR="00F1221C" w:rsidRPr="00D10FA0" w:rsidRDefault="00F1221C" w:rsidP="00984F7F">
            <w:pPr>
              <w:pStyle w:val="text"/>
              <w:rPr>
                <w:rFonts w:asciiTheme="majorHAnsi" w:hAnsiTheme="majorHAnsi" w:cstheme="majorHAnsi"/>
                <w:noProof/>
              </w:rPr>
            </w:pPr>
            <w:r w:rsidRPr="00D10FA0">
              <w:rPr>
                <w:rFonts w:asciiTheme="majorHAnsi" w:hAnsiTheme="majorHAnsi" w:cstheme="majorHAnsi"/>
              </w:rPr>
              <w:t xml:space="preserve">Zastoupený: </w:t>
            </w:r>
            <w:r w:rsidRPr="00D10FA0">
              <w:rPr>
                <w:rFonts w:asciiTheme="majorHAnsi" w:hAnsiTheme="majorHAnsi" w:cstheme="majorHAnsi"/>
                <w:noProof/>
              </w:rPr>
              <w:t>Ing. Petrem Holešem, jednatelem</w:t>
            </w:r>
          </w:p>
          <w:p w14:paraId="75038AF3" w14:textId="525CCAB3" w:rsidR="00F1221C" w:rsidRPr="00D10FA0" w:rsidRDefault="00F1221C" w:rsidP="00984F7F">
            <w:pPr>
              <w:pStyle w:val="text"/>
              <w:rPr>
                <w:rFonts w:asciiTheme="majorHAnsi" w:hAnsiTheme="majorHAnsi" w:cstheme="majorHAnsi"/>
                <w:noProof/>
              </w:rPr>
            </w:pPr>
          </w:p>
        </w:tc>
      </w:tr>
    </w:tbl>
    <w:p w14:paraId="41CEDB28" w14:textId="77777777" w:rsidR="00F1221C" w:rsidRPr="00D10FA0" w:rsidRDefault="00F1221C" w:rsidP="00F1221C">
      <w:pPr>
        <w:pStyle w:val="22uroven"/>
        <w:rPr>
          <w:rFonts w:asciiTheme="majorHAnsi" w:hAnsiTheme="majorHAnsi" w:cstheme="majorHAnsi"/>
        </w:rPr>
      </w:pPr>
      <w:r w:rsidRPr="00D10FA0">
        <w:rPr>
          <w:rFonts w:asciiTheme="majorHAnsi" w:hAnsiTheme="majorHAnsi" w:cstheme="majorHAnsi"/>
        </w:rPr>
        <w:t>Objednatel:</w:t>
      </w:r>
    </w:p>
    <w:tbl>
      <w:tblPr>
        <w:tblW w:w="0" w:type="auto"/>
        <w:tblInd w:w="534" w:type="dxa"/>
        <w:tblLook w:val="04A0" w:firstRow="1" w:lastRow="0" w:firstColumn="1" w:lastColumn="0" w:noHBand="0" w:noVBand="1"/>
      </w:tblPr>
      <w:tblGrid>
        <w:gridCol w:w="1088"/>
        <w:gridCol w:w="7208"/>
      </w:tblGrid>
      <w:tr w:rsidR="00F1221C" w:rsidRPr="00D10FA0" w14:paraId="67B3BA11" w14:textId="77777777" w:rsidTr="00984F7F">
        <w:trPr>
          <w:trHeight w:val="34"/>
        </w:trPr>
        <w:tc>
          <w:tcPr>
            <w:tcW w:w="1088" w:type="dxa"/>
            <w:shd w:val="clear" w:color="auto" w:fill="auto"/>
          </w:tcPr>
          <w:p w14:paraId="37BA601A" w14:textId="77777777" w:rsidR="00F1221C" w:rsidRPr="00D10FA0" w:rsidRDefault="00F1221C" w:rsidP="00984F7F">
            <w:pPr>
              <w:pStyle w:val="text"/>
              <w:rPr>
                <w:rFonts w:asciiTheme="majorHAnsi" w:hAnsiTheme="majorHAnsi" w:cstheme="majorHAnsi"/>
              </w:rPr>
            </w:pPr>
          </w:p>
        </w:tc>
        <w:tc>
          <w:tcPr>
            <w:tcW w:w="7208" w:type="dxa"/>
            <w:shd w:val="clear" w:color="auto" w:fill="auto"/>
          </w:tcPr>
          <w:p w14:paraId="0405A5BB"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Brněnské vodárny a kanalizace, a.s.</w:t>
            </w:r>
          </w:p>
        </w:tc>
      </w:tr>
      <w:tr w:rsidR="00F1221C" w:rsidRPr="00D10FA0" w14:paraId="4BAA122E" w14:textId="77777777" w:rsidTr="00984F7F">
        <w:trPr>
          <w:trHeight w:val="34"/>
        </w:trPr>
        <w:tc>
          <w:tcPr>
            <w:tcW w:w="1088" w:type="dxa"/>
            <w:shd w:val="clear" w:color="auto" w:fill="auto"/>
          </w:tcPr>
          <w:p w14:paraId="74F614C9"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Sídlo:</w:t>
            </w:r>
          </w:p>
        </w:tc>
        <w:tc>
          <w:tcPr>
            <w:tcW w:w="7208" w:type="dxa"/>
            <w:shd w:val="clear" w:color="auto" w:fill="auto"/>
          </w:tcPr>
          <w:p w14:paraId="1F885177"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Pisárecká 555/1a, Pisárky, 603 00 Brno</w:t>
            </w:r>
          </w:p>
        </w:tc>
      </w:tr>
      <w:tr w:rsidR="00F1221C" w:rsidRPr="00D10FA0" w14:paraId="443D4770" w14:textId="77777777" w:rsidTr="00984F7F">
        <w:trPr>
          <w:trHeight w:val="34"/>
        </w:trPr>
        <w:tc>
          <w:tcPr>
            <w:tcW w:w="8296" w:type="dxa"/>
            <w:gridSpan w:val="2"/>
            <w:shd w:val="clear" w:color="auto" w:fill="auto"/>
          </w:tcPr>
          <w:p w14:paraId="56884148"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Subjekt je zapsán v obchodním rejstříku u Krajského soudu v Brně, oddíl B, vložka 783</w:t>
            </w:r>
          </w:p>
        </w:tc>
      </w:tr>
      <w:tr w:rsidR="00F1221C" w:rsidRPr="00D10FA0" w14:paraId="27F6AA18" w14:textId="77777777" w:rsidTr="00984F7F">
        <w:trPr>
          <w:trHeight w:val="34"/>
        </w:trPr>
        <w:tc>
          <w:tcPr>
            <w:tcW w:w="1088" w:type="dxa"/>
            <w:shd w:val="clear" w:color="auto" w:fill="auto"/>
          </w:tcPr>
          <w:p w14:paraId="7DEA7D2F"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IČO:</w:t>
            </w:r>
          </w:p>
        </w:tc>
        <w:tc>
          <w:tcPr>
            <w:tcW w:w="7208" w:type="dxa"/>
            <w:shd w:val="clear" w:color="auto" w:fill="auto"/>
          </w:tcPr>
          <w:p w14:paraId="27D16AB0"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46347275</w:t>
            </w:r>
          </w:p>
        </w:tc>
      </w:tr>
      <w:tr w:rsidR="00F1221C" w:rsidRPr="00D10FA0" w14:paraId="6E6A2214" w14:textId="77777777" w:rsidTr="00984F7F">
        <w:trPr>
          <w:trHeight w:val="34"/>
        </w:trPr>
        <w:tc>
          <w:tcPr>
            <w:tcW w:w="1088" w:type="dxa"/>
            <w:shd w:val="clear" w:color="auto" w:fill="auto"/>
          </w:tcPr>
          <w:p w14:paraId="3CE8317C"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DIČ:</w:t>
            </w:r>
          </w:p>
        </w:tc>
        <w:tc>
          <w:tcPr>
            <w:tcW w:w="7208" w:type="dxa"/>
            <w:shd w:val="clear" w:color="auto" w:fill="auto"/>
          </w:tcPr>
          <w:p w14:paraId="32BF48ED" w14:textId="77777777" w:rsidR="00F1221C" w:rsidRPr="00D10FA0" w:rsidRDefault="00F1221C" w:rsidP="00984F7F">
            <w:pPr>
              <w:pStyle w:val="text"/>
              <w:rPr>
                <w:rFonts w:asciiTheme="majorHAnsi" w:hAnsiTheme="majorHAnsi" w:cstheme="majorHAnsi"/>
              </w:rPr>
            </w:pPr>
            <w:r w:rsidRPr="00D10FA0">
              <w:rPr>
                <w:rFonts w:asciiTheme="majorHAnsi" w:hAnsiTheme="majorHAnsi" w:cstheme="majorHAnsi"/>
              </w:rPr>
              <w:t>CZ46347275</w:t>
            </w:r>
          </w:p>
          <w:p w14:paraId="6F5D6EA2" w14:textId="77777777" w:rsidR="00F1221C" w:rsidRPr="00D10FA0" w:rsidRDefault="00F1221C" w:rsidP="00984F7F">
            <w:pPr>
              <w:pStyle w:val="text"/>
              <w:rPr>
                <w:rFonts w:asciiTheme="majorHAnsi" w:hAnsiTheme="majorHAnsi" w:cstheme="majorHAnsi"/>
              </w:rPr>
            </w:pPr>
          </w:p>
        </w:tc>
      </w:tr>
    </w:tbl>
    <w:p w14:paraId="78AA4263" w14:textId="51080383" w:rsidR="00F1221C" w:rsidRPr="00D10FA0" w:rsidRDefault="00F1221C" w:rsidP="00357809">
      <w:pPr>
        <w:pStyle w:val="text"/>
        <w:ind w:left="-41" w:firstLine="401"/>
        <w:rPr>
          <w:rFonts w:asciiTheme="majorHAnsi" w:hAnsiTheme="majorHAnsi" w:cstheme="majorHAnsi"/>
        </w:rPr>
      </w:pPr>
      <w:r w:rsidRPr="00D10FA0">
        <w:rPr>
          <w:rFonts w:asciiTheme="majorHAnsi" w:hAnsiTheme="majorHAnsi" w:cstheme="majorHAnsi"/>
        </w:rPr>
        <w:t xml:space="preserve">     Zastoupený</w:t>
      </w:r>
      <w:r w:rsidR="005F656D">
        <w:rPr>
          <w:rFonts w:asciiTheme="majorHAnsi" w:hAnsiTheme="majorHAnsi" w:cstheme="majorHAnsi"/>
        </w:rPr>
        <w:t>:</w:t>
      </w:r>
      <w:r w:rsidRPr="00D10FA0">
        <w:rPr>
          <w:rFonts w:asciiTheme="majorHAnsi" w:hAnsiTheme="majorHAnsi" w:cstheme="majorHAnsi"/>
        </w:rPr>
        <w:t xml:space="preserve"> </w:t>
      </w:r>
      <w:r w:rsidR="00357809">
        <w:rPr>
          <w:rFonts w:asciiTheme="majorHAnsi" w:hAnsiTheme="majorHAnsi" w:cstheme="majorHAnsi"/>
        </w:rPr>
        <w:t>XXX</w:t>
      </w:r>
    </w:p>
    <w:p w14:paraId="36C1CA2C" w14:textId="77777777" w:rsidR="00F1221C" w:rsidRPr="00D10FA0" w:rsidRDefault="00F1221C" w:rsidP="00F1221C">
      <w:pPr>
        <w:pStyle w:val="text"/>
        <w:ind w:left="-41" w:firstLine="401"/>
        <w:rPr>
          <w:rFonts w:asciiTheme="majorHAnsi" w:hAnsiTheme="majorHAnsi" w:cstheme="majorHAnsi"/>
        </w:rPr>
      </w:pPr>
    </w:p>
    <w:p w14:paraId="4375DDB7"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Podklady k uzavření smlouvy</w:t>
      </w:r>
    </w:p>
    <w:p w14:paraId="1BC78641"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Smlouva je uzavřena na základě nabídky zhotovitele ze dne 9. 1. 2023 a výzvy k podání nabídek ze dne 12. 12. 2022, č. SML/0625/22.</w:t>
      </w:r>
    </w:p>
    <w:p w14:paraId="50763E1C"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Předmět smlouvy</w:t>
      </w:r>
    </w:p>
    <w:p w14:paraId="6339917C" w14:textId="5C87D310"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Zhotovitel se zavazuje osobně provést na svůj náklad a nebezpečí pro objednatele dílo spočívající ve vytěžení usazených a naplavených sedimentů z k</w:t>
      </w:r>
      <w:r w:rsidR="00522D28">
        <w:rPr>
          <w:rFonts w:asciiTheme="majorHAnsi" w:hAnsiTheme="majorHAnsi" w:cstheme="majorHAnsi"/>
        </w:rPr>
        <w:t>menové jednotné stoky „E“</w:t>
      </w:r>
      <w:r w:rsidR="00522D28" w:rsidRPr="00522D28">
        <w:rPr>
          <w:rFonts w:asciiTheme="majorHAnsi" w:hAnsiTheme="majorHAnsi" w:cstheme="majorHAnsi"/>
        </w:rPr>
        <w:t xml:space="preserve"> </w:t>
      </w:r>
      <w:r w:rsidR="00522D28">
        <w:rPr>
          <w:rFonts w:asciiTheme="majorHAnsi" w:hAnsiTheme="majorHAnsi" w:cstheme="majorHAnsi"/>
        </w:rPr>
        <w:t>v </w:t>
      </w:r>
      <w:r w:rsidR="00522D28" w:rsidRPr="008D6D3E">
        <w:rPr>
          <w:rFonts w:asciiTheme="majorHAnsi" w:hAnsiTheme="majorHAnsi" w:cstheme="majorHAnsi"/>
        </w:rPr>
        <w:t xml:space="preserve">rozsahu prací uvedeném v bodě </w:t>
      </w:r>
      <w:proofErr w:type="gramStart"/>
      <w:r w:rsidR="00522D28" w:rsidRPr="008D6D3E">
        <w:rPr>
          <w:rFonts w:asciiTheme="majorHAnsi" w:hAnsiTheme="majorHAnsi" w:cstheme="majorHAnsi"/>
        </w:rPr>
        <w:t>3.2</w:t>
      </w:r>
      <w:proofErr w:type="gramEnd"/>
      <w:r w:rsidR="00522D28" w:rsidRPr="008D6D3E">
        <w:rPr>
          <w:rFonts w:asciiTheme="majorHAnsi" w:hAnsiTheme="majorHAnsi" w:cstheme="majorHAnsi"/>
        </w:rPr>
        <w:t>. a 3.3. této smlouvy a dle doložené situace na kanalizační síti</w:t>
      </w:r>
      <w:r w:rsidR="00522D28">
        <w:rPr>
          <w:rFonts w:asciiTheme="majorHAnsi" w:hAnsiTheme="majorHAnsi" w:cstheme="majorHAnsi"/>
        </w:rPr>
        <w:t>,</w:t>
      </w:r>
      <w:r w:rsidR="00713956">
        <w:rPr>
          <w:rFonts w:asciiTheme="majorHAnsi" w:hAnsiTheme="majorHAnsi" w:cstheme="majorHAnsi"/>
        </w:rPr>
        <w:t xml:space="preserve"> a to </w:t>
      </w:r>
      <w:r w:rsidR="00713956">
        <w:rPr>
          <w:rFonts w:asciiTheme="majorHAnsi" w:hAnsiTheme="majorHAnsi" w:cstheme="majorHAnsi"/>
          <w:color w:val="000000" w:themeColor="text1"/>
        </w:rPr>
        <w:t>v </w:t>
      </w:r>
      <w:r w:rsidRPr="00D10FA0">
        <w:rPr>
          <w:rFonts w:asciiTheme="majorHAnsi" w:hAnsiTheme="majorHAnsi" w:cstheme="majorHAnsi"/>
          <w:color w:val="000000" w:themeColor="text1"/>
        </w:rPr>
        <w:t>úsecích od ul. Mírové po ul. Hladíkovu v Brně rozdělených následovně</w:t>
      </w:r>
      <w:r w:rsidRPr="00D10FA0">
        <w:rPr>
          <w:rFonts w:asciiTheme="majorHAnsi" w:hAnsiTheme="majorHAnsi" w:cstheme="majorHAnsi"/>
        </w:rPr>
        <w:t xml:space="preserve">: </w:t>
      </w:r>
    </w:p>
    <w:p w14:paraId="328F2FAB" w14:textId="77777777" w:rsidR="00F1221C" w:rsidRPr="00D10FA0" w:rsidRDefault="00F1221C" w:rsidP="00F1221C">
      <w:pPr>
        <w:pStyle w:val="22uroven"/>
        <w:numPr>
          <w:ilvl w:val="0"/>
          <w:numId w:val="24"/>
        </w:numPr>
        <w:spacing w:before="80"/>
        <w:rPr>
          <w:rFonts w:asciiTheme="majorHAnsi" w:hAnsiTheme="majorHAnsi" w:cstheme="majorHAnsi"/>
          <w:color w:val="000000" w:themeColor="text1"/>
        </w:rPr>
      </w:pPr>
      <w:r w:rsidRPr="00D10FA0">
        <w:rPr>
          <w:rFonts w:asciiTheme="majorHAnsi" w:hAnsiTheme="majorHAnsi" w:cstheme="majorHAnsi"/>
          <w:color w:val="000000" w:themeColor="text1"/>
        </w:rPr>
        <w:t>první úsek vede od odlehčovací komory OKE03 Mírová (ID:</w:t>
      </w:r>
      <w:r w:rsidRPr="00D10FA0">
        <w:rPr>
          <w:rFonts w:asciiTheme="majorHAnsi" w:hAnsiTheme="majorHAnsi" w:cstheme="majorHAnsi"/>
          <w:color w:val="000000" w:themeColor="text1"/>
          <w:shd w:val="clear" w:color="auto" w:fill="FFFFFF"/>
        </w:rPr>
        <w:t xml:space="preserve"> </w:t>
      </w:r>
      <w:r w:rsidRPr="00D10FA0">
        <w:rPr>
          <w:rFonts w:asciiTheme="majorHAnsi" w:hAnsiTheme="majorHAnsi" w:cstheme="majorHAnsi"/>
          <w:color w:val="000000" w:themeColor="text1"/>
        </w:rPr>
        <w:t xml:space="preserve">1480239) směrem k lomové šachtě Š64455 a dále podél obslužné cesty vedle svahu železničního náspu až po soutokovou revizní šachtu Š64414 u nemovitosti Řehořova </w:t>
      </w:r>
      <w:proofErr w:type="spellStart"/>
      <w:proofErr w:type="gramStart"/>
      <w:r w:rsidRPr="00D10FA0">
        <w:rPr>
          <w:rFonts w:asciiTheme="majorHAnsi" w:hAnsiTheme="majorHAnsi" w:cstheme="majorHAnsi"/>
          <w:color w:val="000000" w:themeColor="text1"/>
        </w:rPr>
        <w:t>č.o</w:t>
      </w:r>
      <w:proofErr w:type="spellEnd"/>
      <w:r w:rsidRPr="00D10FA0">
        <w:rPr>
          <w:rFonts w:asciiTheme="majorHAnsi" w:hAnsiTheme="majorHAnsi" w:cstheme="majorHAnsi"/>
          <w:color w:val="000000" w:themeColor="text1"/>
        </w:rPr>
        <w:t>.</w:t>
      </w:r>
      <w:proofErr w:type="gramEnd"/>
      <w:r w:rsidRPr="00D10FA0">
        <w:rPr>
          <w:rFonts w:asciiTheme="majorHAnsi" w:hAnsiTheme="majorHAnsi" w:cstheme="majorHAnsi"/>
          <w:color w:val="000000" w:themeColor="text1"/>
        </w:rPr>
        <w:t xml:space="preserve"> 48;</w:t>
      </w:r>
    </w:p>
    <w:p w14:paraId="3A2482FF" w14:textId="77777777" w:rsidR="00F1221C" w:rsidRPr="00D10FA0" w:rsidRDefault="00F1221C" w:rsidP="00F1221C">
      <w:pPr>
        <w:pStyle w:val="22uroven"/>
        <w:numPr>
          <w:ilvl w:val="0"/>
          <w:numId w:val="24"/>
        </w:numPr>
        <w:spacing w:before="80"/>
        <w:rPr>
          <w:rFonts w:asciiTheme="majorHAnsi" w:hAnsiTheme="majorHAnsi" w:cstheme="majorHAnsi"/>
          <w:color w:val="000000" w:themeColor="text1"/>
        </w:rPr>
      </w:pPr>
      <w:r w:rsidRPr="00D10FA0">
        <w:rPr>
          <w:rFonts w:asciiTheme="majorHAnsi" w:hAnsiTheme="majorHAnsi" w:cstheme="majorHAnsi"/>
          <w:color w:val="000000" w:themeColor="text1"/>
        </w:rPr>
        <w:lastRenderedPageBreak/>
        <w:t xml:space="preserve">druhý úsek stoky vede od soutokové šachty Š64414 po soutokovou revizní šachtu Š1904721 v ul. Blatouchově u </w:t>
      </w:r>
      <w:proofErr w:type="spellStart"/>
      <w:proofErr w:type="gramStart"/>
      <w:r w:rsidRPr="00D10FA0">
        <w:rPr>
          <w:rFonts w:asciiTheme="majorHAnsi" w:hAnsiTheme="majorHAnsi" w:cstheme="majorHAnsi"/>
          <w:color w:val="000000" w:themeColor="text1"/>
        </w:rPr>
        <w:t>č.o</w:t>
      </w:r>
      <w:proofErr w:type="spellEnd"/>
      <w:r w:rsidRPr="00D10FA0">
        <w:rPr>
          <w:rFonts w:asciiTheme="majorHAnsi" w:hAnsiTheme="majorHAnsi" w:cstheme="majorHAnsi"/>
          <w:color w:val="000000" w:themeColor="text1"/>
        </w:rPr>
        <w:t>.</w:t>
      </w:r>
      <w:proofErr w:type="gramEnd"/>
      <w:r w:rsidRPr="00D10FA0">
        <w:rPr>
          <w:rFonts w:asciiTheme="majorHAnsi" w:hAnsiTheme="majorHAnsi" w:cstheme="majorHAnsi"/>
          <w:color w:val="000000" w:themeColor="text1"/>
        </w:rPr>
        <w:t xml:space="preserve"> 7; </w:t>
      </w:r>
    </w:p>
    <w:p w14:paraId="25C23C3E" w14:textId="77777777" w:rsidR="00F1221C" w:rsidRPr="00D10FA0" w:rsidRDefault="00F1221C" w:rsidP="00F1221C">
      <w:pPr>
        <w:pStyle w:val="22uroven"/>
        <w:numPr>
          <w:ilvl w:val="0"/>
          <w:numId w:val="24"/>
        </w:numPr>
        <w:spacing w:before="80"/>
        <w:rPr>
          <w:rFonts w:asciiTheme="majorHAnsi" w:hAnsiTheme="majorHAnsi" w:cstheme="majorHAnsi"/>
          <w:color w:val="000000" w:themeColor="text1"/>
        </w:rPr>
      </w:pPr>
      <w:r w:rsidRPr="00D10FA0">
        <w:rPr>
          <w:rFonts w:asciiTheme="majorHAnsi" w:hAnsiTheme="majorHAnsi" w:cstheme="majorHAnsi"/>
          <w:color w:val="000000" w:themeColor="text1"/>
        </w:rPr>
        <w:t xml:space="preserve">třetí úsek k čištění stoky je od šachty Š1904721, následně křižuje železniční trať směrem k lomové revizní šachtě Š64410 umístěné v břehu řeky Svitavy; </w:t>
      </w:r>
    </w:p>
    <w:p w14:paraId="278DD491" w14:textId="5293C3EA" w:rsidR="00F1221C" w:rsidRPr="00D10FA0" w:rsidRDefault="00F13656" w:rsidP="00F1221C">
      <w:pPr>
        <w:pStyle w:val="22uroven"/>
        <w:numPr>
          <w:ilvl w:val="0"/>
          <w:numId w:val="24"/>
        </w:numPr>
        <w:spacing w:before="80"/>
        <w:rPr>
          <w:rFonts w:asciiTheme="majorHAnsi" w:hAnsiTheme="majorHAnsi" w:cstheme="majorHAnsi"/>
          <w:color w:val="000000" w:themeColor="text1"/>
        </w:rPr>
      </w:pPr>
      <w:r>
        <w:rPr>
          <w:rFonts w:asciiTheme="majorHAnsi" w:hAnsiTheme="majorHAnsi" w:cstheme="majorHAnsi"/>
          <w:color w:val="000000" w:themeColor="text1"/>
        </w:rPr>
        <w:t>čtvrtý</w:t>
      </w:r>
      <w:r w:rsidR="00F1221C" w:rsidRPr="00D10FA0">
        <w:rPr>
          <w:rFonts w:asciiTheme="majorHAnsi" w:hAnsiTheme="majorHAnsi" w:cstheme="majorHAnsi"/>
          <w:color w:val="000000" w:themeColor="text1"/>
        </w:rPr>
        <w:t xml:space="preserve"> úsek k těžení sedimentů je umístěn podél řeky Svitavy, a to od šachty Š64410 přes odlehčovací komoru OKE04 - Spojka (ID:1480237) po odlehčovací komoru OKE05-Hladíkova</w:t>
      </w:r>
      <w:r>
        <w:rPr>
          <w:rFonts w:asciiTheme="majorHAnsi" w:hAnsiTheme="majorHAnsi" w:cstheme="majorHAnsi"/>
          <w:color w:val="000000" w:themeColor="text1"/>
        </w:rPr>
        <w:t xml:space="preserve"> (ID:1556239) při ul. Hladíkově.</w:t>
      </w:r>
      <w:r w:rsidR="00F1221C" w:rsidRPr="00D10FA0">
        <w:rPr>
          <w:rFonts w:asciiTheme="majorHAnsi" w:hAnsiTheme="majorHAnsi" w:cstheme="majorHAnsi"/>
          <w:color w:val="000000" w:themeColor="text1"/>
        </w:rPr>
        <w:t xml:space="preserve">  </w:t>
      </w:r>
    </w:p>
    <w:p w14:paraId="07208171" w14:textId="3A78D543" w:rsidR="00F1221C" w:rsidRPr="00D10FA0" w:rsidRDefault="00F13656" w:rsidP="00F1221C">
      <w:pPr>
        <w:pStyle w:val="22uroven"/>
        <w:numPr>
          <w:ilvl w:val="0"/>
          <w:numId w:val="0"/>
        </w:numPr>
        <w:ind w:left="567"/>
        <w:rPr>
          <w:rFonts w:asciiTheme="majorHAnsi" w:hAnsiTheme="majorHAnsi" w:cstheme="majorHAnsi"/>
        </w:rPr>
      </w:pPr>
      <w:r>
        <w:rPr>
          <w:rFonts w:asciiTheme="majorHAnsi" w:hAnsiTheme="majorHAnsi" w:cstheme="majorHAnsi"/>
          <w:color w:val="000000" w:themeColor="text1"/>
        </w:rPr>
        <w:t xml:space="preserve">Požadované práce budou prováděny </w:t>
      </w:r>
      <w:r w:rsidR="00945C71" w:rsidRPr="00D10FA0">
        <w:rPr>
          <w:rFonts w:asciiTheme="majorHAnsi" w:hAnsiTheme="majorHAnsi" w:cstheme="majorHAnsi"/>
          <w:color w:val="000000" w:themeColor="text1"/>
        </w:rPr>
        <w:t xml:space="preserve">včetně </w:t>
      </w:r>
      <w:r w:rsidR="00945C71" w:rsidRPr="00D10FA0">
        <w:rPr>
          <w:rFonts w:asciiTheme="majorHAnsi" w:hAnsiTheme="majorHAnsi" w:cstheme="majorHAnsi"/>
        </w:rPr>
        <w:t>čištění o</w:t>
      </w:r>
      <w:r w:rsidR="00945C71">
        <w:rPr>
          <w:rFonts w:asciiTheme="majorHAnsi" w:hAnsiTheme="majorHAnsi" w:cstheme="majorHAnsi"/>
        </w:rPr>
        <w:t>dlehčovacích komor a objektů na </w:t>
      </w:r>
      <w:r w:rsidR="00945C71" w:rsidRPr="00D10FA0">
        <w:rPr>
          <w:rFonts w:asciiTheme="majorHAnsi" w:hAnsiTheme="majorHAnsi" w:cstheme="majorHAnsi"/>
        </w:rPr>
        <w:t>kanalizační síti</w:t>
      </w:r>
      <w:r w:rsidR="00522D28">
        <w:rPr>
          <w:rFonts w:asciiTheme="majorHAnsi" w:hAnsiTheme="majorHAnsi" w:cstheme="majorHAnsi"/>
        </w:rPr>
        <w:t xml:space="preserve"> dle doložených situací.</w:t>
      </w:r>
    </w:p>
    <w:p w14:paraId="05127976" w14:textId="4AD766BA" w:rsidR="00F1221C" w:rsidRPr="00D10FA0" w:rsidRDefault="00F1221C" w:rsidP="00F1221C">
      <w:pPr>
        <w:pStyle w:val="22uroven"/>
        <w:numPr>
          <w:ilvl w:val="0"/>
          <w:numId w:val="0"/>
        </w:numPr>
        <w:ind w:left="567"/>
        <w:rPr>
          <w:rFonts w:asciiTheme="majorHAnsi" w:hAnsiTheme="majorHAnsi" w:cstheme="majorHAnsi"/>
        </w:rPr>
      </w:pPr>
      <w:r w:rsidRPr="00D10FA0">
        <w:rPr>
          <w:rFonts w:asciiTheme="majorHAnsi" w:hAnsiTheme="majorHAnsi" w:cstheme="majorHAnsi"/>
        </w:rPr>
        <w:t xml:space="preserve">Předpokládaný objem </w:t>
      </w:r>
      <w:r w:rsidRPr="00D10FA0">
        <w:rPr>
          <w:rFonts w:asciiTheme="majorHAnsi" w:hAnsiTheme="majorHAnsi" w:cstheme="majorHAnsi"/>
          <w:color w:val="000000" w:themeColor="text1"/>
        </w:rPr>
        <w:t>nánosu je 185 m</w:t>
      </w:r>
      <w:r w:rsidRPr="00D10FA0">
        <w:rPr>
          <w:rFonts w:asciiTheme="majorHAnsi" w:hAnsiTheme="majorHAnsi" w:cstheme="majorHAnsi"/>
          <w:color w:val="000000" w:themeColor="text1"/>
          <w:vertAlign w:val="superscript"/>
        </w:rPr>
        <w:t>3</w:t>
      </w:r>
      <w:r w:rsidRPr="00D10FA0">
        <w:rPr>
          <w:rFonts w:asciiTheme="majorHAnsi" w:hAnsiTheme="majorHAnsi" w:cstheme="majorHAnsi"/>
          <w:color w:val="000000" w:themeColor="text1"/>
        </w:rPr>
        <w:t xml:space="preserve"> a délka </w:t>
      </w:r>
      <w:r w:rsidR="008D6D3E">
        <w:rPr>
          <w:rFonts w:asciiTheme="majorHAnsi" w:hAnsiTheme="majorHAnsi" w:cstheme="majorHAnsi"/>
          <w:color w:val="000000" w:themeColor="text1"/>
        </w:rPr>
        <w:t xml:space="preserve">čištěné </w:t>
      </w:r>
      <w:r w:rsidRPr="00D10FA0">
        <w:rPr>
          <w:rFonts w:asciiTheme="majorHAnsi" w:hAnsiTheme="majorHAnsi" w:cstheme="majorHAnsi"/>
          <w:color w:val="000000" w:themeColor="text1"/>
        </w:rPr>
        <w:t>stoky činí 1433 m.</w:t>
      </w:r>
    </w:p>
    <w:p w14:paraId="30CA5A31" w14:textId="77777777" w:rsidR="00F1221C" w:rsidRPr="00D10FA0" w:rsidRDefault="00F1221C" w:rsidP="00DC28D1">
      <w:pPr>
        <w:pStyle w:val="22uroven"/>
        <w:numPr>
          <w:ilvl w:val="0"/>
          <w:numId w:val="0"/>
        </w:numPr>
        <w:spacing w:before="80" w:after="80"/>
        <w:rPr>
          <w:rFonts w:asciiTheme="majorHAnsi" w:hAnsiTheme="majorHAnsi" w:cstheme="majorHAnsi"/>
        </w:rPr>
      </w:pPr>
    </w:p>
    <w:p w14:paraId="5DF2D7BA" w14:textId="77777777" w:rsidR="00F1221C" w:rsidRPr="00D10FA0" w:rsidRDefault="00F1221C" w:rsidP="00F1221C">
      <w:pPr>
        <w:pStyle w:val="22uroven"/>
        <w:numPr>
          <w:ilvl w:val="0"/>
          <w:numId w:val="0"/>
        </w:numPr>
        <w:spacing w:before="80" w:after="80"/>
        <w:ind w:left="567"/>
        <w:rPr>
          <w:rFonts w:asciiTheme="majorHAnsi" w:hAnsiTheme="majorHAnsi" w:cstheme="majorHAnsi"/>
          <w:color w:val="000000" w:themeColor="text1"/>
        </w:rPr>
      </w:pPr>
      <w:r w:rsidRPr="00D10FA0">
        <w:rPr>
          <w:rFonts w:asciiTheme="majorHAnsi" w:hAnsiTheme="majorHAnsi" w:cstheme="majorHAnsi"/>
        </w:rPr>
        <w:t>(dále jako „předmět smlouvy“ nebo „dílo“).</w:t>
      </w:r>
    </w:p>
    <w:p w14:paraId="484AD0D0"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Zhotovitel se zavazuje provést následující rozsah prací: </w:t>
      </w:r>
    </w:p>
    <w:p w14:paraId="79399805" w14:textId="4F169503" w:rsidR="00F1221C" w:rsidRPr="00D10FA0" w:rsidRDefault="00F1221C" w:rsidP="00F1221C">
      <w:pPr>
        <w:pStyle w:val="Odstavecseseznamem"/>
        <w:numPr>
          <w:ilvl w:val="0"/>
          <w:numId w:val="25"/>
        </w:numPr>
        <w:ind w:hanging="11"/>
        <w:rPr>
          <w:rFonts w:asciiTheme="majorHAnsi" w:hAnsiTheme="majorHAnsi" w:cstheme="majorHAnsi"/>
          <w:sz w:val="20"/>
        </w:rPr>
      </w:pPr>
      <w:r w:rsidRPr="00D10FA0">
        <w:rPr>
          <w:rFonts w:asciiTheme="majorHAnsi" w:hAnsiTheme="majorHAnsi" w:cstheme="majorHAnsi"/>
          <w:sz w:val="20"/>
        </w:rPr>
        <w:t xml:space="preserve">rozrušení a vytěžení nánosu z daného úseku kmenové stoky,  </w:t>
      </w:r>
    </w:p>
    <w:p w14:paraId="3189FD91" w14:textId="77777777" w:rsidR="00F1221C" w:rsidRPr="00D10FA0" w:rsidRDefault="00F1221C" w:rsidP="00F1221C">
      <w:pPr>
        <w:pStyle w:val="Odstavecseseznamem"/>
        <w:numPr>
          <w:ilvl w:val="0"/>
          <w:numId w:val="25"/>
        </w:numPr>
        <w:ind w:hanging="11"/>
        <w:rPr>
          <w:rFonts w:asciiTheme="majorHAnsi" w:hAnsiTheme="majorHAnsi" w:cstheme="majorHAnsi"/>
          <w:sz w:val="20"/>
        </w:rPr>
      </w:pPr>
      <w:r w:rsidRPr="00D10FA0">
        <w:rPr>
          <w:rFonts w:asciiTheme="majorHAnsi" w:hAnsiTheme="majorHAnsi" w:cstheme="majorHAnsi"/>
          <w:sz w:val="20"/>
        </w:rPr>
        <w:t xml:space="preserve">odvoz vytěženého materiálu na meziskládku objednatele v ČOV Brno, </w:t>
      </w:r>
    </w:p>
    <w:p w14:paraId="15D15FFF" w14:textId="77777777" w:rsidR="00F1221C" w:rsidRPr="00D10FA0" w:rsidRDefault="00F1221C" w:rsidP="00F1221C">
      <w:pPr>
        <w:pStyle w:val="Odstavecseseznamem"/>
        <w:ind w:left="720" w:firstLine="696"/>
        <w:rPr>
          <w:rFonts w:asciiTheme="majorHAnsi" w:hAnsiTheme="majorHAnsi" w:cstheme="majorHAnsi"/>
          <w:sz w:val="20"/>
        </w:rPr>
      </w:pPr>
      <w:r w:rsidRPr="00D10FA0">
        <w:rPr>
          <w:rFonts w:asciiTheme="majorHAnsi" w:hAnsiTheme="majorHAnsi" w:cstheme="majorHAnsi"/>
          <w:sz w:val="20"/>
        </w:rPr>
        <w:t>kde následnou likvidaci zajistí objednatel,</w:t>
      </w:r>
    </w:p>
    <w:p w14:paraId="1C5C7595" w14:textId="77777777" w:rsidR="00F1221C" w:rsidRPr="00D10FA0" w:rsidRDefault="00F1221C" w:rsidP="00F1221C">
      <w:pPr>
        <w:pStyle w:val="Odstavecseseznamem"/>
        <w:numPr>
          <w:ilvl w:val="0"/>
          <w:numId w:val="25"/>
        </w:numPr>
        <w:ind w:hanging="11"/>
        <w:rPr>
          <w:rFonts w:asciiTheme="majorHAnsi" w:hAnsiTheme="majorHAnsi" w:cstheme="majorHAnsi"/>
          <w:sz w:val="20"/>
        </w:rPr>
      </w:pPr>
      <w:r w:rsidRPr="00D10FA0">
        <w:rPr>
          <w:rFonts w:asciiTheme="majorHAnsi" w:hAnsiTheme="majorHAnsi" w:cstheme="majorHAnsi"/>
          <w:sz w:val="20"/>
        </w:rPr>
        <w:t>provedení fotodokumentace a videa dokladující kvalitu a provedení díla.</w:t>
      </w:r>
    </w:p>
    <w:p w14:paraId="22179498"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Zhotovitel se zavazuje provést pro objednatele rovněž veškeré podpůrné činnosti nezbytné pro splnění předmětu smlouvy jako např.: zajištění veškeré potřebné inženýrské činnosti, přípravných a pomocných prací včetně event. poplatků (zejména vyřízení přístupu k šachtám, vyřízení povolení užívání veřejného prostranství, dopravního omezení, dopravního značení, dále povolení k dotčení zelených ploch a jejich event. úprava, </w:t>
      </w:r>
      <w:proofErr w:type="spellStart"/>
      <w:r w:rsidRPr="00D10FA0">
        <w:rPr>
          <w:rFonts w:asciiTheme="majorHAnsi" w:hAnsiTheme="majorHAnsi" w:cstheme="majorHAnsi"/>
        </w:rPr>
        <w:t>apod</w:t>
      </w:r>
      <w:proofErr w:type="spellEnd"/>
      <w:r w:rsidRPr="00D10FA0">
        <w:rPr>
          <w:rFonts w:asciiTheme="majorHAnsi" w:hAnsiTheme="majorHAnsi" w:cstheme="majorHAnsi"/>
        </w:rPr>
        <w:t xml:space="preserve">). </w:t>
      </w:r>
    </w:p>
    <w:p w14:paraId="7DAC5F49"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Objednatel se zavazuje dílo převzít a zaplatit cenu.</w:t>
      </w:r>
    </w:p>
    <w:p w14:paraId="58D06C14"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Objednatel se zavazuje poskytnout zhotoviteli součinnost nezbytnou k provedení díla.</w:t>
      </w:r>
    </w:p>
    <w:p w14:paraId="4ECF1F25"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Doba plnění</w:t>
      </w:r>
    </w:p>
    <w:p w14:paraId="7AEAAD26"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Realizace díla bude probíhat od data podpisu smlouvy do 30. 11. 2023.</w:t>
      </w:r>
    </w:p>
    <w:p w14:paraId="18017B6D" w14:textId="4E0F6EB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Dílo bude plněno průběžně. </w:t>
      </w:r>
    </w:p>
    <w:p w14:paraId="0BE8B860"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Místo plnění, požadavky na provedení díla a jeho předání</w:t>
      </w:r>
    </w:p>
    <w:p w14:paraId="79F6020E" w14:textId="642692AB" w:rsidR="00F1221C" w:rsidRPr="008D6D3E" w:rsidRDefault="004F0DBA" w:rsidP="004F0DBA">
      <w:pPr>
        <w:pStyle w:val="22uroven"/>
        <w:ind w:left="567" w:hanging="567"/>
        <w:rPr>
          <w:rFonts w:asciiTheme="majorHAnsi" w:hAnsiTheme="majorHAnsi" w:cstheme="majorHAnsi"/>
        </w:rPr>
      </w:pPr>
      <w:r w:rsidRPr="004F0DBA">
        <w:rPr>
          <w:rFonts w:asciiTheme="majorHAnsi" w:hAnsiTheme="majorHAnsi" w:cstheme="majorHAnsi"/>
        </w:rPr>
        <w:t xml:space="preserve">Místem plnění je území </w:t>
      </w:r>
      <w:r>
        <w:rPr>
          <w:rFonts w:asciiTheme="majorHAnsi" w:hAnsiTheme="majorHAnsi" w:cstheme="majorHAnsi"/>
        </w:rPr>
        <w:t xml:space="preserve">statutárního </w:t>
      </w:r>
      <w:r w:rsidRPr="004F0DBA">
        <w:rPr>
          <w:rFonts w:asciiTheme="majorHAnsi" w:hAnsiTheme="majorHAnsi" w:cstheme="majorHAnsi"/>
        </w:rPr>
        <w:t xml:space="preserve">města Brna, k. </w:t>
      </w:r>
      <w:proofErr w:type="spellStart"/>
      <w:r w:rsidRPr="004F0DBA">
        <w:rPr>
          <w:rFonts w:asciiTheme="majorHAnsi" w:hAnsiTheme="majorHAnsi" w:cstheme="majorHAnsi"/>
        </w:rPr>
        <w:t>ú.</w:t>
      </w:r>
      <w:proofErr w:type="spellEnd"/>
      <w:r w:rsidRPr="004F0DBA">
        <w:rPr>
          <w:rFonts w:asciiTheme="majorHAnsi" w:hAnsiTheme="majorHAnsi" w:cstheme="majorHAnsi"/>
        </w:rPr>
        <w:t xml:space="preserve"> Černovice: p. č. 1981/2, 1986/11, 2762, 2763/1, 1981/1, 1979, 1980, 1691/94, 1591/34, 1691/92, 1691/91, 1691/43, 1691/47, 1691/60, 1691/1, 1691/104, 1691/105, 1691/106, 1694, 1846/7, 506/1, 506/25, 506/24, 505/22, 506/23, 2764, 1810, 1847/5, 1847/6, 285, 284, 283, 282, 281, 280, 279, 278, 275, 274, 271, 264, 263/1, 262, 2759/2, 1323/32.</w:t>
      </w:r>
    </w:p>
    <w:p w14:paraId="6DB9C25A" w14:textId="77777777" w:rsidR="00F1221C" w:rsidRPr="008D6D3E" w:rsidRDefault="00F1221C" w:rsidP="00F1221C">
      <w:pPr>
        <w:pStyle w:val="22uroven"/>
        <w:ind w:left="567" w:hanging="567"/>
        <w:rPr>
          <w:rFonts w:asciiTheme="majorHAnsi" w:hAnsiTheme="majorHAnsi" w:cstheme="majorHAnsi"/>
        </w:rPr>
      </w:pPr>
      <w:r w:rsidRPr="008D6D3E">
        <w:rPr>
          <w:rFonts w:asciiTheme="majorHAnsi" w:hAnsiTheme="majorHAnsi" w:cstheme="majorHAnsi"/>
        </w:rPr>
        <w:t xml:space="preserve">Objednatel provede kontrolu provedení díla vždy ihned při předání dílčího plnění, aby mohl bezprostředně uplatnit případné vady díla. </w:t>
      </w:r>
    </w:p>
    <w:p w14:paraId="0A61ECDC" w14:textId="4E3DFDD5" w:rsidR="00F1221C" w:rsidRPr="008D6D3E" w:rsidRDefault="00F1221C" w:rsidP="00F1221C">
      <w:pPr>
        <w:pStyle w:val="22uroven"/>
        <w:ind w:left="567" w:hanging="567"/>
        <w:rPr>
          <w:rFonts w:asciiTheme="majorHAnsi" w:hAnsiTheme="majorHAnsi" w:cstheme="majorHAnsi"/>
        </w:rPr>
      </w:pPr>
      <w:r w:rsidRPr="008D6D3E">
        <w:rPr>
          <w:rFonts w:asciiTheme="majorHAnsi" w:hAnsiTheme="majorHAnsi" w:cstheme="majorHAnsi"/>
          <w:color w:val="000000" w:themeColor="text1"/>
        </w:rPr>
        <w:t xml:space="preserve">Po dokončení dílčího plnění bude provedena kontrola </w:t>
      </w:r>
      <w:r w:rsidR="00E6649F">
        <w:rPr>
          <w:rFonts w:asciiTheme="majorHAnsi" w:hAnsiTheme="majorHAnsi" w:cstheme="majorHAnsi"/>
          <w:color w:val="000000" w:themeColor="text1"/>
        </w:rPr>
        <w:t>zaměstnancem</w:t>
      </w:r>
      <w:r w:rsidRPr="008D6D3E">
        <w:rPr>
          <w:rFonts w:asciiTheme="majorHAnsi" w:hAnsiTheme="majorHAnsi" w:cstheme="majorHAnsi"/>
          <w:color w:val="000000" w:themeColor="text1"/>
        </w:rPr>
        <w:t xml:space="preserve"> objednatele, který písemně odsouhlasí úplnost a kvalitu provedených </w:t>
      </w:r>
      <w:r w:rsidRPr="008D6D3E">
        <w:rPr>
          <w:rFonts w:asciiTheme="majorHAnsi" w:hAnsiTheme="majorHAnsi" w:cstheme="majorHAnsi"/>
        </w:rPr>
        <w:t xml:space="preserve">prací. Převzetí </w:t>
      </w:r>
      <w:r w:rsidR="008D6D3E" w:rsidRPr="008D6D3E">
        <w:rPr>
          <w:rFonts w:asciiTheme="majorHAnsi" w:hAnsiTheme="majorHAnsi" w:cstheme="majorHAnsi"/>
        </w:rPr>
        <w:t>dílčího plnění bude učiněno za </w:t>
      </w:r>
      <w:r w:rsidRPr="008D6D3E">
        <w:rPr>
          <w:rFonts w:asciiTheme="majorHAnsi" w:hAnsiTheme="majorHAnsi" w:cstheme="majorHAnsi"/>
        </w:rPr>
        <w:t>současného podpisu předávacího protokolu, z něhož bude z</w:t>
      </w:r>
      <w:r w:rsidR="00390AB5" w:rsidRPr="008D6D3E">
        <w:rPr>
          <w:rFonts w:asciiTheme="majorHAnsi" w:hAnsiTheme="majorHAnsi" w:cstheme="majorHAnsi"/>
        </w:rPr>
        <w:t>řejmý rozsah provedených prací</w:t>
      </w:r>
      <w:r w:rsidRPr="008D6D3E">
        <w:rPr>
          <w:rFonts w:asciiTheme="majorHAnsi" w:hAnsiTheme="majorHAnsi" w:cstheme="majorHAnsi"/>
        </w:rPr>
        <w:t xml:space="preserve"> a případné výhrady objednatele k dokončenému dílčímu plnění. Zhotovitel předá objednateli rovněž pořízenou fotodokumentaci. </w:t>
      </w:r>
    </w:p>
    <w:p w14:paraId="4AC8A7FB"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Nebezpečí škody na dílčím plnění díla přechází na objednatele okamžikem předání tohoto dílčího plnění.</w:t>
      </w:r>
    </w:p>
    <w:p w14:paraId="0EE12CD1"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lastRenderedPageBreak/>
        <w:t xml:space="preserve"> Cena díla</w:t>
      </w:r>
    </w:p>
    <w:p w14:paraId="6F80FF3A" w14:textId="2D3325AB"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Smluvní strany se dohodly na celkové ceně za splnění předmě</w:t>
      </w:r>
      <w:r w:rsidR="00BA23C4">
        <w:rPr>
          <w:rFonts w:asciiTheme="majorHAnsi" w:hAnsiTheme="majorHAnsi" w:cstheme="majorHAnsi"/>
        </w:rPr>
        <w:t>tu smlouvy v částce 1 751 145,- </w:t>
      </w:r>
      <w:r w:rsidRPr="00D10FA0">
        <w:rPr>
          <w:rFonts w:asciiTheme="majorHAnsi" w:hAnsiTheme="majorHAnsi" w:cstheme="majorHAnsi"/>
        </w:rPr>
        <w:t>Kč bez DPH.</w:t>
      </w:r>
    </w:p>
    <w:p w14:paraId="42CC41D7"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K cenám bude připočítána DPH v platné výši.</w:t>
      </w:r>
    </w:p>
    <w:p w14:paraId="3106B2FE" w14:textId="63821FF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Cena zahrnuje veškeré i vedlejší náklady na splnění díla</w:t>
      </w:r>
      <w:r w:rsidR="008B7AAC">
        <w:rPr>
          <w:rFonts w:asciiTheme="majorHAnsi" w:hAnsiTheme="majorHAnsi" w:cstheme="majorHAnsi"/>
        </w:rPr>
        <w:t xml:space="preserve">. Cena </w:t>
      </w:r>
      <w:r w:rsidRPr="00D10FA0">
        <w:rPr>
          <w:rFonts w:asciiTheme="majorHAnsi" w:hAnsiTheme="majorHAnsi" w:cstheme="majorHAnsi"/>
        </w:rPr>
        <w:t xml:space="preserve">je stanovena </w:t>
      </w:r>
      <w:r w:rsidRPr="00D10FA0">
        <w:rPr>
          <w:rFonts w:asciiTheme="majorHAnsi" w:hAnsiTheme="majorHAnsi" w:cstheme="majorHAnsi"/>
          <w:color w:val="000000" w:themeColor="text1"/>
        </w:rPr>
        <w:t xml:space="preserve">podle místa plnění a dle zadaných požadavků. </w:t>
      </w:r>
    </w:p>
    <w:p w14:paraId="690D849A"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Platební podmínky</w:t>
      </w:r>
    </w:p>
    <w:p w14:paraId="46A4E8FA"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Datem zdanitelného plnění se rozumí den předání díla.</w:t>
      </w:r>
    </w:p>
    <w:p w14:paraId="3F8AA147" w14:textId="2ED387BE"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Cena </w:t>
      </w:r>
      <w:r w:rsidR="00771682">
        <w:rPr>
          <w:rFonts w:asciiTheme="majorHAnsi" w:hAnsiTheme="majorHAnsi" w:cstheme="majorHAnsi"/>
        </w:rPr>
        <w:t>díla</w:t>
      </w:r>
      <w:r w:rsidRPr="00D10FA0">
        <w:rPr>
          <w:rFonts w:asciiTheme="majorHAnsi" w:hAnsiTheme="majorHAnsi" w:cstheme="majorHAnsi"/>
        </w:rPr>
        <w:t xml:space="preserve"> bude uhrazena na základě faktury zhotovitele se splatností 45 dní od doručení faktury objednateli. V případě prodlení s platbou je objednatel povinen uhradit zhotoviteli úrok ve výši stanovené právním předpisem.</w:t>
      </w:r>
    </w:p>
    <w:p w14:paraId="4459EE32"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Zhotovitel uvede na faktuře číslo smlouvy objednatele. Platba bude provedena převodem na účet zhotovitele uvedený ve faktuře. </w:t>
      </w:r>
    </w:p>
    <w:p w14:paraId="4913BFFE"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Adresa pro doručování faktur a písemností je sídlo objednatele. Elektronická faktura se doručuje na adresu faktury@bvk.cz.</w:t>
      </w:r>
    </w:p>
    <w:p w14:paraId="15B94639"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7FC7AF1A" w14:textId="77777777" w:rsidR="00F1221C" w:rsidRPr="00D10FA0" w:rsidRDefault="00F1221C" w:rsidP="00420863">
      <w:pPr>
        <w:pStyle w:val="22uroven"/>
        <w:ind w:left="567" w:hanging="567"/>
      </w:pPr>
      <w:r w:rsidRPr="00D10FA0">
        <w:t>Objednatel tuto skutečnost využití „zvláštního způsobu zajištění daně“ písemně oznámí zhotoviteli do 5 dnů od úhrady a zároveň připojí kopii dokladu o uhrazení DPH včetně identifikace úhrady podle § 109a zákona č. 235/2004 Sb., o dani z přidané hodnoty, ve znění pozdějších předpisů.</w:t>
      </w:r>
    </w:p>
    <w:p w14:paraId="2A9573B4" w14:textId="77777777" w:rsidR="00F1221C" w:rsidRPr="00D10FA0" w:rsidRDefault="00F1221C" w:rsidP="00420863">
      <w:pPr>
        <w:pStyle w:val="22uroven"/>
        <w:ind w:left="567" w:hanging="567"/>
      </w:pPr>
      <w:r w:rsidRPr="00D10FA0">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2849296"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Odpovědnost za vady</w:t>
      </w:r>
    </w:p>
    <w:p w14:paraId="72F8684B" w14:textId="4C8C5F98" w:rsidR="00F1221C" w:rsidRPr="00326E74"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Zhotovitel se zavazuje, </w:t>
      </w:r>
      <w:r w:rsidRPr="00326E74">
        <w:rPr>
          <w:rFonts w:asciiTheme="majorHAnsi" w:hAnsiTheme="majorHAnsi" w:cstheme="majorHAnsi"/>
        </w:rPr>
        <w:t xml:space="preserve">že dílo bude </w:t>
      </w:r>
      <w:r w:rsidR="0072217F" w:rsidRPr="00326E74">
        <w:rPr>
          <w:rFonts w:asciiTheme="majorHAnsi" w:hAnsiTheme="majorHAnsi" w:cstheme="majorHAnsi"/>
        </w:rPr>
        <w:t xml:space="preserve">provedeno </w:t>
      </w:r>
      <w:r w:rsidR="006856B5" w:rsidRPr="00326E74">
        <w:rPr>
          <w:rFonts w:asciiTheme="majorHAnsi" w:hAnsiTheme="majorHAnsi" w:cstheme="majorHAnsi"/>
        </w:rPr>
        <w:t xml:space="preserve">řádně, včas a </w:t>
      </w:r>
      <w:r w:rsidR="0072217F" w:rsidRPr="00326E74">
        <w:rPr>
          <w:rFonts w:asciiTheme="majorHAnsi" w:hAnsiTheme="majorHAnsi" w:cstheme="majorHAnsi"/>
        </w:rPr>
        <w:t>v rozsahu prací stanovených smlouvou</w:t>
      </w:r>
      <w:r w:rsidRPr="00326E74">
        <w:rPr>
          <w:rFonts w:asciiTheme="majorHAnsi" w:hAnsiTheme="majorHAnsi" w:cstheme="majorHAnsi"/>
        </w:rPr>
        <w:t xml:space="preserve">. </w:t>
      </w:r>
    </w:p>
    <w:p w14:paraId="3EC6035A" w14:textId="2AFD2DCF"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Objednatel oznámí vady díla bez zbytečného odkladu poté, kdy je zjistil nebo při náležité pozornosti zjistit měl, nejpozději </w:t>
      </w:r>
      <w:r w:rsidR="008D6D3E">
        <w:rPr>
          <w:rFonts w:asciiTheme="majorHAnsi" w:hAnsiTheme="majorHAnsi" w:cstheme="majorHAnsi"/>
        </w:rPr>
        <w:t xml:space="preserve">lze uplatnit práva z vadného plnění </w:t>
      </w:r>
      <w:r w:rsidRPr="00D10FA0">
        <w:rPr>
          <w:rFonts w:asciiTheme="majorHAnsi" w:hAnsiTheme="majorHAnsi" w:cstheme="majorHAnsi"/>
        </w:rPr>
        <w:t>do dvou let od předání díla.</w:t>
      </w:r>
    </w:p>
    <w:p w14:paraId="4D7B6225"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Tímto nejsou dotčena práva z vadného plnění a právo na náhradu škody dle platných právních předpisů. </w:t>
      </w:r>
    </w:p>
    <w:p w14:paraId="1171061A"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Ostatní ujednání</w:t>
      </w:r>
    </w:p>
    <w:p w14:paraId="3803D30F"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Vytěžený odpad bude odvezen na shromažďovací místo objednatele v areálu ČOV Brno – Modřice, Chrlická 552, 664 42 Modřice. Odpad z čištění z kanalizace kategorie „O“ je veden pod katalogovým číslem 20 03 06, následné nakládání s odpadem zajistí objednatel. Objednatel umožní bezplatný odběr technologické vody pro čištění, a to z hydrantu vodovodu pro veřejnou potřebu. </w:t>
      </w:r>
    </w:p>
    <w:p w14:paraId="05C4C876" w14:textId="664AB75E"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lastRenderedPageBreak/>
        <w:t xml:space="preserve">Vznikne-li zhotoviteli při plnění předmětu smlouvy jiný odpad, než je uveden v čl. </w:t>
      </w:r>
      <w:proofErr w:type="gramStart"/>
      <w:r w:rsidRPr="00D10FA0">
        <w:rPr>
          <w:rFonts w:asciiTheme="majorHAnsi" w:hAnsiTheme="majorHAnsi" w:cstheme="majorHAnsi"/>
        </w:rPr>
        <w:t>9.1. této</w:t>
      </w:r>
      <w:proofErr w:type="gramEnd"/>
      <w:r w:rsidRPr="00D10FA0">
        <w:rPr>
          <w:rFonts w:asciiTheme="majorHAnsi" w:hAnsiTheme="majorHAnsi" w:cstheme="majorHAnsi"/>
        </w:rPr>
        <w:t xml:space="preserve"> smlouvy, je zhotovitel považován za jeho původce a je povinen </w:t>
      </w:r>
      <w:r w:rsidR="00D068E3">
        <w:rPr>
          <w:rFonts w:asciiTheme="majorHAnsi" w:hAnsiTheme="majorHAnsi" w:cstheme="majorHAnsi"/>
        </w:rPr>
        <w:t>takto vzniklý odpad začlenit do </w:t>
      </w:r>
      <w:r w:rsidRPr="00D10FA0">
        <w:rPr>
          <w:rFonts w:asciiTheme="majorHAnsi" w:hAnsiTheme="majorHAnsi" w:cstheme="majorHAnsi"/>
        </w:rPr>
        <w:t>své evidence odpadů a dále s ním nakládat v souladu s plat</w:t>
      </w:r>
      <w:r w:rsidR="00D068E3">
        <w:rPr>
          <w:rFonts w:asciiTheme="majorHAnsi" w:hAnsiTheme="majorHAnsi" w:cstheme="majorHAnsi"/>
        </w:rPr>
        <w:t>nou legislativou. Zhotovitel se </w:t>
      </w:r>
      <w:r w:rsidRPr="00D10FA0">
        <w:rPr>
          <w:rFonts w:asciiTheme="majorHAnsi" w:hAnsiTheme="majorHAnsi" w:cstheme="majorHAnsi"/>
        </w:rPr>
        <w:t>stává vlastníkem vzniklého odpadu nejpozději okamžikem jeho vzniku. Objednatel není původcem odpadu.</w:t>
      </w:r>
    </w:p>
    <w:p w14:paraId="694AFA75"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Zhotovitel prohlašuje, že je podnikatelem a uzavírá smlouvu při svém podnikání a na smlouvu se tudíž neuplatní ustanovení § 1793 odst. 1 zákona č. 89/2012 Sb., občanský zákoník, ve znění pozdějších předpisů, (dále jako „občanský zákoník“).</w:t>
      </w:r>
    </w:p>
    <w:p w14:paraId="7C773F0E"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Zhotovitel prohlašuje, že na sebe přebírá nebezpečí změny okolnosti podle ustanovení § 1765 občanského zákoníku.</w:t>
      </w:r>
    </w:p>
    <w:p w14:paraId="05BAF327"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Zhotovitel se zavazuje, že:</w:t>
      </w:r>
    </w:p>
    <w:p w14:paraId="700EC468" w14:textId="02CE3C5B" w:rsidR="00F1221C" w:rsidRPr="00D10FA0" w:rsidRDefault="00F1221C" w:rsidP="00F1221C">
      <w:pPr>
        <w:pStyle w:val="odrka"/>
        <w:rPr>
          <w:rFonts w:asciiTheme="majorHAnsi" w:hAnsiTheme="majorHAnsi" w:cstheme="majorHAnsi"/>
          <w:szCs w:val="20"/>
        </w:rPr>
      </w:pPr>
      <w:r w:rsidRPr="00D10FA0">
        <w:rPr>
          <w:rFonts w:asciiTheme="majorHAnsi" w:hAnsiTheme="majorHAnsi" w:cstheme="majorHAnsi"/>
          <w:szCs w:val="20"/>
        </w:rPr>
        <w:t xml:space="preserve">zajistí </w:t>
      </w:r>
      <w:r w:rsidR="008D6D3E">
        <w:rPr>
          <w:rFonts w:asciiTheme="majorHAnsi" w:hAnsiTheme="majorHAnsi" w:cstheme="majorHAnsi"/>
          <w:szCs w:val="20"/>
        </w:rPr>
        <w:t xml:space="preserve">provedení díla </w:t>
      </w:r>
      <w:r w:rsidRPr="00D10FA0">
        <w:rPr>
          <w:rFonts w:asciiTheme="majorHAnsi" w:hAnsiTheme="majorHAnsi" w:cstheme="majorHAnsi"/>
          <w:szCs w:val="20"/>
        </w:rPr>
        <w:t>v souladu s obecně závaznými právními předpisy v oblasti bezpečnosti a ochrany zdraví při práci (BOZP), požární ochrany (PO) a životního prostředí (ŽP),</w:t>
      </w:r>
    </w:p>
    <w:p w14:paraId="0191AE30" w14:textId="77777777" w:rsidR="00F1221C" w:rsidRPr="00D10FA0" w:rsidRDefault="00F1221C" w:rsidP="00F1221C">
      <w:pPr>
        <w:pStyle w:val="odrka"/>
        <w:rPr>
          <w:rFonts w:asciiTheme="majorHAnsi" w:hAnsiTheme="majorHAnsi" w:cstheme="majorHAnsi"/>
          <w:szCs w:val="20"/>
        </w:rPr>
      </w:pPr>
      <w:r w:rsidRPr="00D10FA0">
        <w:rPr>
          <w:rFonts w:asciiTheme="majorHAnsi" w:hAnsiTheme="majorHAnsi" w:cstheme="majorHAnsi"/>
          <w:szCs w:val="20"/>
        </w:rPr>
        <w:t>bude v areálech objednatele jednat v souladu s pokyny, se kterými bude prokazatelně seznámen.</w:t>
      </w:r>
    </w:p>
    <w:p w14:paraId="4CD42A33" w14:textId="3794824D"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Smluvní strany prohlašují, že dostojí svým závazkům, vyplývajícím ze zásady společensky odpovědného zadávání dle § 6 odst. 4 zákona č. 134/2016 Sb., </w:t>
      </w:r>
      <w:r w:rsidR="005E4E36">
        <w:rPr>
          <w:rFonts w:asciiTheme="majorHAnsi" w:hAnsiTheme="majorHAnsi" w:cstheme="majorHAnsi"/>
        </w:rPr>
        <w:t>o zadávání veřejných zakázek, a </w:t>
      </w:r>
      <w:r w:rsidRPr="00D10FA0">
        <w:rPr>
          <w:rFonts w:asciiTheme="majorHAnsi" w:hAnsiTheme="majorHAnsi" w:cstheme="majorHAnsi"/>
        </w:rPr>
        <w:t>to zejména:</w:t>
      </w:r>
    </w:p>
    <w:p w14:paraId="0263BA4D" w14:textId="62646810" w:rsidR="00F1221C" w:rsidRPr="00D10FA0" w:rsidRDefault="00F1221C" w:rsidP="00F1221C">
      <w:pPr>
        <w:pStyle w:val="odrka"/>
        <w:numPr>
          <w:ilvl w:val="0"/>
          <w:numId w:val="0"/>
        </w:numPr>
        <w:ind w:left="1406" w:hanging="555"/>
        <w:rPr>
          <w:rFonts w:asciiTheme="majorHAnsi" w:hAnsiTheme="majorHAnsi" w:cstheme="majorHAnsi"/>
          <w:szCs w:val="20"/>
        </w:rPr>
      </w:pPr>
      <w:r w:rsidRPr="00D10FA0">
        <w:rPr>
          <w:rFonts w:asciiTheme="majorHAnsi" w:hAnsiTheme="majorHAnsi" w:cstheme="majorHAnsi"/>
          <w:szCs w:val="20"/>
        </w:rPr>
        <w:t>•</w:t>
      </w:r>
      <w:r w:rsidRPr="00D10FA0">
        <w:rPr>
          <w:rFonts w:asciiTheme="majorHAnsi" w:hAnsiTheme="majorHAnsi" w:cstheme="majorHAnsi"/>
          <w:szCs w:val="20"/>
        </w:rPr>
        <w:tab/>
        <w:t>při plnění zakázky budou dodrženy zákonné pož</w:t>
      </w:r>
      <w:r w:rsidR="005E4E36">
        <w:rPr>
          <w:rFonts w:asciiTheme="majorHAnsi" w:hAnsiTheme="majorHAnsi" w:cstheme="majorHAnsi"/>
          <w:szCs w:val="20"/>
        </w:rPr>
        <w:t>adavky, s důrazem na předpisy v </w:t>
      </w:r>
      <w:r w:rsidRPr="00D10FA0">
        <w:rPr>
          <w:rFonts w:asciiTheme="majorHAnsi" w:hAnsiTheme="majorHAnsi" w:cstheme="majorHAnsi"/>
          <w:szCs w:val="20"/>
        </w:rPr>
        <w:t>oblasti BOZP, životního prostředí a zaměstnanosti, bude použito odpovídající vybavení a zdroje pro plnění zakázky, budou dodrženy mezinárodní úmluvy o lidských právech, sociálních či pracovních právech</w:t>
      </w:r>
    </w:p>
    <w:p w14:paraId="46EEDDC2" w14:textId="3B01E10E" w:rsidR="00F1221C" w:rsidRPr="00D10FA0" w:rsidRDefault="00F1221C" w:rsidP="00F1221C">
      <w:pPr>
        <w:pStyle w:val="odrka"/>
        <w:numPr>
          <w:ilvl w:val="0"/>
          <w:numId w:val="0"/>
        </w:numPr>
        <w:ind w:left="1406" w:hanging="555"/>
        <w:rPr>
          <w:rFonts w:asciiTheme="majorHAnsi" w:hAnsiTheme="majorHAnsi" w:cstheme="majorHAnsi"/>
          <w:szCs w:val="20"/>
        </w:rPr>
      </w:pPr>
      <w:r w:rsidRPr="00D10FA0">
        <w:rPr>
          <w:rFonts w:asciiTheme="majorHAnsi" w:hAnsiTheme="majorHAnsi" w:cstheme="majorHAnsi"/>
          <w:szCs w:val="20"/>
        </w:rPr>
        <w:t>•</w:t>
      </w:r>
      <w:r w:rsidRPr="00D10FA0">
        <w:rPr>
          <w:rFonts w:asciiTheme="majorHAnsi" w:hAnsiTheme="majorHAnsi" w:cstheme="majorHAnsi"/>
          <w:szCs w:val="20"/>
        </w:rPr>
        <w:tab/>
        <w:t>při plnění zakázky bude preferováno ekonomicky nejpřijatelnější řešení, umožňující být při plnění zakázky šetrnější k životnímu prostředí,</w:t>
      </w:r>
      <w:r w:rsidR="005E4E36">
        <w:rPr>
          <w:rFonts w:asciiTheme="majorHAnsi" w:hAnsiTheme="majorHAnsi" w:cstheme="majorHAnsi"/>
          <w:szCs w:val="20"/>
        </w:rPr>
        <w:t xml:space="preserve"> zejména takové, které povede k </w:t>
      </w:r>
      <w:r w:rsidRPr="00D10FA0">
        <w:rPr>
          <w:rFonts w:asciiTheme="majorHAnsi" w:hAnsiTheme="majorHAnsi" w:cstheme="majorHAnsi"/>
          <w:szCs w:val="20"/>
        </w:rPr>
        <w:t>omezení spotřeby energií, vody, surovin, produkce znečišťujících látek uvolňovaných do ovzduší, vody, půdy, omezení uhlíkové stopy</w:t>
      </w:r>
    </w:p>
    <w:p w14:paraId="54BE47C0" w14:textId="77777777" w:rsidR="00F1221C" w:rsidRPr="00D10FA0" w:rsidRDefault="00F1221C" w:rsidP="00F1221C">
      <w:pPr>
        <w:pStyle w:val="odrka"/>
        <w:numPr>
          <w:ilvl w:val="0"/>
          <w:numId w:val="0"/>
        </w:numPr>
        <w:ind w:left="1406" w:hanging="555"/>
        <w:rPr>
          <w:rFonts w:asciiTheme="majorHAnsi" w:hAnsiTheme="majorHAnsi" w:cstheme="majorHAnsi"/>
          <w:szCs w:val="20"/>
        </w:rPr>
      </w:pPr>
      <w:r w:rsidRPr="00D10FA0">
        <w:rPr>
          <w:rFonts w:asciiTheme="majorHAnsi" w:hAnsiTheme="majorHAnsi" w:cstheme="majorHAnsi"/>
          <w:szCs w:val="20"/>
        </w:rPr>
        <w:t>•</w:t>
      </w:r>
      <w:r w:rsidRPr="00D10FA0">
        <w:rPr>
          <w:rFonts w:asciiTheme="majorHAnsi" w:hAnsiTheme="majorHAnsi" w:cstheme="majorHAnsi"/>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2D36D4A" w14:textId="77777777" w:rsidR="00F1221C" w:rsidRPr="00D10FA0" w:rsidRDefault="00F1221C" w:rsidP="00F1221C">
      <w:pPr>
        <w:pStyle w:val="odrka"/>
        <w:numPr>
          <w:ilvl w:val="0"/>
          <w:numId w:val="0"/>
        </w:numPr>
        <w:ind w:left="1406" w:hanging="555"/>
        <w:rPr>
          <w:rFonts w:asciiTheme="majorHAnsi" w:hAnsiTheme="majorHAnsi" w:cstheme="majorHAnsi"/>
          <w:szCs w:val="20"/>
        </w:rPr>
      </w:pPr>
      <w:r w:rsidRPr="00D10FA0">
        <w:rPr>
          <w:rFonts w:asciiTheme="majorHAnsi" w:hAnsiTheme="majorHAnsi" w:cstheme="majorHAnsi"/>
          <w:szCs w:val="20"/>
        </w:rPr>
        <w:t>•</w:t>
      </w:r>
      <w:r w:rsidRPr="00D10FA0">
        <w:rPr>
          <w:rFonts w:asciiTheme="majorHAnsi" w:hAnsiTheme="majorHAnsi" w:cstheme="majorHAnsi"/>
          <w:szCs w:val="20"/>
        </w:rPr>
        <w:tab/>
        <w:t>při plnění zakázky bude preferováno ekonomicky přijatelné řešení pro inovaci, tedy pro implementaci nového nebo značně zlepšeného produktu nebo služby</w:t>
      </w:r>
    </w:p>
    <w:p w14:paraId="24146FE0" w14:textId="77777777" w:rsidR="00F1221C" w:rsidRPr="00D10FA0" w:rsidRDefault="00F1221C" w:rsidP="00F1221C">
      <w:pPr>
        <w:pStyle w:val="odrka"/>
        <w:numPr>
          <w:ilvl w:val="0"/>
          <w:numId w:val="0"/>
        </w:numPr>
        <w:ind w:left="1406" w:hanging="555"/>
        <w:rPr>
          <w:rFonts w:asciiTheme="majorHAnsi" w:hAnsiTheme="majorHAnsi" w:cstheme="majorHAnsi"/>
          <w:szCs w:val="20"/>
        </w:rPr>
      </w:pPr>
      <w:r w:rsidRPr="00D10FA0">
        <w:rPr>
          <w:rFonts w:asciiTheme="majorHAnsi" w:hAnsiTheme="majorHAnsi" w:cstheme="majorHAnsi"/>
          <w:szCs w:val="20"/>
        </w:rPr>
        <w:t>•</w:t>
      </w:r>
      <w:r w:rsidRPr="00D10FA0">
        <w:rPr>
          <w:rFonts w:asciiTheme="majorHAnsi" w:hAnsiTheme="majorHAnsi" w:cstheme="majorHAnsi"/>
          <w:szCs w:val="20"/>
        </w:rPr>
        <w:tab/>
        <w:t xml:space="preserve">při plnění zakázky bude kladen důraz na dodržení postupů a použití materiálů zajišťujících kvalitu dodávky a tento postup doloží příslušnými doklady </w:t>
      </w:r>
    </w:p>
    <w:p w14:paraId="3F149C7F"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Zhotovitel bere na vědomí a souhlasí s tím, že porušování uvedených povinností může být bráno jako podstatné porušení smluvního vztahu.</w:t>
      </w:r>
    </w:p>
    <w:p w14:paraId="14C48FDA" w14:textId="77777777" w:rsidR="00F1221C" w:rsidRPr="00D10FA0" w:rsidRDefault="00F1221C" w:rsidP="00F1221C">
      <w:pPr>
        <w:pStyle w:val="11uroven"/>
        <w:ind w:left="357" w:hanging="357"/>
        <w:rPr>
          <w:rFonts w:asciiTheme="majorHAnsi" w:hAnsiTheme="majorHAnsi" w:cstheme="majorHAnsi"/>
        </w:rPr>
      </w:pPr>
      <w:r w:rsidRPr="00D10FA0">
        <w:rPr>
          <w:rFonts w:asciiTheme="majorHAnsi" w:hAnsiTheme="majorHAnsi" w:cstheme="majorHAnsi"/>
        </w:rPr>
        <w:t>Účinnost smlouvy, odstoupení, sankce, ukončení smlouvy</w:t>
      </w:r>
    </w:p>
    <w:p w14:paraId="53CF5E42" w14:textId="24E56E64" w:rsidR="00F1221C" w:rsidRPr="008D6D3E" w:rsidRDefault="00F1221C" w:rsidP="00F1221C">
      <w:pPr>
        <w:pStyle w:val="22uroven"/>
        <w:ind w:left="567" w:hanging="567"/>
        <w:rPr>
          <w:rFonts w:asciiTheme="majorHAnsi" w:hAnsiTheme="majorHAnsi" w:cstheme="majorHAnsi"/>
        </w:rPr>
      </w:pPr>
      <w:r w:rsidRPr="00D10FA0">
        <w:rPr>
          <w:rFonts w:asciiTheme="majorHAnsi" w:hAnsiTheme="majorHAnsi" w:cstheme="majorHAnsi"/>
        </w:rPr>
        <w:t>Tato smlouva je uzavřena a nabývá účinnosti podpisem o</w:t>
      </w:r>
      <w:r w:rsidR="005E4E36">
        <w:rPr>
          <w:rFonts w:asciiTheme="majorHAnsi" w:hAnsiTheme="majorHAnsi" w:cstheme="majorHAnsi"/>
        </w:rPr>
        <w:t>bou smluvních stran. Smlouva se </w:t>
      </w:r>
      <w:r w:rsidRPr="00D10FA0">
        <w:rPr>
          <w:rFonts w:asciiTheme="majorHAnsi" w:hAnsiTheme="majorHAnsi" w:cstheme="majorHAnsi"/>
        </w:rPr>
        <w:t xml:space="preserve">uzavírá na dobu určitou, a to od data </w:t>
      </w:r>
      <w:r w:rsidRPr="008D6D3E">
        <w:rPr>
          <w:rFonts w:asciiTheme="majorHAnsi" w:hAnsiTheme="majorHAnsi" w:cstheme="majorHAnsi"/>
        </w:rPr>
        <w:t>podpisu smluvních stran do 30. 11. 2023.</w:t>
      </w:r>
    </w:p>
    <w:p w14:paraId="555FEF6E" w14:textId="77777777" w:rsidR="00F1221C" w:rsidRPr="008D6D3E" w:rsidRDefault="00F1221C" w:rsidP="00F1221C">
      <w:pPr>
        <w:pStyle w:val="22uroven"/>
        <w:ind w:left="567" w:hanging="567"/>
        <w:rPr>
          <w:rFonts w:asciiTheme="majorHAnsi" w:hAnsiTheme="majorHAnsi" w:cstheme="majorHAnsi"/>
        </w:rPr>
      </w:pPr>
      <w:r w:rsidRPr="008D6D3E">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5C71268D" w14:textId="77777777" w:rsidR="00F1221C" w:rsidRPr="008D6D3E" w:rsidRDefault="00F1221C" w:rsidP="00F1221C">
      <w:pPr>
        <w:pStyle w:val="22uroven"/>
        <w:ind w:left="567" w:hanging="567"/>
        <w:rPr>
          <w:rFonts w:asciiTheme="majorHAnsi" w:hAnsiTheme="majorHAnsi" w:cstheme="majorHAnsi"/>
        </w:rPr>
      </w:pPr>
      <w:r w:rsidRPr="008D6D3E">
        <w:rPr>
          <w:rFonts w:asciiTheme="majorHAnsi" w:hAnsiTheme="majorHAnsi" w:cstheme="majorHAnsi"/>
        </w:rPr>
        <w:t>Zhotovitel bere na vědomí, že částečné plnění nemá pro objednatele význam. Objednatel je proto oprávněn odstoupit od smlouvy ohledně celého plnění také v případě, kdy zhotovitel plnil z části.</w:t>
      </w:r>
    </w:p>
    <w:p w14:paraId="7BE0D605" w14:textId="77777777" w:rsidR="00F1221C" w:rsidRPr="008D6D3E" w:rsidRDefault="00F1221C" w:rsidP="00F1221C">
      <w:pPr>
        <w:pStyle w:val="22uroven"/>
        <w:ind w:left="567" w:hanging="567"/>
        <w:rPr>
          <w:rFonts w:asciiTheme="majorHAnsi" w:hAnsiTheme="majorHAnsi" w:cstheme="majorHAnsi"/>
        </w:rPr>
      </w:pPr>
      <w:r w:rsidRPr="008D6D3E">
        <w:rPr>
          <w:rFonts w:asciiTheme="majorHAnsi" w:hAnsiTheme="majorHAnsi" w:cstheme="majorHAnsi"/>
        </w:rPr>
        <w:t xml:space="preserve">Podstatným porušením této smlouvy se rozumí zejména: </w:t>
      </w:r>
    </w:p>
    <w:p w14:paraId="7B7F861C" w14:textId="0680D3AF" w:rsidR="00F1221C" w:rsidRDefault="00F1221C" w:rsidP="00F1221C">
      <w:pPr>
        <w:pStyle w:val="odrka"/>
        <w:numPr>
          <w:ilvl w:val="0"/>
          <w:numId w:val="19"/>
        </w:numPr>
        <w:rPr>
          <w:rFonts w:asciiTheme="majorHAnsi" w:hAnsiTheme="majorHAnsi" w:cstheme="majorHAnsi"/>
          <w:szCs w:val="20"/>
        </w:rPr>
      </w:pPr>
      <w:r w:rsidRPr="00D10FA0">
        <w:rPr>
          <w:rFonts w:asciiTheme="majorHAnsi" w:hAnsiTheme="majorHAnsi" w:cstheme="majorHAnsi"/>
          <w:szCs w:val="20"/>
        </w:rPr>
        <w:t>prodlení zhotovitele s plněním v dohodnutém termínu delším než 15 dnů z viny na straně zhotovitele,</w:t>
      </w:r>
    </w:p>
    <w:p w14:paraId="17458358" w14:textId="11778A90" w:rsidR="000F5EA2" w:rsidRPr="00D10FA0" w:rsidRDefault="000F5EA2" w:rsidP="00F1221C">
      <w:pPr>
        <w:pStyle w:val="odrka"/>
        <w:numPr>
          <w:ilvl w:val="0"/>
          <w:numId w:val="19"/>
        </w:numPr>
        <w:rPr>
          <w:rFonts w:asciiTheme="majorHAnsi" w:hAnsiTheme="majorHAnsi" w:cstheme="majorHAnsi"/>
          <w:szCs w:val="20"/>
        </w:rPr>
      </w:pPr>
      <w:r>
        <w:rPr>
          <w:rFonts w:asciiTheme="majorHAnsi" w:hAnsiTheme="majorHAnsi" w:cstheme="majorHAnsi"/>
          <w:szCs w:val="20"/>
        </w:rPr>
        <w:lastRenderedPageBreak/>
        <w:t>nedodržení smluvní ceny bez řádné dohody s objednatelem,</w:t>
      </w:r>
    </w:p>
    <w:p w14:paraId="6648C998" w14:textId="77777777" w:rsidR="00F1221C" w:rsidRPr="00D10FA0" w:rsidRDefault="00F1221C" w:rsidP="00F1221C">
      <w:pPr>
        <w:pStyle w:val="odrka"/>
        <w:numPr>
          <w:ilvl w:val="0"/>
          <w:numId w:val="19"/>
        </w:numPr>
        <w:rPr>
          <w:rFonts w:asciiTheme="majorHAnsi" w:hAnsiTheme="majorHAnsi" w:cstheme="majorHAnsi"/>
          <w:szCs w:val="20"/>
        </w:rPr>
      </w:pPr>
      <w:r w:rsidRPr="00D10FA0">
        <w:rPr>
          <w:rFonts w:asciiTheme="majorHAnsi" w:hAnsiTheme="majorHAnsi" w:cstheme="majorHAnsi"/>
          <w:szCs w:val="20"/>
        </w:rPr>
        <w:t>prodlení objednatele s uhrazením faktury delší než 15 dnů.</w:t>
      </w:r>
    </w:p>
    <w:p w14:paraId="116ABBF1" w14:textId="77777777" w:rsidR="00F1221C" w:rsidRPr="00D10FA0" w:rsidRDefault="00F1221C" w:rsidP="00F1221C">
      <w:pPr>
        <w:widowControl/>
        <w:numPr>
          <w:ilvl w:val="1"/>
          <w:numId w:val="1"/>
        </w:numPr>
        <w:spacing w:before="120" w:after="120"/>
        <w:ind w:left="567" w:hanging="567"/>
        <w:rPr>
          <w:rFonts w:asciiTheme="majorHAnsi" w:hAnsiTheme="majorHAnsi" w:cstheme="majorHAnsi"/>
        </w:rPr>
      </w:pPr>
      <w:r w:rsidRPr="00D10FA0">
        <w:rPr>
          <w:rFonts w:asciiTheme="majorHAnsi" w:hAnsiTheme="majorHAnsi" w:cstheme="majorHAnsi"/>
        </w:rPr>
        <w:t xml:space="preserve">Smlouvu lze ukončit: </w:t>
      </w:r>
    </w:p>
    <w:p w14:paraId="46B8B95C" w14:textId="77777777" w:rsidR="00F1221C" w:rsidRPr="00D10FA0" w:rsidRDefault="00F1221C" w:rsidP="00F1221C">
      <w:pPr>
        <w:widowControl/>
        <w:numPr>
          <w:ilvl w:val="0"/>
          <w:numId w:val="20"/>
        </w:numPr>
        <w:spacing w:before="120" w:after="120"/>
        <w:rPr>
          <w:rFonts w:asciiTheme="majorHAnsi" w:hAnsiTheme="majorHAnsi" w:cstheme="majorHAnsi"/>
        </w:rPr>
      </w:pPr>
      <w:r w:rsidRPr="00D10FA0">
        <w:rPr>
          <w:rFonts w:asciiTheme="majorHAnsi" w:hAnsiTheme="majorHAnsi" w:cstheme="majorHAnsi"/>
        </w:rPr>
        <w:t>písemnou dohodou obou smluvních stran,</w:t>
      </w:r>
    </w:p>
    <w:p w14:paraId="37ABC9BA" w14:textId="18F09D22" w:rsidR="00F1221C" w:rsidRPr="00D10FA0" w:rsidRDefault="00F1221C" w:rsidP="00F1221C">
      <w:pPr>
        <w:widowControl/>
        <w:numPr>
          <w:ilvl w:val="0"/>
          <w:numId w:val="20"/>
        </w:numPr>
        <w:spacing w:before="120" w:after="120"/>
        <w:rPr>
          <w:rFonts w:asciiTheme="majorHAnsi" w:hAnsiTheme="majorHAnsi" w:cstheme="majorHAnsi"/>
        </w:rPr>
      </w:pPr>
      <w:r w:rsidRPr="00D10FA0">
        <w:rPr>
          <w:rFonts w:asciiTheme="majorHAnsi" w:hAnsiTheme="majorHAnsi" w:cstheme="majorHAnsi"/>
        </w:rPr>
        <w:t>písemnou výpovědí s výpovědní dobou 3 měsíců. Výpovědní doba počíná běžet první</w:t>
      </w:r>
      <w:r w:rsidR="00625E96">
        <w:rPr>
          <w:rFonts w:asciiTheme="majorHAnsi" w:hAnsiTheme="majorHAnsi" w:cstheme="majorHAnsi"/>
        </w:rPr>
        <w:t>m</w:t>
      </w:r>
      <w:r w:rsidRPr="00D10FA0">
        <w:rPr>
          <w:rFonts w:asciiTheme="majorHAnsi" w:hAnsiTheme="majorHAnsi" w:cstheme="majorHAnsi"/>
        </w:rPr>
        <w:t xml:space="preserve"> </w:t>
      </w:r>
      <w:r w:rsidR="00625E96">
        <w:rPr>
          <w:rFonts w:asciiTheme="majorHAnsi" w:hAnsiTheme="majorHAnsi" w:cstheme="majorHAnsi"/>
        </w:rPr>
        <w:t>dnem</w:t>
      </w:r>
      <w:r w:rsidRPr="00D10FA0">
        <w:rPr>
          <w:rFonts w:asciiTheme="majorHAnsi" w:hAnsiTheme="majorHAnsi" w:cstheme="majorHAnsi"/>
        </w:rPr>
        <w:t xml:space="preserve"> měsíce následujícího po obdržení výpovědi,</w:t>
      </w:r>
    </w:p>
    <w:p w14:paraId="5466AD1A" w14:textId="77777777" w:rsidR="00F1221C" w:rsidRPr="00D10FA0" w:rsidRDefault="00F1221C" w:rsidP="00F1221C">
      <w:pPr>
        <w:widowControl/>
        <w:numPr>
          <w:ilvl w:val="0"/>
          <w:numId w:val="20"/>
        </w:numPr>
        <w:spacing w:before="120" w:after="120"/>
        <w:rPr>
          <w:rFonts w:asciiTheme="majorHAnsi" w:hAnsiTheme="majorHAnsi" w:cstheme="majorHAnsi"/>
        </w:rPr>
      </w:pPr>
      <w:r w:rsidRPr="00D10FA0">
        <w:rPr>
          <w:rFonts w:asciiTheme="majorHAnsi" w:hAnsiTheme="majorHAnsi" w:cstheme="majorHAnsi"/>
        </w:rPr>
        <w:t>zánikem jedné ze smluvních stran bez právního nástupce.</w:t>
      </w:r>
    </w:p>
    <w:p w14:paraId="020B91B2"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V případě ukončení smlouvy se smluvní strany zavazují dohodnout se na způsobu vypořádání vzájemných závazků.</w:t>
      </w:r>
    </w:p>
    <w:p w14:paraId="239F9CD1" w14:textId="5E08E044" w:rsidR="00F1221C" w:rsidRPr="00EC718E" w:rsidRDefault="00F1221C" w:rsidP="00EC718E">
      <w:pPr>
        <w:pStyle w:val="22uroven"/>
        <w:ind w:left="567" w:hanging="567"/>
        <w:rPr>
          <w:rFonts w:asciiTheme="majorHAnsi" w:hAnsiTheme="majorHAnsi" w:cstheme="majorHAnsi"/>
        </w:rPr>
      </w:pPr>
      <w:r w:rsidRPr="00D10FA0">
        <w:rPr>
          <w:rFonts w:asciiTheme="majorHAnsi" w:hAnsiTheme="majorHAnsi" w:cstheme="majorHAnsi"/>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3D4FC230"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Dodatky a změny smlouvy</w:t>
      </w:r>
    </w:p>
    <w:p w14:paraId="37D9711F"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 technickými prostředky. Smluvní strany vylučují přijetí nabídky s dodatkem nebo odchylkou.</w:t>
      </w:r>
    </w:p>
    <w:p w14:paraId="2BD58941" w14:textId="77777777" w:rsidR="00F1221C" w:rsidRPr="00D10FA0" w:rsidRDefault="00F1221C" w:rsidP="00F1221C">
      <w:pPr>
        <w:pStyle w:val="11uroven"/>
        <w:rPr>
          <w:rFonts w:asciiTheme="majorHAnsi" w:hAnsiTheme="majorHAnsi" w:cstheme="majorHAnsi"/>
        </w:rPr>
      </w:pPr>
      <w:r w:rsidRPr="00D10FA0">
        <w:rPr>
          <w:rFonts w:asciiTheme="majorHAnsi" w:hAnsiTheme="majorHAnsi" w:cstheme="majorHAnsi"/>
        </w:rPr>
        <w:t>Závěrečná ujednání</w:t>
      </w:r>
    </w:p>
    <w:p w14:paraId="39FF5808"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3E10772"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Pr="00D10FA0">
          <w:rPr>
            <w:rStyle w:val="Hypertextovodkaz"/>
            <w:rFonts w:asciiTheme="majorHAnsi" w:hAnsiTheme="majorHAnsi" w:cstheme="majorHAnsi"/>
          </w:rPr>
          <w:t>ethics@suez.com</w:t>
        </w:r>
      </w:hyperlink>
      <w:r w:rsidRPr="00D10FA0">
        <w:rPr>
          <w:rFonts w:asciiTheme="majorHAnsi" w:hAnsiTheme="majorHAnsi" w:cstheme="majorHAnsi"/>
        </w:rPr>
        <w:t>.</w:t>
      </w:r>
    </w:p>
    <w:p w14:paraId="3AE76067"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Zhotovitel bere na vědomí, že společnost Brněnské vodárny a kanalizace, a.s. je povinným subjektem dle zákona č. 106/1999 Sb., o svobodném přístupu k informacím, ve znění pozdějších předpisů.</w:t>
      </w:r>
    </w:p>
    <w:p w14:paraId="596A2DE7"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Smlouva je vyhotovena ve 2 stejnopisech, z nichž 1 obdrží zhotovitel a 1 objednatel.</w:t>
      </w:r>
    </w:p>
    <w:p w14:paraId="596FD2A1"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31F050EB" w14:textId="7777777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Smluvní strany prohlašují, že údaje uvedené v této smlouvě nejsou informacemi požívajícími ochrany důvěrnosti majetkových poměrů. </w:t>
      </w:r>
    </w:p>
    <w:p w14:paraId="6B5D0675" w14:textId="003996CC"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lastRenderedPageBreak/>
        <w:t>Zhotovitel dále výslovně uvádí, že skutečnosti uvedené v této smlouvě nepovažuje za obchodní tajemství ve smyslu ustanovení § 504 občanského zákoníku a uděluje svol</w:t>
      </w:r>
      <w:r w:rsidR="00BA5847">
        <w:rPr>
          <w:rFonts w:asciiTheme="majorHAnsi" w:hAnsiTheme="majorHAnsi" w:cstheme="majorHAnsi"/>
        </w:rPr>
        <w:t>ení k jejich užití a </w:t>
      </w:r>
      <w:r w:rsidRPr="00D10FA0">
        <w:rPr>
          <w:rFonts w:asciiTheme="majorHAnsi" w:hAnsiTheme="majorHAnsi" w:cstheme="majorHAnsi"/>
        </w:rPr>
        <w:t>zveřejnění bez stanovení jakýchkoliv dalších podmínek.</w:t>
      </w:r>
    </w:p>
    <w:p w14:paraId="6ACDB475" w14:textId="4D83827C"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 xml:space="preserve">Objednatel výslovně uvádí, že skutečnosti uvedené v této smlouvě nepovažuje za obchodní tajemství ve smyslu ustanovení § 504 občanského zákoníku a uděluje svolení </w:t>
      </w:r>
      <w:r w:rsidR="00BA5847">
        <w:rPr>
          <w:rFonts w:asciiTheme="majorHAnsi" w:hAnsiTheme="majorHAnsi" w:cstheme="majorHAnsi"/>
        </w:rPr>
        <w:t>k jejich užití a </w:t>
      </w:r>
      <w:r w:rsidRPr="00D10FA0">
        <w:rPr>
          <w:rFonts w:asciiTheme="majorHAnsi" w:hAnsiTheme="majorHAnsi" w:cstheme="majorHAnsi"/>
        </w:rPr>
        <w:t xml:space="preserve">zveřejnění bez stanovení jakýchkoliv dalších podmínek. </w:t>
      </w:r>
    </w:p>
    <w:p w14:paraId="7090D361" w14:textId="17CA84E7" w:rsidR="00F1221C" w:rsidRPr="00D10FA0" w:rsidRDefault="00F1221C" w:rsidP="00F1221C">
      <w:pPr>
        <w:pStyle w:val="22uroven"/>
        <w:ind w:left="567" w:hanging="567"/>
        <w:rPr>
          <w:rFonts w:asciiTheme="majorHAnsi" w:hAnsiTheme="majorHAnsi" w:cstheme="majorHAnsi"/>
        </w:rPr>
      </w:pPr>
      <w:r w:rsidRPr="00D10FA0">
        <w:rPr>
          <w:rFonts w:asciiTheme="majorHAnsi" w:hAnsiTheme="majorHAnsi" w:cstheme="majorHAnsi"/>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tbl>
      <w:tblPr>
        <w:tblW w:w="0" w:type="auto"/>
        <w:tblCellMar>
          <w:left w:w="70" w:type="dxa"/>
          <w:right w:w="70" w:type="dxa"/>
        </w:tblCellMar>
        <w:tblLook w:val="0000" w:firstRow="0" w:lastRow="0" w:firstColumn="0" w:lastColumn="0" w:noHBand="0" w:noVBand="0"/>
      </w:tblPr>
      <w:tblGrid>
        <w:gridCol w:w="1140"/>
        <w:gridCol w:w="1388"/>
        <w:gridCol w:w="1740"/>
        <w:gridCol w:w="540"/>
        <w:gridCol w:w="995"/>
        <w:gridCol w:w="2505"/>
        <w:gridCol w:w="764"/>
      </w:tblGrid>
      <w:tr w:rsidR="00F1221C" w:rsidRPr="00D10FA0" w14:paraId="2D574DFC" w14:textId="77777777" w:rsidTr="00984F7F">
        <w:tc>
          <w:tcPr>
            <w:tcW w:w="1140" w:type="dxa"/>
          </w:tcPr>
          <w:p w14:paraId="7F0A1936" w14:textId="77777777" w:rsidR="00F1221C" w:rsidRPr="00D10FA0" w:rsidRDefault="00F1221C" w:rsidP="00984F7F">
            <w:pPr>
              <w:rPr>
                <w:rFonts w:asciiTheme="majorHAnsi" w:hAnsiTheme="majorHAnsi" w:cstheme="majorHAnsi"/>
              </w:rPr>
            </w:pPr>
          </w:p>
          <w:p w14:paraId="417618E4" w14:textId="77777777" w:rsidR="00F1221C" w:rsidRPr="00D10FA0" w:rsidRDefault="00F1221C" w:rsidP="00984F7F">
            <w:pPr>
              <w:rPr>
                <w:rFonts w:asciiTheme="majorHAnsi" w:hAnsiTheme="majorHAnsi" w:cstheme="majorHAnsi"/>
              </w:rPr>
            </w:pPr>
          </w:p>
          <w:p w14:paraId="6AA5A86F" w14:textId="77777777" w:rsidR="00F1221C" w:rsidRPr="00D10FA0" w:rsidRDefault="00F1221C" w:rsidP="00984F7F">
            <w:pPr>
              <w:rPr>
                <w:rFonts w:asciiTheme="majorHAnsi" w:hAnsiTheme="majorHAnsi" w:cstheme="majorHAnsi"/>
              </w:rPr>
            </w:pPr>
          </w:p>
          <w:p w14:paraId="703BA0B5" w14:textId="77777777" w:rsidR="00F1221C" w:rsidRPr="00D10FA0" w:rsidRDefault="00F1221C" w:rsidP="00984F7F">
            <w:pPr>
              <w:rPr>
                <w:rFonts w:asciiTheme="majorHAnsi" w:hAnsiTheme="majorHAnsi" w:cstheme="majorHAnsi"/>
              </w:rPr>
            </w:pPr>
          </w:p>
          <w:p w14:paraId="3A913FA8" w14:textId="77777777" w:rsidR="00F1221C" w:rsidRPr="00D10FA0" w:rsidRDefault="00F1221C" w:rsidP="00984F7F">
            <w:pPr>
              <w:rPr>
                <w:rFonts w:asciiTheme="majorHAnsi" w:hAnsiTheme="majorHAnsi" w:cstheme="majorHAnsi"/>
              </w:rPr>
            </w:pPr>
            <w:r w:rsidRPr="00D10FA0">
              <w:rPr>
                <w:rFonts w:asciiTheme="majorHAnsi" w:hAnsiTheme="majorHAnsi" w:cstheme="majorHAnsi"/>
              </w:rPr>
              <w:t>V Brně,</w:t>
            </w:r>
          </w:p>
        </w:tc>
        <w:tc>
          <w:tcPr>
            <w:tcW w:w="1388" w:type="dxa"/>
          </w:tcPr>
          <w:p w14:paraId="7143EC44" w14:textId="77777777" w:rsidR="00F1221C" w:rsidRPr="00D10FA0" w:rsidRDefault="00F1221C" w:rsidP="00984F7F">
            <w:pPr>
              <w:rPr>
                <w:rFonts w:asciiTheme="majorHAnsi" w:hAnsiTheme="majorHAnsi" w:cstheme="majorHAnsi"/>
              </w:rPr>
            </w:pPr>
          </w:p>
          <w:p w14:paraId="55CBDD8B" w14:textId="77777777" w:rsidR="00F1221C" w:rsidRPr="00D10FA0" w:rsidRDefault="00F1221C" w:rsidP="00984F7F">
            <w:pPr>
              <w:rPr>
                <w:rFonts w:asciiTheme="majorHAnsi" w:hAnsiTheme="majorHAnsi" w:cstheme="majorHAnsi"/>
              </w:rPr>
            </w:pPr>
          </w:p>
          <w:p w14:paraId="08FF0C9E" w14:textId="77777777" w:rsidR="00F1221C" w:rsidRPr="00D10FA0" w:rsidRDefault="00F1221C" w:rsidP="00984F7F">
            <w:pPr>
              <w:rPr>
                <w:rFonts w:asciiTheme="majorHAnsi" w:hAnsiTheme="majorHAnsi" w:cstheme="majorHAnsi"/>
              </w:rPr>
            </w:pPr>
          </w:p>
          <w:p w14:paraId="3B93CB30" w14:textId="77777777" w:rsidR="00F1221C" w:rsidRPr="00D10FA0" w:rsidRDefault="00F1221C" w:rsidP="00984F7F">
            <w:pPr>
              <w:rPr>
                <w:rFonts w:asciiTheme="majorHAnsi" w:hAnsiTheme="majorHAnsi" w:cstheme="majorHAnsi"/>
              </w:rPr>
            </w:pPr>
          </w:p>
          <w:p w14:paraId="2FE6B659" w14:textId="77777777" w:rsidR="00F1221C" w:rsidRPr="00D10FA0" w:rsidRDefault="00F1221C" w:rsidP="00984F7F">
            <w:pPr>
              <w:rPr>
                <w:rFonts w:asciiTheme="majorHAnsi" w:hAnsiTheme="majorHAnsi" w:cstheme="majorHAnsi"/>
              </w:rPr>
            </w:pPr>
            <w:r w:rsidRPr="00D10FA0">
              <w:rPr>
                <w:rFonts w:asciiTheme="majorHAnsi" w:hAnsiTheme="majorHAnsi" w:cstheme="majorHAnsi"/>
              </w:rPr>
              <w:t xml:space="preserve">dne </w:t>
            </w:r>
          </w:p>
        </w:tc>
        <w:tc>
          <w:tcPr>
            <w:tcW w:w="1740" w:type="dxa"/>
          </w:tcPr>
          <w:p w14:paraId="40EE39DE" w14:textId="77777777" w:rsidR="00F1221C" w:rsidRPr="00D10FA0" w:rsidRDefault="00F1221C" w:rsidP="00984F7F">
            <w:pPr>
              <w:rPr>
                <w:rFonts w:asciiTheme="majorHAnsi" w:hAnsiTheme="majorHAnsi" w:cstheme="majorHAnsi"/>
              </w:rPr>
            </w:pPr>
          </w:p>
        </w:tc>
        <w:tc>
          <w:tcPr>
            <w:tcW w:w="540" w:type="dxa"/>
          </w:tcPr>
          <w:p w14:paraId="0E2EC2B5" w14:textId="77777777" w:rsidR="00F1221C" w:rsidRPr="00D10FA0" w:rsidRDefault="00F1221C" w:rsidP="00984F7F">
            <w:pPr>
              <w:rPr>
                <w:rFonts w:asciiTheme="majorHAnsi" w:hAnsiTheme="majorHAnsi" w:cstheme="majorHAnsi"/>
              </w:rPr>
            </w:pPr>
          </w:p>
        </w:tc>
        <w:tc>
          <w:tcPr>
            <w:tcW w:w="995" w:type="dxa"/>
          </w:tcPr>
          <w:p w14:paraId="32F0510D" w14:textId="77777777" w:rsidR="00F1221C" w:rsidRPr="00D10FA0" w:rsidRDefault="00F1221C" w:rsidP="00984F7F">
            <w:pPr>
              <w:rPr>
                <w:rFonts w:asciiTheme="majorHAnsi" w:hAnsiTheme="majorHAnsi" w:cstheme="majorHAnsi"/>
              </w:rPr>
            </w:pPr>
          </w:p>
          <w:p w14:paraId="48623B82" w14:textId="77777777" w:rsidR="00F1221C" w:rsidRPr="00D10FA0" w:rsidRDefault="00F1221C" w:rsidP="00984F7F">
            <w:pPr>
              <w:rPr>
                <w:rFonts w:asciiTheme="majorHAnsi" w:hAnsiTheme="majorHAnsi" w:cstheme="majorHAnsi"/>
              </w:rPr>
            </w:pPr>
          </w:p>
          <w:p w14:paraId="7B91D79E" w14:textId="77777777" w:rsidR="00F1221C" w:rsidRPr="00D10FA0" w:rsidRDefault="00F1221C" w:rsidP="00984F7F">
            <w:pPr>
              <w:rPr>
                <w:rFonts w:asciiTheme="majorHAnsi" w:hAnsiTheme="majorHAnsi" w:cstheme="majorHAnsi"/>
              </w:rPr>
            </w:pPr>
          </w:p>
          <w:p w14:paraId="2509D018" w14:textId="77777777" w:rsidR="00F1221C" w:rsidRPr="00D10FA0" w:rsidRDefault="00F1221C" w:rsidP="00984F7F">
            <w:pPr>
              <w:rPr>
                <w:rFonts w:asciiTheme="majorHAnsi" w:hAnsiTheme="majorHAnsi" w:cstheme="majorHAnsi"/>
              </w:rPr>
            </w:pPr>
          </w:p>
          <w:p w14:paraId="048100C3" w14:textId="77777777" w:rsidR="00F1221C" w:rsidRPr="00D10FA0" w:rsidRDefault="00F1221C" w:rsidP="00984F7F">
            <w:pPr>
              <w:rPr>
                <w:rFonts w:asciiTheme="majorHAnsi" w:hAnsiTheme="majorHAnsi" w:cstheme="majorHAnsi"/>
              </w:rPr>
            </w:pPr>
            <w:r w:rsidRPr="00D10FA0">
              <w:rPr>
                <w:rFonts w:asciiTheme="majorHAnsi" w:hAnsiTheme="majorHAnsi" w:cstheme="majorHAnsi"/>
              </w:rPr>
              <w:t xml:space="preserve">V Brně, </w:t>
            </w:r>
          </w:p>
        </w:tc>
        <w:tc>
          <w:tcPr>
            <w:tcW w:w="2505" w:type="dxa"/>
          </w:tcPr>
          <w:p w14:paraId="6406FCB9" w14:textId="77777777" w:rsidR="00F1221C" w:rsidRPr="00D10FA0" w:rsidRDefault="00F1221C" w:rsidP="00984F7F">
            <w:pPr>
              <w:rPr>
                <w:rFonts w:asciiTheme="majorHAnsi" w:hAnsiTheme="majorHAnsi" w:cstheme="majorHAnsi"/>
              </w:rPr>
            </w:pPr>
          </w:p>
          <w:p w14:paraId="7B1A34C6" w14:textId="77777777" w:rsidR="00F1221C" w:rsidRPr="00D10FA0" w:rsidRDefault="00F1221C" w:rsidP="00984F7F">
            <w:pPr>
              <w:rPr>
                <w:rFonts w:asciiTheme="majorHAnsi" w:hAnsiTheme="majorHAnsi" w:cstheme="majorHAnsi"/>
              </w:rPr>
            </w:pPr>
          </w:p>
          <w:p w14:paraId="37677B87" w14:textId="77777777" w:rsidR="00F1221C" w:rsidRPr="00D10FA0" w:rsidRDefault="00F1221C" w:rsidP="00984F7F">
            <w:pPr>
              <w:rPr>
                <w:rFonts w:asciiTheme="majorHAnsi" w:hAnsiTheme="majorHAnsi" w:cstheme="majorHAnsi"/>
              </w:rPr>
            </w:pPr>
          </w:p>
          <w:p w14:paraId="17FABD97" w14:textId="77777777" w:rsidR="00F1221C" w:rsidRPr="00D10FA0" w:rsidRDefault="00F1221C" w:rsidP="00984F7F">
            <w:pPr>
              <w:rPr>
                <w:rFonts w:asciiTheme="majorHAnsi" w:hAnsiTheme="majorHAnsi" w:cstheme="majorHAnsi"/>
              </w:rPr>
            </w:pPr>
          </w:p>
          <w:p w14:paraId="094811A4" w14:textId="77777777" w:rsidR="00F1221C" w:rsidRPr="00D10FA0" w:rsidRDefault="00F1221C" w:rsidP="00984F7F">
            <w:pPr>
              <w:rPr>
                <w:rFonts w:asciiTheme="majorHAnsi" w:hAnsiTheme="majorHAnsi" w:cstheme="majorHAnsi"/>
              </w:rPr>
            </w:pPr>
            <w:r w:rsidRPr="00D10FA0">
              <w:rPr>
                <w:rFonts w:asciiTheme="majorHAnsi" w:hAnsiTheme="majorHAnsi" w:cstheme="majorHAnsi"/>
              </w:rPr>
              <w:t>dne</w:t>
            </w:r>
          </w:p>
        </w:tc>
        <w:tc>
          <w:tcPr>
            <w:tcW w:w="764" w:type="dxa"/>
          </w:tcPr>
          <w:p w14:paraId="2CD97481" w14:textId="77777777" w:rsidR="00F1221C" w:rsidRPr="00D10FA0" w:rsidRDefault="00F1221C" w:rsidP="00984F7F">
            <w:pPr>
              <w:rPr>
                <w:rFonts w:asciiTheme="majorHAnsi" w:hAnsiTheme="majorHAnsi" w:cstheme="majorHAnsi"/>
              </w:rPr>
            </w:pPr>
          </w:p>
        </w:tc>
      </w:tr>
      <w:tr w:rsidR="00F1221C" w:rsidRPr="00D10FA0" w14:paraId="0C19DCD3" w14:textId="77777777" w:rsidTr="00984F7F">
        <w:tc>
          <w:tcPr>
            <w:tcW w:w="4268" w:type="dxa"/>
            <w:gridSpan w:val="3"/>
          </w:tcPr>
          <w:p w14:paraId="09577D37" w14:textId="77777777" w:rsidR="00F1221C" w:rsidRPr="00D10FA0" w:rsidRDefault="00F1221C" w:rsidP="00984F7F">
            <w:pPr>
              <w:rPr>
                <w:rFonts w:asciiTheme="majorHAnsi" w:hAnsiTheme="majorHAnsi" w:cstheme="majorHAnsi"/>
              </w:rPr>
            </w:pPr>
            <w:r w:rsidRPr="00D10FA0">
              <w:rPr>
                <w:rFonts w:asciiTheme="majorHAnsi" w:hAnsiTheme="majorHAnsi" w:cstheme="majorHAnsi"/>
              </w:rPr>
              <w:t>Za zhotovitele</w:t>
            </w:r>
          </w:p>
          <w:p w14:paraId="7C6B5116" w14:textId="77777777" w:rsidR="00F1221C" w:rsidRPr="00D10FA0" w:rsidRDefault="00F1221C" w:rsidP="00984F7F">
            <w:pPr>
              <w:rPr>
                <w:rFonts w:asciiTheme="majorHAnsi" w:hAnsiTheme="majorHAnsi" w:cstheme="majorHAnsi"/>
              </w:rPr>
            </w:pPr>
          </w:p>
          <w:p w14:paraId="3C12BC58" w14:textId="77777777" w:rsidR="00F1221C" w:rsidRPr="00D10FA0" w:rsidRDefault="00F1221C" w:rsidP="00984F7F">
            <w:pPr>
              <w:rPr>
                <w:rFonts w:asciiTheme="majorHAnsi" w:hAnsiTheme="majorHAnsi" w:cstheme="majorHAnsi"/>
              </w:rPr>
            </w:pPr>
          </w:p>
          <w:p w14:paraId="35D03F7B" w14:textId="77777777" w:rsidR="00F1221C" w:rsidRPr="00D10FA0" w:rsidRDefault="00F1221C" w:rsidP="00984F7F">
            <w:pPr>
              <w:rPr>
                <w:rFonts w:asciiTheme="majorHAnsi" w:hAnsiTheme="majorHAnsi" w:cstheme="majorHAnsi"/>
              </w:rPr>
            </w:pPr>
          </w:p>
          <w:p w14:paraId="11201E6A" w14:textId="77777777" w:rsidR="00F1221C" w:rsidRPr="00D10FA0" w:rsidRDefault="00F1221C" w:rsidP="00984F7F">
            <w:pPr>
              <w:rPr>
                <w:rFonts w:asciiTheme="majorHAnsi" w:hAnsiTheme="majorHAnsi" w:cstheme="majorHAnsi"/>
              </w:rPr>
            </w:pPr>
          </w:p>
          <w:p w14:paraId="183B7BFC" w14:textId="77777777" w:rsidR="00F1221C" w:rsidRPr="00D10FA0" w:rsidRDefault="00F1221C" w:rsidP="00984F7F">
            <w:pPr>
              <w:rPr>
                <w:rFonts w:asciiTheme="majorHAnsi" w:hAnsiTheme="majorHAnsi" w:cstheme="majorHAnsi"/>
              </w:rPr>
            </w:pPr>
          </w:p>
          <w:p w14:paraId="3D104438" w14:textId="77777777" w:rsidR="00F1221C" w:rsidRPr="00D10FA0" w:rsidRDefault="00F1221C" w:rsidP="00984F7F">
            <w:pPr>
              <w:rPr>
                <w:rFonts w:asciiTheme="majorHAnsi" w:hAnsiTheme="majorHAnsi" w:cstheme="majorHAnsi"/>
              </w:rPr>
            </w:pPr>
          </w:p>
          <w:p w14:paraId="3415F1BC" w14:textId="77777777" w:rsidR="00F1221C" w:rsidRPr="00D10FA0" w:rsidRDefault="00F1221C" w:rsidP="00984F7F">
            <w:pPr>
              <w:rPr>
                <w:rFonts w:asciiTheme="majorHAnsi" w:hAnsiTheme="majorHAnsi" w:cstheme="majorHAnsi"/>
              </w:rPr>
            </w:pPr>
          </w:p>
          <w:p w14:paraId="48E78786" w14:textId="77777777" w:rsidR="00F1221C" w:rsidRPr="00D10FA0" w:rsidRDefault="00F1221C" w:rsidP="00984F7F">
            <w:pPr>
              <w:rPr>
                <w:rFonts w:asciiTheme="majorHAnsi" w:hAnsiTheme="majorHAnsi" w:cstheme="majorHAnsi"/>
              </w:rPr>
            </w:pPr>
          </w:p>
          <w:p w14:paraId="7546EB6E" w14:textId="77777777" w:rsidR="00F1221C" w:rsidRPr="00D10FA0" w:rsidRDefault="00F1221C" w:rsidP="00984F7F">
            <w:pPr>
              <w:rPr>
                <w:rFonts w:asciiTheme="majorHAnsi" w:hAnsiTheme="majorHAnsi" w:cstheme="majorHAnsi"/>
              </w:rPr>
            </w:pPr>
          </w:p>
        </w:tc>
        <w:tc>
          <w:tcPr>
            <w:tcW w:w="540" w:type="dxa"/>
          </w:tcPr>
          <w:p w14:paraId="3CC2CD4D" w14:textId="77777777" w:rsidR="00F1221C" w:rsidRPr="00D10FA0" w:rsidRDefault="00F1221C" w:rsidP="00984F7F">
            <w:pPr>
              <w:rPr>
                <w:rFonts w:asciiTheme="majorHAnsi" w:hAnsiTheme="majorHAnsi" w:cstheme="majorHAnsi"/>
              </w:rPr>
            </w:pPr>
          </w:p>
        </w:tc>
        <w:tc>
          <w:tcPr>
            <w:tcW w:w="4264" w:type="dxa"/>
            <w:gridSpan w:val="3"/>
          </w:tcPr>
          <w:p w14:paraId="184AE402" w14:textId="77777777" w:rsidR="00F1221C" w:rsidRPr="00D10FA0" w:rsidRDefault="00F1221C" w:rsidP="00984F7F">
            <w:pPr>
              <w:rPr>
                <w:rFonts w:asciiTheme="majorHAnsi" w:hAnsiTheme="majorHAnsi" w:cstheme="majorHAnsi"/>
              </w:rPr>
            </w:pPr>
            <w:r w:rsidRPr="00D10FA0">
              <w:rPr>
                <w:rFonts w:asciiTheme="majorHAnsi" w:hAnsiTheme="majorHAnsi" w:cstheme="majorHAnsi"/>
              </w:rPr>
              <w:t>Za objednatele</w:t>
            </w:r>
          </w:p>
        </w:tc>
      </w:tr>
      <w:tr w:rsidR="00F1221C" w:rsidRPr="00D10FA0" w14:paraId="592453E0" w14:textId="77777777" w:rsidTr="00984F7F">
        <w:tc>
          <w:tcPr>
            <w:tcW w:w="4268" w:type="dxa"/>
            <w:gridSpan w:val="3"/>
            <w:tcBorders>
              <w:top w:val="dashed" w:sz="4" w:space="0" w:color="auto"/>
            </w:tcBorders>
          </w:tcPr>
          <w:p w14:paraId="573931B0" w14:textId="77777777" w:rsidR="00F1221C" w:rsidRPr="00D10FA0" w:rsidRDefault="00F1221C" w:rsidP="00984F7F">
            <w:pPr>
              <w:pStyle w:val="zarovnannasted"/>
              <w:rPr>
                <w:rFonts w:asciiTheme="majorHAnsi" w:hAnsiTheme="majorHAnsi" w:cstheme="majorHAnsi"/>
                <w:sz w:val="20"/>
              </w:rPr>
            </w:pPr>
            <w:r w:rsidRPr="00D10FA0">
              <w:rPr>
                <w:rFonts w:asciiTheme="majorHAnsi" w:hAnsiTheme="majorHAnsi" w:cstheme="majorHAnsi"/>
                <w:sz w:val="20"/>
              </w:rPr>
              <w:t>WOMBAT, s.r.o.</w:t>
            </w:r>
          </w:p>
          <w:p w14:paraId="48341F21" w14:textId="77777777" w:rsidR="00F1221C" w:rsidRPr="00D10FA0" w:rsidRDefault="00F1221C" w:rsidP="00984F7F">
            <w:pPr>
              <w:pStyle w:val="zarovnannasted"/>
              <w:rPr>
                <w:rFonts w:asciiTheme="majorHAnsi" w:hAnsiTheme="majorHAnsi" w:cstheme="majorHAnsi"/>
                <w:sz w:val="20"/>
              </w:rPr>
            </w:pPr>
            <w:r w:rsidRPr="00D10FA0">
              <w:rPr>
                <w:rFonts w:asciiTheme="majorHAnsi" w:hAnsiTheme="majorHAnsi" w:cstheme="majorHAnsi"/>
                <w:sz w:val="20"/>
              </w:rPr>
              <w:t>Ing. Petr Holeš</w:t>
            </w:r>
          </w:p>
          <w:p w14:paraId="129B07F0" w14:textId="77777777" w:rsidR="00F1221C" w:rsidRPr="00D10FA0" w:rsidRDefault="00F1221C" w:rsidP="00984F7F">
            <w:pPr>
              <w:pStyle w:val="zarovnannasted"/>
              <w:rPr>
                <w:rFonts w:asciiTheme="majorHAnsi" w:hAnsiTheme="majorHAnsi" w:cstheme="majorHAnsi"/>
                <w:sz w:val="20"/>
              </w:rPr>
            </w:pPr>
            <w:r w:rsidRPr="00D10FA0">
              <w:rPr>
                <w:rFonts w:asciiTheme="majorHAnsi" w:hAnsiTheme="majorHAnsi" w:cstheme="majorHAnsi"/>
                <w:sz w:val="20"/>
              </w:rPr>
              <w:t>jednatel</w:t>
            </w:r>
          </w:p>
        </w:tc>
        <w:tc>
          <w:tcPr>
            <w:tcW w:w="540" w:type="dxa"/>
          </w:tcPr>
          <w:p w14:paraId="608C3895" w14:textId="77777777" w:rsidR="00F1221C" w:rsidRPr="00D10FA0" w:rsidRDefault="00F1221C" w:rsidP="00984F7F">
            <w:pPr>
              <w:rPr>
                <w:rFonts w:asciiTheme="majorHAnsi" w:hAnsiTheme="majorHAnsi" w:cstheme="majorHAnsi"/>
              </w:rPr>
            </w:pPr>
          </w:p>
        </w:tc>
        <w:tc>
          <w:tcPr>
            <w:tcW w:w="4264" w:type="dxa"/>
            <w:gridSpan w:val="3"/>
            <w:tcBorders>
              <w:top w:val="dashed" w:sz="4" w:space="0" w:color="auto"/>
            </w:tcBorders>
          </w:tcPr>
          <w:p w14:paraId="7E63A762" w14:textId="77777777" w:rsidR="00F1221C" w:rsidRPr="00D10FA0" w:rsidRDefault="00F1221C" w:rsidP="00984F7F">
            <w:pPr>
              <w:pStyle w:val="zarovnannasted"/>
              <w:rPr>
                <w:rFonts w:asciiTheme="majorHAnsi" w:hAnsiTheme="majorHAnsi" w:cstheme="majorHAnsi"/>
                <w:sz w:val="20"/>
              </w:rPr>
            </w:pPr>
            <w:r w:rsidRPr="00D10FA0">
              <w:rPr>
                <w:rFonts w:asciiTheme="majorHAnsi" w:hAnsiTheme="majorHAnsi" w:cstheme="majorHAnsi"/>
                <w:sz w:val="20"/>
              </w:rPr>
              <w:t>Brněnské vodárny a kanalizace, a.s.</w:t>
            </w:r>
          </w:p>
          <w:p w14:paraId="76954FD3" w14:textId="685F79A1" w:rsidR="00F1221C" w:rsidRPr="00D10FA0" w:rsidRDefault="00357809" w:rsidP="00984F7F">
            <w:pPr>
              <w:pStyle w:val="zarovnannasted"/>
              <w:rPr>
                <w:rFonts w:asciiTheme="majorHAnsi" w:hAnsiTheme="majorHAnsi" w:cstheme="majorHAnsi"/>
                <w:sz w:val="20"/>
              </w:rPr>
            </w:pPr>
            <w:r>
              <w:rPr>
                <w:rFonts w:asciiTheme="majorHAnsi" w:hAnsiTheme="majorHAnsi" w:cstheme="majorHAnsi"/>
                <w:sz w:val="20"/>
              </w:rPr>
              <w:t>XXX</w:t>
            </w:r>
            <w:bookmarkStart w:id="0" w:name="_GoBack"/>
            <w:bookmarkEnd w:id="0"/>
          </w:p>
        </w:tc>
      </w:tr>
    </w:tbl>
    <w:p w14:paraId="61B2ACE3" w14:textId="77777777" w:rsidR="00F1221C" w:rsidRPr="00D10FA0" w:rsidRDefault="00F1221C" w:rsidP="00F1221C">
      <w:pPr>
        <w:rPr>
          <w:rFonts w:asciiTheme="majorHAnsi" w:hAnsiTheme="majorHAnsi" w:cstheme="majorHAnsi"/>
        </w:rPr>
      </w:pPr>
    </w:p>
    <w:p w14:paraId="282F5BCF" w14:textId="6CF562BF" w:rsidR="0098722E" w:rsidRPr="00D10FA0" w:rsidRDefault="0098722E" w:rsidP="00F54A43">
      <w:pPr>
        <w:rPr>
          <w:rFonts w:asciiTheme="majorHAnsi" w:hAnsiTheme="majorHAnsi" w:cstheme="majorHAnsi"/>
        </w:rPr>
      </w:pPr>
    </w:p>
    <w:p w14:paraId="1CDA218A" w14:textId="6EDFDA85" w:rsidR="0098722E" w:rsidRPr="00D10FA0" w:rsidRDefault="0098722E" w:rsidP="00F54A43">
      <w:pPr>
        <w:rPr>
          <w:rFonts w:asciiTheme="majorHAnsi" w:hAnsiTheme="majorHAnsi" w:cstheme="majorHAnsi"/>
        </w:rPr>
      </w:pPr>
    </w:p>
    <w:p w14:paraId="1CCF1EF3" w14:textId="588A05B8" w:rsidR="0098722E" w:rsidRPr="00D10FA0" w:rsidRDefault="0098722E" w:rsidP="00F54A43">
      <w:pPr>
        <w:rPr>
          <w:rFonts w:asciiTheme="majorHAnsi" w:hAnsiTheme="majorHAnsi" w:cstheme="majorHAnsi"/>
        </w:rPr>
      </w:pPr>
    </w:p>
    <w:p w14:paraId="420A53F0" w14:textId="7F57343C" w:rsidR="0098722E" w:rsidRPr="00D10FA0" w:rsidRDefault="0098722E" w:rsidP="00F54A43">
      <w:pPr>
        <w:rPr>
          <w:rFonts w:asciiTheme="majorHAnsi" w:hAnsiTheme="majorHAnsi" w:cstheme="majorHAnsi"/>
        </w:rPr>
      </w:pPr>
    </w:p>
    <w:p w14:paraId="4F7BF029" w14:textId="046A6D6A" w:rsidR="0098722E" w:rsidRPr="00D10FA0" w:rsidRDefault="0098722E" w:rsidP="00F54A43">
      <w:pPr>
        <w:rPr>
          <w:rFonts w:asciiTheme="majorHAnsi" w:hAnsiTheme="majorHAnsi" w:cstheme="majorHAnsi"/>
        </w:rPr>
      </w:pPr>
    </w:p>
    <w:p w14:paraId="06681BA8" w14:textId="56AA75F7" w:rsidR="0098722E" w:rsidRPr="00D10FA0" w:rsidRDefault="0098722E" w:rsidP="00F54A43">
      <w:pPr>
        <w:rPr>
          <w:rFonts w:asciiTheme="majorHAnsi" w:hAnsiTheme="majorHAnsi" w:cstheme="majorHAnsi"/>
        </w:rPr>
      </w:pPr>
    </w:p>
    <w:sectPr w:rsidR="0098722E" w:rsidRPr="00D10FA0"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FE4B4" w14:textId="77777777" w:rsidR="004C1524" w:rsidRDefault="004C1524" w:rsidP="00C3612E">
      <w:r>
        <w:separator/>
      </w:r>
    </w:p>
  </w:endnote>
  <w:endnote w:type="continuationSeparator" w:id="0">
    <w:p w14:paraId="1F0FDCF5" w14:textId="77777777" w:rsidR="004C1524" w:rsidRDefault="004C152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21DAF5D" w:rsidR="00AF49BB" w:rsidRDefault="00AF49BB">
    <w:pPr>
      <w:pStyle w:val="Zpat"/>
      <w:jc w:val="center"/>
    </w:pPr>
    <w:r>
      <w:fldChar w:fldCharType="begin"/>
    </w:r>
    <w:r>
      <w:instrText>PAGE    \* MERGEFORMAT</w:instrText>
    </w:r>
    <w:r>
      <w:fldChar w:fldCharType="separate"/>
    </w:r>
    <w:r w:rsidR="00357809">
      <w:rPr>
        <w:noProof/>
      </w:rPr>
      <w:t>4</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62EA" w14:textId="77777777" w:rsidR="004C1524" w:rsidRDefault="004C1524" w:rsidP="00C3612E">
      <w:r>
        <w:separator/>
      </w:r>
    </w:p>
  </w:footnote>
  <w:footnote w:type="continuationSeparator" w:id="0">
    <w:p w14:paraId="4DCE8377" w14:textId="77777777" w:rsidR="004C1524" w:rsidRDefault="004C152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4C1524">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4C1524">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4C1524">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8"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0"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1"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5"/>
  </w:num>
  <w:num w:numId="2">
    <w:abstractNumId w:val="10"/>
  </w:num>
  <w:num w:numId="3">
    <w:abstractNumId w:val="17"/>
  </w:num>
  <w:num w:numId="4">
    <w:abstractNumId w:val="12"/>
  </w:num>
  <w:num w:numId="5">
    <w:abstractNumId w:val="0"/>
  </w:num>
  <w:num w:numId="6">
    <w:abstractNumId w:val="2"/>
  </w:num>
  <w:num w:numId="7">
    <w:abstractNumId w:val="3"/>
  </w:num>
  <w:num w:numId="8">
    <w:abstractNumId w:val="9"/>
  </w:num>
  <w:num w:numId="9">
    <w:abstractNumId w:val="11"/>
  </w:num>
  <w:num w:numId="10">
    <w:abstractNumId w:val="13"/>
  </w:num>
  <w:num w:numId="11">
    <w:abstractNumId w:val="19"/>
  </w:num>
  <w:num w:numId="12">
    <w:abstractNumId w:val="7"/>
  </w:num>
  <w:num w:numId="13">
    <w:abstractNumId w:val="14"/>
  </w:num>
  <w:num w:numId="14">
    <w:abstractNumId w:val="15"/>
  </w:num>
  <w:num w:numId="15">
    <w:abstractNumId w:val="15"/>
  </w:num>
  <w:num w:numId="16">
    <w:abstractNumId w:val="5"/>
  </w:num>
  <w:num w:numId="17">
    <w:abstractNumId w:val="16"/>
  </w:num>
  <w:num w:numId="18">
    <w:abstractNumId w:val="5"/>
    <w:lvlOverride w:ilvl="0">
      <w:startOverride w:val="1"/>
    </w:lvlOverride>
  </w:num>
  <w:num w:numId="19">
    <w:abstractNumId w:val="21"/>
  </w:num>
  <w:num w:numId="20">
    <w:abstractNumId w:val="18"/>
  </w:num>
  <w:num w:numId="21">
    <w:abstractNumId w:val="6"/>
  </w:num>
  <w:num w:numId="22">
    <w:abstractNumId w:val="8"/>
  </w:num>
  <w:num w:numId="23">
    <w:abstractNumId w:val="1"/>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3200"/>
    <w:rsid w:val="0005292A"/>
    <w:rsid w:val="00052EB3"/>
    <w:rsid w:val="00066042"/>
    <w:rsid w:val="00066EB5"/>
    <w:rsid w:val="00075061"/>
    <w:rsid w:val="00075582"/>
    <w:rsid w:val="00077AA9"/>
    <w:rsid w:val="00085363"/>
    <w:rsid w:val="00086D87"/>
    <w:rsid w:val="00093600"/>
    <w:rsid w:val="000B0E91"/>
    <w:rsid w:val="000B3B2F"/>
    <w:rsid w:val="000C0F2D"/>
    <w:rsid w:val="000D6641"/>
    <w:rsid w:val="000E375C"/>
    <w:rsid w:val="000E5E39"/>
    <w:rsid w:val="000F2D51"/>
    <w:rsid w:val="000F5EA2"/>
    <w:rsid w:val="00102190"/>
    <w:rsid w:val="00105000"/>
    <w:rsid w:val="00131466"/>
    <w:rsid w:val="00131470"/>
    <w:rsid w:val="00163059"/>
    <w:rsid w:val="00164BDB"/>
    <w:rsid w:val="00173D07"/>
    <w:rsid w:val="00174082"/>
    <w:rsid w:val="00176E41"/>
    <w:rsid w:val="00180E81"/>
    <w:rsid w:val="001843E3"/>
    <w:rsid w:val="001854C8"/>
    <w:rsid w:val="0019266F"/>
    <w:rsid w:val="001A1C08"/>
    <w:rsid w:val="001A2E3B"/>
    <w:rsid w:val="001A2F50"/>
    <w:rsid w:val="001D353F"/>
    <w:rsid w:val="001D48CE"/>
    <w:rsid w:val="001E042F"/>
    <w:rsid w:val="001F6051"/>
    <w:rsid w:val="002031B1"/>
    <w:rsid w:val="00226110"/>
    <w:rsid w:val="0022663A"/>
    <w:rsid w:val="00230491"/>
    <w:rsid w:val="00234F3F"/>
    <w:rsid w:val="002373AA"/>
    <w:rsid w:val="00252177"/>
    <w:rsid w:val="00257A5F"/>
    <w:rsid w:val="00262E52"/>
    <w:rsid w:val="00263502"/>
    <w:rsid w:val="00292E7E"/>
    <w:rsid w:val="002936FE"/>
    <w:rsid w:val="002963ED"/>
    <w:rsid w:val="002A2DF3"/>
    <w:rsid w:val="002B41F9"/>
    <w:rsid w:val="002C0383"/>
    <w:rsid w:val="002C36A8"/>
    <w:rsid w:val="002E3E4A"/>
    <w:rsid w:val="002E727C"/>
    <w:rsid w:val="002F1408"/>
    <w:rsid w:val="002F5C95"/>
    <w:rsid w:val="0031012E"/>
    <w:rsid w:val="0031614E"/>
    <w:rsid w:val="00326E74"/>
    <w:rsid w:val="0035055A"/>
    <w:rsid w:val="00352435"/>
    <w:rsid w:val="00357809"/>
    <w:rsid w:val="00361C86"/>
    <w:rsid w:val="00362B2D"/>
    <w:rsid w:val="003674AD"/>
    <w:rsid w:val="00384287"/>
    <w:rsid w:val="00390AB5"/>
    <w:rsid w:val="00393A56"/>
    <w:rsid w:val="003A7E3F"/>
    <w:rsid w:val="003B2092"/>
    <w:rsid w:val="003B32FA"/>
    <w:rsid w:val="003B5B00"/>
    <w:rsid w:val="003B6864"/>
    <w:rsid w:val="003C5FD0"/>
    <w:rsid w:val="003D18AD"/>
    <w:rsid w:val="003D58BD"/>
    <w:rsid w:val="00411D92"/>
    <w:rsid w:val="00413A95"/>
    <w:rsid w:val="00415991"/>
    <w:rsid w:val="00420863"/>
    <w:rsid w:val="00422B92"/>
    <w:rsid w:val="0045340B"/>
    <w:rsid w:val="00454BA0"/>
    <w:rsid w:val="0046177A"/>
    <w:rsid w:val="004707DD"/>
    <w:rsid w:val="00473804"/>
    <w:rsid w:val="00477F0A"/>
    <w:rsid w:val="00494690"/>
    <w:rsid w:val="004A0379"/>
    <w:rsid w:val="004A150D"/>
    <w:rsid w:val="004A37D5"/>
    <w:rsid w:val="004A66B3"/>
    <w:rsid w:val="004C1524"/>
    <w:rsid w:val="004C6167"/>
    <w:rsid w:val="004C7D31"/>
    <w:rsid w:val="004D11E8"/>
    <w:rsid w:val="004D43B9"/>
    <w:rsid w:val="004D4574"/>
    <w:rsid w:val="004D647B"/>
    <w:rsid w:val="004E2B9A"/>
    <w:rsid w:val="004E60EE"/>
    <w:rsid w:val="004F0DBA"/>
    <w:rsid w:val="00506B29"/>
    <w:rsid w:val="0051196B"/>
    <w:rsid w:val="00522D28"/>
    <w:rsid w:val="00536876"/>
    <w:rsid w:val="005575FE"/>
    <w:rsid w:val="005705B9"/>
    <w:rsid w:val="005750A3"/>
    <w:rsid w:val="00585CB9"/>
    <w:rsid w:val="00586095"/>
    <w:rsid w:val="0059065C"/>
    <w:rsid w:val="00591B0A"/>
    <w:rsid w:val="005B4B39"/>
    <w:rsid w:val="005B7BCD"/>
    <w:rsid w:val="005D6DD2"/>
    <w:rsid w:val="005E0798"/>
    <w:rsid w:val="005E4E36"/>
    <w:rsid w:val="005F4C58"/>
    <w:rsid w:val="005F656D"/>
    <w:rsid w:val="00604105"/>
    <w:rsid w:val="00606A30"/>
    <w:rsid w:val="00615078"/>
    <w:rsid w:val="00625E96"/>
    <w:rsid w:val="0064250D"/>
    <w:rsid w:val="0064783B"/>
    <w:rsid w:val="00672974"/>
    <w:rsid w:val="0068125B"/>
    <w:rsid w:val="006824AD"/>
    <w:rsid w:val="006856B5"/>
    <w:rsid w:val="006902CB"/>
    <w:rsid w:val="00691D0C"/>
    <w:rsid w:val="006A7E86"/>
    <w:rsid w:val="006C0C40"/>
    <w:rsid w:val="006C0E7B"/>
    <w:rsid w:val="006C4E53"/>
    <w:rsid w:val="006C5016"/>
    <w:rsid w:val="006E381B"/>
    <w:rsid w:val="007046F0"/>
    <w:rsid w:val="00712844"/>
    <w:rsid w:val="00713334"/>
    <w:rsid w:val="00713956"/>
    <w:rsid w:val="0072217F"/>
    <w:rsid w:val="00735F0A"/>
    <w:rsid w:val="00736CA9"/>
    <w:rsid w:val="0074073E"/>
    <w:rsid w:val="00747DED"/>
    <w:rsid w:val="00760DF5"/>
    <w:rsid w:val="00771682"/>
    <w:rsid w:val="007727FD"/>
    <w:rsid w:val="00791058"/>
    <w:rsid w:val="007911E7"/>
    <w:rsid w:val="0079478B"/>
    <w:rsid w:val="007A5CD4"/>
    <w:rsid w:val="007B1164"/>
    <w:rsid w:val="007C5F91"/>
    <w:rsid w:val="007D38DC"/>
    <w:rsid w:val="007E7D76"/>
    <w:rsid w:val="007F019A"/>
    <w:rsid w:val="007F07F7"/>
    <w:rsid w:val="007F5ED7"/>
    <w:rsid w:val="008200F4"/>
    <w:rsid w:val="00825A4A"/>
    <w:rsid w:val="00854FFC"/>
    <w:rsid w:val="00863330"/>
    <w:rsid w:val="00864AED"/>
    <w:rsid w:val="00866CC1"/>
    <w:rsid w:val="0087084F"/>
    <w:rsid w:val="00874D73"/>
    <w:rsid w:val="00896057"/>
    <w:rsid w:val="008B14D9"/>
    <w:rsid w:val="008B7AAC"/>
    <w:rsid w:val="008C2004"/>
    <w:rsid w:val="008C2CC4"/>
    <w:rsid w:val="008C37FC"/>
    <w:rsid w:val="008D6D3E"/>
    <w:rsid w:val="008E7FED"/>
    <w:rsid w:val="008F1105"/>
    <w:rsid w:val="00902703"/>
    <w:rsid w:val="00941142"/>
    <w:rsid w:val="00945963"/>
    <w:rsid w:val="00945C71"/>
    <w:rsid w:val="00946224"/>
    <w:rsid w:val="00952B23"/>
    <w:rsid w:val="009717F2"/>
    <w:rsid w:val="009722F3"/>
    <w:rsid w:val="0098722E"/>
    <w:rsid w:val="00987CDE"/>
    <w:rsid w:val="00990938"/>
    <w:rsid w:val="009928A6"/>
    <w:rsid w:val="009C1AC7"/>
    <w:rsid w:val="009D2B7C"/>
    <w:rsid w:val="009E6B09"/>
    <w:rsid w:val="009F45BF"/>
    <w:rsid w:val="00A03F7D"/>
    <w:rsid w:val="00A04DF0"/>
    <w:rsid w:val="00A0695C"/>
    <w:rsid w:val="00A132B5"/>
    <w:rsid w:val="00A163A5"/>
    <w:rsid w:val="00A1658D"/>
    <w:rsid w:val="00A2587E"/>
    <w:rsid w:val="00A3115F"/>
    <w:rsid w:val="00A51C5B"/>
    <w:rsid w:val="00A71C83"/>
    <w:rsid w:val="00A732CB"/>
    <w:rsid w:val="00A7740F"/>
    <w:rsid w:val="00A82565"/>
    <w:rsid w:val="00A82E6D"/>
    <w:rsid w:val="00A932DB"/>
    <w:rsid w:val="00AB30CC"/>
    <w:rsid w:val="00AB5411"/>
    <w:rsid w:val="00AB6B3C"/>
    <w:rsid w:val="00AC6CAB"/>
    <w:rsid w:val="00AF49BB"/>
    <w:rsid w:val="00AF6763"/>
    <w:rsid w:val="00B0074E"/>
    <w:rsid w:val="00B02AD6"/>
    <w:rsid w:val="00B052FE"/>
    <w:rsid w:val="00B14830"/>
    <w:rsid w:val="00B23411"/>
    <w:rsid w:val="00B2594A"/>
    <w:rsid w:val="00B53019"/>
    <w:rsid w:val="00B62B7D"/>
    <w:rsid w:val="00B8698D"/>
    <w:rsid w:val="00B9110D"/>
    <w:rsid w:val="00B91C60"/>
    <w:rsid w:val="00B92DE0"/>
    <w:rsid w:val="00BA23C4"/>
    <w:rsid w:val="00BA28EB"/>
    <w:rsid w:val="00BA291A"/>
    <w:rsid w:val="00BA5847"/>
    <w:rsid w:val="00BB0002"/>
    <w:rsid w:val="00BB084B"/>
    <w:rsid w:val="00BB0F45"/>
    <w:rsid w:val="00BB11C8"/>
    <w:rsid w:val="00BC4001"/>
    <w:rsid w:val="00BD2097"/>
    <w:rsid w:val="00BE1852"/>
    <w:rsid w:val="00BE371F"/>
    <w:rsid w:val="00BF30F7"/>
    <w:rsid w:val="00BF746D"/>
    <w:rsid w:val="00C02B91"/>
    <w:rsid w:val="00C218F6"/>
    <w:rsid w:val="00C30DF7"/>
    <w:rsid w:val="00C32D8D"/>
    <w:rsid w:val="00C34A3E"/>
    <w:rsid w:val="00C3612E"/>
    <w:rsid w:val="00C4410B"/>
    <w:rsid w:val="00C71884"/>
    <w:rsid w:val="00C77462"/>
    <w:rsid w:val="00CA6E14"/>
    <w:rsid w:val="00CB0FE9"/>
    <w:rsid w:val="00CB205E"/>
    <w:rsid w:val="00CB722F"/>
    <w:rsid w:val="00CC0ECB"/>
    <w:rsid w:val="00CD2584"/>
    <w:rsid w:val="00CD748B"/>
    <w:rsid w:val="00D068E3"/>
    <w:rsid w:val="00D06CB1"/>
    <w:rsid w:val="00D10FA0"/>
    <w:rsid w:val="00D3326D"/>
    <w:rsid w:val="00D36A91"/>
    <w:rsid w:val="00D50282"/>
    <w:rsid w:val="00D505EC"/>
    <w:rsid w:val="00D6709A"/>
    <w:rsid w:val="00D704FC"/>
    <w:rsid w:val="00D842A7"/>
    <w:rsid w:val="00D859F6"/>
    <w:rsid w:val="00DA0583"/>
    <w:rsid w:val="00DA2313"/>
    <w:rsid w:val="00DA3CC6"/>
    <w:rsid w:val="00DC28D1"/>
    <w:rsid w:val="00DC6315"/>
    <w:rsid w:val="00DC6971"/>
    <w:rsid w:val="00DC6C0D"/>
    <w:rsid w:val="00DC7479"/>
    <w:rsid w:val="00DE34B6"/>
    <w:rsid w:val="00E42441"/>
    <w:rsid w:val="00E477E7"/>
    <w:rsid w:val="00E64715"/>
    <w:rsid w:val="00E6649F"/>
    <w:rsid w:val="00E724BF"/>
    <w:rsid w:val="00E74D6A"/>
    <w:rsid w:val="00E77BA3"/>
    <w:rsid w:val="00E77CDC"/>
    <w:rsid w:val="00EA0136"/>
    <w:rsid w:val="00EB1B77"/>
    <w:rsid w:val="00EC2FA2"/>
    <w:rsid w:val="00EC718E"/>
    <w:rsid w:val="00EE3268"/>
    <w:rsid w:val="00EE6785"/>
    <w:rsid w:val="00EF0045"/>
    <w:rsid w:val="00EF29AA"/>
    <w:rsid w:val="00F1221C"/>
    <w:rsid w:val="00F13656"/>
    <w:rsid w:val="00F16477"/>
    <w:rsid w:val="00F169DD"/>
    <w:rsid w:val="00F303C2"/>
    <w:rsid w:val="00F35B6B"/>
    <w:rsid w:val="00F43423"/>
    <w:rsid w:val="00F434D3"/>
    <w:rsid w:val="00F54A43"/>
    <w:rsid w:val="00F556D5"/>
    <w:rsid w:val="00F563EA"/>
    <w:rsid w:val="00F7165D"/>
    <w:rsid w:val="00F74420"/>
    <w:rsid w:val="00F76C8B"/>
    <w:rsid w:val="00F9025A"/>
    <w:rsid w:val="00F92AC8"/>
    <w:rsid w:val="00FA40CA"/>
    <w:rsid w:val="00FA42E0"/>
    <w:rsid w:val="00FA6341"/>
    <w:rsid w:val="00FC359B"/>
    <w:rsid w:val="00FC45AD"/>
    <w:rsid w:val="00FC6D98"/>
    <w:rsid w:val="00FD7619"/>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0526-B840-4EE0-AA70-1C7B48C5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6</Pages>
  <Words>2147</Words>
  <Characters>12673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2023-01-27T11:46:00Z</cp:lastPrinted>
  <dcterms:created xsi:type="dcterms:W3CDTF">2023-02-10T11:53:00Z</dcterms:created>
  <dcterms:modified xsi:type="dcterms:W3CDTF">2023-02-10T11:55:00Z</dcterms:modified>
</cp:coreProperties>
</file>