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82DA7" w14:textId="77777777" w:rsidR="00A40305" w:rsidRDefault="00A40305" w:rsidP="00A40305">
      <w:pPr>
        <w:pStyle w:val="Titul"/>
        <w:spacing w:before="120" w:after="120"/>
      </w:pPr>
      <w:r>
        <w:t>Smlouva o dílo</w:t>
      </w:r>
    </w:p>
    <w:p w14:paraId="442C48F1" w14:textId="77777777" w:rsidR="00A40305" w:rsidRDefault="00A40305" w:rsidP="00A40305">
      <w:pPr>
        <w:pStyle w:val="Titul"/>
        <w:spacing w:before="120" w:after="120"/>
        <w:rPr>
          <w:sz w:val="20"/>
        </w:rPr>
      </w:pPr>
      <w:r>
        <w:rPr>
          <w:b w:val="0"/>
          <w:sz w:val="24"/>
          <w:szCs w:val="24"/>
        </w:rPr>
        <w:t>(dále též „tato smlouva“)</w:t>
      </w:r>
      <w:r>
        <w:br/>
      </w:r>
    </w:p>
    <w:p w14:paraId="71F72754" w14:textId="77777777" w:rsidR="00A40305" w:rsidRPr="000A713B" w:rsidRDefault="00A40305" w:rsidP="00A40305">
      <w:pPr>
        <w:pStyle w:val="Textvysvtlivek"/>
        <w:tabs>
          <w:tab w:val="left" w:pos="-720"/>
        </w:tabs>
        <w:suppressAutoHyphens/>
        <w:jc w:val="center"/>
        <w:rPr>
          <w:szCs w:val="24"/>
        </w:rPr>
      </w:pPr>
      <w:r w:rsidRPr="000A713B">
        <w:rPr>
          <w:szCs w:val="24"/>
        </w:rPr>
        <w:t>uzavřená podle § 2586 a následujících zákona č. 89/2012 Sb., občanského zákoníku, v platném znění (dále jen „občanský zákoník“)</w:t>
      </w:r>
    </w:p>
    <w:p w14:paraId="31ACC34B" w14:textId="77777777" w:rsidR="00A40305" w:rsidRDefault="00A40305" w:rsidP="00A40305">
      <w:pPr>
        <w:pStyle w:val="lnek"/>
        <w:spacing w:before="360" w:after="0"/>
      </w:pPr>
      <w:r>
        <w:lastRenderedPageBreak/>
        <w:t>Článek I.</w:t>
      </w:r>
    </w:p>
    <w:p w14:paraId="4BCCDECD" w14:textId="77777777" w:rsidR="00A40305" w:rsidRDefault="00A40305" w:rsidP="00A40305">
      <w:pPr>
        <w:pStyle w:val="Smluvnistrana"/>
        <w:jc w:val="center"/>
        <w:rPr>
          <w:sz w:val="32"/>
        </w:rPr>
      </w:pPr>
      <w:r>
        <w:rPr>
          <w:sz w:val="32"/>
        </w:rPr>
        <w:t>Smluvní strany</w:t>
      </w:r>
    </w:p>
    <w:p w14:paraId="0D8C2E0D" w14:textId="77777777" w:rsidR="00A40305" w:rsidRDefault="00A40305" w:rsidP="00A40305">
      <w:pPr>
        <w:pStyle w:val="Smluvnistrana"/>
      </w:pPr>
    </w:p>
    <w:p w14:paraId="55CF5873" w14:textId="77777777" w:rsidR="00A40305" w:rsidRDefault="00A40305" w:rsidP="00A40305">
      <w:pPr>
        <w:pStyle w:val="Smluvnistrana"/>
      </w:pPr>
      <w:r>
        <w:t>Objednatel:</w:t>
      </w:r>
    </w:p>
    <w:p w14:paraId="0E8128AB" w14:textId="77777777" w:rsidR="00A40305" w:rsidRDefault="00A40305" w:rsidP="00A40305">
      <w:pPr>
        <w:pStyle w:val="Smluvnistrana"/>
      </w:pPr>
      <w:r>
        <w:t>GasNet, s.r.o.</w:t>
      </w:r>
    </w:p>
    <w:tbl>
      <w:tblPr>
        <w:tblW w:w="9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155"/>
      </w:tblGrid>
      <w:tr w:rsidR="00A40305" w14:paraId="392D08E3" w14:textId="77777777" w:rsidTr="00DA2574">
        <w:tc>
          <w:tcPr>
            <w:tcW w:w="2268" w:type="dxa"/>
          </w:tcPr>
          <w:p w14:paraId="0C01E963" w14:textId="77777777" w:rsidR="00A40305" w:rsidRDefault="00A40305" w:rsidP="00DA2574">
            <w:pPr>
              <w:pStyle w:val="Hlavicka"/>
            </w:pPr>
            <w:r>
              <w:t>se sídlem:</w:t>
            </w:r>
          </w:p>
        </w:tc>
        <w:tc>
          <w:tcPr>
            <w:tcW w:w="7155" w:type="dxa"/>
          </w:tcPr>
          <w:p w14:paraId="40633675" w14:textId="77777777" w:rsidR="00A40305" w:rsidRDefault="00A40305" w:rsidP="00DA2574">
            <w:pPr>
              <w:pStyle w:val="Hlavicka"/>
            </w:pPr>
            <w:r>
              <w:t>Klíšská 940/96, Klíše, 400 01 Ústí nad Labem</w:t>
            </w:r>
          </w:p>
        </w:tc>
      </w:tr>
      <w:tr w:rsidR="00A40305" w14:paraId="7CD6B46E" w14:textId="77777777" w:rsidTr="00DA2574">
        <w:tc>
          <w:tcPr>
            <w:tcW w:w="2268" w:type="dxa"/>
          </w:tcPr>
          <w:p w14:paraId="0FBAB2E7" w14:textId="77777777" w:rsidR="00A40305" w:rsidRDefault="00A40305" w:rsidP="00DA2574">
            <w:pPr>
              <w:pStyle w:val="Hlavicka"/>
            </w:pPr>
            <w:r>
              <w:t>zápis v OR:</w:t>
            </w:r>
          </w:p>
        </w:tc>
        <w:tc>
          <w:tcPr>
            <w:tcW w:w="7155" w:type="dxa"/>
          </w:tcPr>
          <w:p w14:paraId="086DF182" w14:textId="77777777" w:rsidR="00A40305" w:rsidRDefault="00A40305" w:rsidP="00DA2574">
            <w:pPr>
              <w:pStyle w:val="Hlavicka"/>
            </w:pPr>
            <w:r>
              <w:t>2. června 2006, zapsána v obchodním rejstříku, vedeném Krajským soudem v Ústí nad Labem, sp. zn. C 23083</w:t>
            </w:r>
          </w:p>
        </w:tc>
      </w:tr>
      <w:tr w:rsidR="00A40305" w14:paraId="6E780251" w14:textId="77777777" w:rsidTr="00DA2574">
        <w:tc>
          <w:tcPr>
            <w:tcW w:w="2268" w:type="dxa"/>
          </w:tcPr>
          <w:p w14:paraId="53D4E69B" w14:textId="77777777" w:rsidR="00A40305" w:rsidRDefault="00A40305" w:rsidP="00DA2574">
            <w:pPr>
              <w:pStyle w:val="Hlavicka"/>
            </w:pPr>
            <w:r>
              <w:t>IČ:</w:t>
            </w:r>
          </w:p>
        </w:tc>
        <w:tc>
          <w:tcPr>
            <w:tcW w:w="7155" w:type="dxa"/>
          </w:tcPr>
          <w:p w14:paraId="299FB1E2" w14:textId="77777777" w:rsidR="00A40305" w:rsidRDefault="00A40305" w:rsidP="00DA2574">
            <w:pPr>
              <w:pStyle w:val="Hlavicka"/>
            </w:pPr>
            <w:r>
              <w:t>27295567</w:t>
            </w:r>
          </w:p>
        </w:tc>
      </w:tr>
      <w:tr w:rsidR="00A40305" w14:paraId="2D988515" w14:textId="77777777" w:rsidTr="00DA2574">
        <w:tc>
          <w:tcPr>
            <w:tcW w:w="2268" w:type="dxa"/>
          </w:tcPr>
          <w:p w14:paraId="0CFDC7C1" w14:textId="77777777" w:rsidR="00A40305" w:rsidRDefault="00A40305" w:rsidP="00DA2574">
            <w:pPr>
              <w:pStyle w:val="Hlavicka"/>
            </w:pPr>
            <w:r>
              <w:t>DIČ:</w:t>
            </w:r>
          </w:p>
        </w:tc>
        <w:tc>
          <w:tcPr>
            <w:tcW w:w="7155" w:type="dxa"/>
          </w:tcPr>
          <w:p w14:paraId="7EE4E0FF" w14:textId="77777777" w:rsidR="00A40305" w:rsidRDefault="00A40305" w:rsidP="00DA2574">
            <w:pPr>
              <w:pStyle w:val="Hlavicka"/>
            </w:pPr>
            <w:r>
              <w:t>CZ27295567</w:t>
            </w:r>
          </w:p>
        </w:tc>
      </w:tr>
      <w:tr w:rsidR="00A40305" w14:paraId="261BB987" w14:textId="77777777" w:rsidTr="00DA2574">
        <w:tc>
          <w:tcPr>
            <w:tcW w:w="2268" w:type="dxa"/>
          </w:tcPr>
          <w:p w14:paraId="4F364694" w14:textId="77777777" w:rsidR="00A40305" w:rsidRDefault="00A40305" w:rsidP="00DA2574">
            <w:pPr>
              <w:pStyle w:val="Hlavicka"/>
            </w:pPr>
            <w:r>
              <w:t>bankovní spojení:</w:t>
            </w:r>
          </w:p>
        </w:tc>
        <w:tc>
          <w:tcPr>
            <w:tcW w:w="7155" w:type="dxa"/>
          </w:tcPr>
          <w:p w14:paraId="703E6E56" w14:textId="77777777" w:rsidR="00A40305" w:rsidRDefault="00A40305" w:rsidP="00DA2574">
            <w:pPr>
              <w:pStyle w:val="Hlavicka"/>
            </w:pPr>
            <w:r>
              <w:t>Československá obchodní banka, a.s.</w:t>
            </w:r>
          </w:p>
        </w:tc>
      </w:tr>
      <w:tr w:rsidR="00A40305" w14:paraId="04739FC8" w14:textId="77777777" w:rsidTr="00DA2574">
        <w:tc>
          <w:tcPr>
            <w:tcW w:w="2268" w:type="dxa"/>
          </w:tcPr>
          <w:p w14:paraId="10A93342" w14:textId="77777777" w:rsidR="00A40305" w:rsidRDefault="00A40305" w:rsidP="00DA2574">
            <w:pPr>
              <w:pStyle w:val="Hlavicka"/>
            </w:pPr>
          </w:p>
        </w:tc>
        <w:tc>
          <w:tcPr>
            <w:tcW w:w="7155" w:type="dxa"/>
          </w:tcPr>
          <w:p w14:paraId="46201BD4" w14:textId="1EF4BA0C" w:rsidR="00A40305" w:rsidRDefault="00A40305" w:rsidP="00DA2574">
            <w:pPr>
              <w:pStyle w:val="Hlavicka"/>
            </w:pPr>
            <w:r>
              <w:t xml:space="preserve">č. ú.: </w:t>
            </w:r>
            <w:r w:rsidR="00BF4331" w:rsidRPr="00BF4331">
              <w:rPr>
                <w:highlight w:val="black"/>
              </w:rPr>
              <w:t>xxxxxxxxx</w:t>
            </w:r>
            <w:r w:rsidRPr="00BF4331">
              <w:rPr>
                <w:highlight w:val="black"/>
              </w:rPr>
              <w:t>/</w:t>
            </w:r>
            <w:r w:rsidR="00BF4331" w:rsidRPr="00BF4331">
              <w:rPr>
                <w:highlight w:val="black"/>
              </w:rPr>
              <w:t>xxxx</w:t>
            </w:r>
          </w:p>
          <w:p w14:paraId="58D87E56" w14:textId="77777777" w:rsidR="00A40305" w:rsidRDefault="00A40305" w:rsidP="00DA2574">
            <w:pPr>
              <w:pStyle w:val="Hlavicka"/>
            </w:pPr>
          </w:p>
        </w:tc>
      </w:tr>
      <w:tr w:rsidR="00A40305" w14:paraId="0ED3D49E" w14:textId="77777777" w:rsidTr="00DA2574">
        <w:tc>
          <w:tcPr>
            <w:tcW w:w="2268" w:type="dxa"/>
          </w:tcPr>
          <w:p w14:paraId="62C57CC4" w14:textId="77777777" w:rsidR="00A40305" w:rsidRDefault="00A40305" w:rsidP="00DA2574">
            <w:pPr>
              <w:pStyle w:val="Hlavicka"/>
            </w:pPr>
            <w:r>
              <w:t>zastoupena:</w:t>
            </w:r>
          </w:p>
        </w:tc>
        <w:tc>
          <w:tcPr>
            <w:tcW w:w="7155" w:type="dxa"/>
          </w:tcPr>
          <w:p w14:paraId="0C21FC2C" w14:textId="2F631C44" w:rsidR="00A40305" w:rsidRPr="003174BD" w:rsidRDefault="00A40305" w:rsidP="00DA2574">
            <w:pPr>
              <w:rPr>
                <w:szCs w:val="20"/>
              </w:rPr>
            </w:pPr>
            <w:r w:rsidRPr="00A40305">
              <w:rPr>
                <w:szCs w:val="20"/>
              </w:rPr>
              <w:t xml:space="preserve">Thomasem Merkerem, jednatelem, a </w:t>
            </w:r>
            <w:r>
              <w:rPr>
                <w:szCs w:val="20"/>
              </w:rPr>
              <w:t>Pavlem Dočekalem</w:t>
            </w:r>
            <w:r w:rsidRPr="00A40305">
              <w:rPr>
                <w:szCs w:val="20"/>
              </w:rPr>
              <w:t xml:space="preserve">, jednatelem </w:t>
            </w:r>
          </w:p>
        </w:tc>
      </w:tr>
      <w:tr w:rsidR="00A40305" w14:paraId="4192B946" w14:textId="77777777" w:rsidTr="00DA2574">
        <w:tc>
          <w:tcPr>
            <w:tcW w:w="2268" w:type="dxa"/>
          </w:tcPr>
          <w:p w14:paraId="6F906073" w14:textId="77777777" w:rsidR="00A40305" w:rsidRDefault="00A40305" w:rsidP="00DA2574">
            <w:pPr>
              <w:pStyle w:val="Hlavicka"/>
            </w:pPr>
            <w:r>
              <w:t>(dále též „GasNet“)</w:t>
            </w:r>
          </w:p>
        </w:tc>
        <w:tc>
          <w:tcPr>
            <w:tcW w:w="7155" w:type="dxa"/>
          </w:tcPr>
          <w:p w14:paraId="10D11EAE" w14:textId="77777777" w:rsidR="00A40305" w:rsidRDefault="00A40305" w:rsidP="00DA2574">
            <w:pPr>
              <w:pStyle w:val="Hlavicka"/>
            </w:pPr>
          </w:p>
        </w:tc>
      </w:tr>
    </w:tbl>
    <w:p w14:paraId="34DA97E2" w14:textId="77777777" w:rsidR="00A40305" w:rsidRDefault="00A40305" w:rsidP="00A40305">
      <w:pPr>
        <w:pStyle w:val="Smluvnistrana"/>
      </w:pPr>
    </w:p>
    <w:p w14:paraId="410190B1" w14:textId="77777777" w:rsidR="00A40305" w:rsidRDefault="00A40305" w:rsidP="00A40305">
      <w:pPr>
        <w:pStyle w:val="Smluvnistrana"/>
      </w:pPr>
      <w:r>
        <w:t>Zhotovitel:</w:t>
      </w:r>
    </w:p>
    <w:p w14:paraId="7418BD19" w14:textId="77777777" w:rsidR="00A40305" w:rsidRDefault="00A40305" w:rsidP="00A40305">
      <w:pPr>
        <w:pStyle w:val="Smluvnistrana"/>
      </w:pPr>
    </w:p>
    <w:p w14:paraId="741B7060" w14:textId="1488EEAB" w:rsidR="00A40305" w:rsidRPr="00FE744C" w:rsidRDefault="00A40305" w:rsidP="00A40305">
      <w:pPr>
        <w:pStyle w:val="Smluvnistrana"/>
        <w:jc w:val="left"/>
      </w:pPr>
      <w:r>
        <w:t>Ústav informatiky AV ČR, v. v. i.</w:t>
      </w:r>
    </w:p>
    <w:tbl>
      <w:tblPr>
        <w:tblW w:w="9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155"/>
      </w:tblGrid>
      <w:tr w:rsidR="00A40305" w14:paraId="36D56CB0" w14:textId="77777777" w:rsidTr="00DA2574">
        <w:tc>
          <w:tcPr>
            <w:tcW w:w="2268" w:type="dxa"/>
          </w:tcPr>
          <w:p w14:paraId="5BB2FC4C" w14:textId="77777777" w:rsidR="00A40305" w:rsidRDefault="00A40305" w:rsidP="00DA2574">
            <w:pPr>
              <w:pStyle w:val="Hlavicka"/>
            </w:pPr>
            <w:r>
              <w:t>se sídlem:</w:t>
            </w:r>
          </w:p>
        </w:tc>
        <w:tc>
          <w:tcPr>
            <w:tcW w:w="7155" w:type="dxa"/>
          </w:tcPr>
          <w:p w14:paraId="7C85DF53" w14:textId="7462856B" w:rsidR="00A40305" w:rsidRDefault="00A40305" w:rsidP="00DA2574">
            <w:pPr>
              <w:pStyle w:val="Hlavicka"/>
            </w:pPr>
            <w:r w:rsidRPr="00A40305">
              <w:t>Pod Vodárenskou věží 2, 182 07 Praha 8</w:t>
            </w:r>
          </w:p>
        </w:tc>
      </w:tr>
      <w:tr w:rsidR="00A40305" w14:paraId="397D861D" w14:textId="77777777" w:rsidTr="00DA2574">
        <w:tc>
          <w:tcPr>
            <w:tcW w:w="2268" w:type="dxa"/>
          </w:tcPr>
          <w:p w14:paraId="34B76764" w14:textId="77777777" w:rsidR="00A40305" w:rsidRDefault="00A40305" w:rsidP="00DA2574">
            <w:pPr>
              <w:pStyle w:val="Hlavicka"/>
            </w:pPr>
            <w:r>
              <w:t>IČ:</w:t>
            </w:r>
          </w:p>
        </w:tc>
        <w:tc>
          <w:tcPr>
            <w:tcW w:w="7155" w:type="dxa"/>
          </w:tcPr>
          <w:p w14:paraId="7B063DCB" w14:textId="6F6C8535" w:rsidR="00A40305" w:rsidRDefault="00A40305" w:rsidP="00DA2574">
            <w:pPr>
              <w:pStyle w:val="Hlavicka"/>
            </w:pPr>
            <w:r w:rsidRPr="00A40305">
              <w:t>67985807</w:t>
            </w:r>
          </w:p>
        </w:tc>
      </w:tr>
      <w:tr w:rsidR="00A40305" w14:paraId="1B885E17" w14:textId="77777777" w:rsidTr="00DA2574">
        <w:tc>
          <w:tcPr>
            <w:tcW w:w="2268" w:type="dxa"/>
          </w:tcPr>
          <w:p w14:paraId="1F8ED9A2" w14:textId="77777777" w:rsidR="00A40305" w:rsidRDefault="00A40305" w:rsidP="00DA2574">
            <w:pPr>
              <w:pStyle w:val="Hlavicka"/>
            </w:pPr>
            <w:r>
              <w:t>DIČ:</w:t>
            </w:r>
          </w:p>
        </w:tc>
        <w:tc>
          <w:tcPr>
            <w:tcW w:w="7155" w:type="dxa"/>
          </w:tcPr>
          <w:p w14:paraId="463FE030" w14:textId="6B8B97C0" w:rsidR="00A40305" w:rsidRDefault="00A40305" w:rsidP="00DA2574">
            <w:pPr>
              <w:pStyle w:val="Hlavicka"/>
            </w:pPr>
            <w:r>
              <w:t>CZ</w:t>
            </w:r>
            <w:r w:rsidRPr="00A40305">
              <w:t>67985807</w:t>
            </w:r>
          </w:p>
        </w:tc>
      </w:tr>
      <w:tr w:rsidR="00A40305" w14:paraId="6EB4A84C" w14:textId="77777777" w:rsidTr="00DA2574">
        <w:tc>
          <w:tcPr>
            <w:tcW w:w="2268" w:type="dxa"/>
          </w:tcPr>
          <w:p w14:paraId="598E6B3A" w14:textId="77777777" w:rsidR="00A40305" w:rsidRDefault="00A40305" w:rsidP="00DA2574">
            <w:pPr>
              <w:pStyle w:val="Hlavicka"/>
            </w:pPr>
            <w:r>
              <w:t>bankovní spojení:</w:t>
            </w:r>
          </w:p>
        </w:tc>
        <w:tc>
          <w:tcPr>
            <w:tcW w:w="7155" w:type="dxa"/>
          </w:tcPr>
          <w:p w14:paraId="47B465DD" w14:textId="168FD045" w:rsidR="00A40305" w:rsidRDefault="00BF4331" w:rsidP="00DA2574">
            <w:pPr>
              <w:pStyle w:val="Hlavicka"/>
            </w:pPr>
            <w:r>
              <w:t>Československá obchodní banka, a.s. Na Stírce, Praha 8</w:t>
            </w:r>
          </w:p>
        </w:tc>
      </w:tr>
      <w:tr w:rsidR="00A40305" w14:paraId="64F0F6DD" w14:textId="77777777" w:rsidTr="00DA2574">
        <w:tc>
          <w:tcPr>
            <w:tcW w:w="2268" w:type="dxa"/>
          </w:tcPr>
          <w:p w14:paraId="23A963B9" w14:textId="77777777" w:rsidR="00A40305" w:rsidRDefault="00A40305" w:rsidP="00DA2574">
            <w:pPr>
              <w:pStyle w:val="Hlavicka"/>
            </w:pPr>
          </w:p>
        </w:tc>
        <w:tc>
          <w:tcPr>
            <w:tcW w:w="7155" w:type="dxa"/>
          </w:tcPr>
          <w:p w14:paraId="34636A47" w14:textId="28997542" w:rsidR="00A40305" w:rsidRDefault="00BF4331" w:rsidP="00DA2574">
            <w:pPr>
              <w:pStyle w:val="Hlavicka"/>
            </w:pPr>
            <w:r>
              <w:t xml:space="preserve">č. ú.: </w:t>
            </w:r>
            <w:r w:rsidRPr="00BF4331">
              <w:rPr>
                <w:highlight w:val="black"/>
              </w:rPr>
              <w:t>xxxxxxxxx</w:t>
            </w:r>
          </w:p>
        </w:tc>
      </w:tr>
      <w:tr w:rsidR="00A40305" w14:paraId="5F3E220A" w14:textId="77777777" w:rsidTr="00DA2574">
        <w:tc>
          <w:tcPr>
            <w:tcW w:w="2268" w:type="dxa"/>
          </w:tcPr>
          <w:p w14:paraId="0B3B6AA8" w14:textId="3DE28518" w:rsidR="00A40305" w:rsidRPr="00962616" w:rsidRDefault="00DA2574" w:rsidP="00DA2574">
            <w:pPr>
              <w:pStyle w:val="Hlavicka"/>
            </w:pPr>
            <w:r w:rsidRPr="00962616">
              <w:t>zastoupen</w:t>
            </w:r>
            <w:r>
              <w:t>a</w:t>
            </w:r>
            <w:r w:rsidR="00A40305" w:rsidRPr="00962616">
              <w:t>:</w:t>
            </w:r>
          </w:p>
        </w:tc>
        <w:tc>
          <w:tcPr>
            <w:tcW w:w="7155" w:type="dxa"/>
          </w:tcPr>
          <w:p w14:paraId="017777DE" w14:textId="7E89003F" w:rsidR="00A40305" w:rsidRPr="00962616" w:rsidRDefault="003E63C2" w:rsidP="00DA2574">
            <w:pPr>
              <w:pStyle w:val="Hlavicka"/>
              <w:rPr>
                <w:szCs w:val="24"/>
              </w:rPr>
            </w:pPr>
            <w:r>
              <w:rPr>
                <w:szCs w:val="24"/>
              </w:rPr>
              <w:t>doc</w:t>
            </w:r>
            <w:r w:rsidR="00A40305" w:rsidRPr="00962616">
              <w:rPr>
                <w:szCs w:val="24"/>
              </w:rPr>
              <w:t xml:space="preserve">. Ing. </w:t>
            </w:r>
            <w:r>
              <w:rPr>
                <w:color w:val="000000"/>
                <w:szCs w:val="24"/>
              </w:rPr>
              <w:t>Petrem Cintulou</w:t>
            </w:r>
            <w:r w:rsidR="00A40305" w:rsidRPr="00962616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>Ph.D</w:t>
            </w:r>
            <w:r w:rsidR="00A40305" w:rsidRPr="00962616">
              <w:rPr>
                <w:color w:val="000000"/>
                <w:szCs w:val="24"/>
              </w:rPr>
              <w:t>.</w:t>
            </w:r>
            <w:r w:rsidR="00A40305" w:rsidRPr="00962616">
              <w:rPr>
                <w:szCs w:val="24"/>
              </w:rPr>
              <w:t xml:space="preserve">, ředitelem </w:t>
            </w:r>
            <w:r>
              <w:rPr>
                <w:szCs w:val="24"/>
              </w:rPr>
              <w:t>ústavu</w:t>
            </w:r>
          </w:p>
        </w:tc>
      </w:tr>
      <w:tr w:rsidR="00A40305" w14:paraId="5D8924B4" w14:textId="77777777" w:rsidTr="00DA2574">
        <w:tc>
          <w:tcPr>
            <w:tcW w:w="9423" w:type="dxa"/>
            <w:gridSpan w:val="2"/>
          </w:tcPr>
          <w:p w14:paraId="6DACC1C8" w14:textId="69BF0D3A" w:rsidR="00A40305" w:rsidRDefault="00A40305" w:rsidP="00DA2574">
            <w:pPr>
              <w:pStyle w:val="Hlavicka"/>
            </w:pPr>
            <w:r w:rsidRPr="00962616">
              <w:t xml:space="preserve">(dále </w:t>
            </w:r>
            <w:r>
              <w:t>též „UI AV“</w:t>
            </w:r>
            <w:r w:rsidRPr="00962616">
              <w:t>)</w:t>
            </w:r>
          </w:p>
          <w:p w14:paraId="17930D65" w14:textId="77777777" w:rsidR="00A40305" w:rsidRDefault="00A40305" w:rsidP="00DA2574">
            <w:pPr>
              <w:pStyle w:val="Hlavicka"/>
            </w:pPr>
          </w:p>
          <w:p w14:paraId="7F75995B" w14:textId="29B1BC2C" w:rsidR="00A40305" w:rsidRPr="00962616" w:rsidRDefault="00A40305" w:rsidP="00DA2574">
            <w:pPr>
              <w:pStyle w:val="Hlavicka"/>
            </w:pPr>
            <w:r>
              <w:t>(GasNet a UI AV společně též „smluvní strany“)</w:t>
            </w:r>
          </w:p>
        </w:tc>
      </w:tr>
    </w:tbl>
    <w:p w14:paraId="7151F5EA" w14:textId="77777777" w:rsidR="00A40305" w:rsidRDefault="00A40305" w:rsidP="00A40305">
      <w:pPr>
        <w:pStyle w:val="lnek"/>
        <w:spacing w:before="360" w:after="0"/>
      </w:pPr>
      <w:r>
        <w:t>Článek II.</w:t>
      </w:r>
    </w:p>
    <w:p w14:paraId="7053FAC1" w14:textId="77777777" w:rsidR="00A40305" w:rsidRDefault="00A40305" w:rsidP="00A40305">
      <w:pPr>
        <w:pStyle w:val="lnek"/>
        <w:spacing w:before="120" w:after="360"/>
      </w:pPr>
      <w:r>
        <w:t>Předmět smlouvy</w:t>
      </w:r>
    </w:p>
    <w:p w14:paraId="60C7BBEB" w14:textId="20D26577" w:rsidR="00A40305" w:rsidRDefault="00A40305" w:rsidP="00A40305">
      <w:pPr>
        <w:pStyle w:val="Zkladntext"/>
        <w:numPr>
          <w:ilvl w:val="0"/>
          <w:numId w:val="0"/>
        </w:numPr>
      </w:pPr>
      <w:r>
        <w:t xml:space="preserve">Předmětem této smlouvy je závazek UI AV provádět další rozvoj a údržbu stávajících matematických modelů a postupů, které byly vypracovány </w:t>
      </w:r>
      <w:r w:rsidR="00A5488B">
        <w:t>v rámci řešení</w:t>
      </w:r>
      <w:r w:rsidR="00DA2574">
        <w:t xml:space="preserve"> projektu</w:t>
      </w:r>
      <w:r w:rsidR="00A5488B">
        <w:t xml:space="preserve"> Grantové agentury AV ČR číslo </w:t>
      </w:r>
      <w:r w:rsidR="009D130E">
        <w:t>1ET400</w:t>
      </w:r>
      <w:r w:rsidR="00D14D31">
        <w:t xml:space="preserve">300513 </w:t>
      </w:r>
      <w:r>
        <w:t>s výstupy ve formě software a dílčích studií, z nichž některé budou využitelné déle než jeden rok.</w:t>
      </w:r>
    </w:p>
    <w:p w14:paraId="6980FF4F" w14:textId="77777777" w:rsidR="00A40305" w:rsidRDefault="00A40305" w:rsidP="00A40305">
      <w:pPr>
        <w:pStyle w:val="lnek"/>
        <w:spacing w:before="360" w:after="0"/>
      </w:pPr>
      <w:r>
        <w:lastRenderedPageBreak/>
        <w:t>Článek III.</w:t>
      </w:r>
    </w:p>
    <w:p w14:paraId="14CF6AD8" w14:textId="77777777" w:rsidR="00A40305" w:rsidRDefault="00A40305" w:rsidP="00A40305">
      <w:pPr>
        <w:pStyle w:val="lnek"/>
        <w:spacing w:before="120" w:after="360"/>
      </w:pPr>
      <w:r>
        <w:t xml:space="preserve">Údržba a další rozvoj </w:t>
      </w:r>
    </w:p>
    <w:p w14:paraId="74429E95" w14:textId="5580F6F5" w:rsidR="00A40305" w:rsidRDefault="00A40305" w:rsidP="00A40305">
      <w:pPr>
        <w:pStyle w:val="Zkladntext"/>
        <w:numPr>
          <w:ilvl w:val="0"/>
          <w:numId w:val="0"/>
        </w:numPr>
      </w:pPr>
      <w:r>
        <w:t>UI AV se zavazuje provádět činnosti směřující k účinnému využívání matematických modelů a postupů a jejich další rozvoj v GasNet, a to zejména pro následující úlohy:</w:t>
      </w:r>
    </w:p>
    <w:p w14:paraId="3ACAAA39" w14:textId="77777777" w:rsidR="00A40305" w:rsidRDefault="00A40305" w:rsidP="00A40305">
      <w:pPr>
        <w:pStyle w:val="Zkladntext"/>
        <w:numPr>
          <w:ilvl w:val="0"/>
          <w:numId w:val="0"/>
        </w:numPr>
      </w:pPr>
    </w:p>
    <w:p w14:paraId="0BF11C5C" w14:textId="77777777" w:rsidR="00A40305" w:rsidRDefault="00A40305" w:rsidP="00A40305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Využití statistických postupů pro</w:t>
      </w:r>
    </w:p>
    <w:p w14:paraId="3BD9AC1F" w14:textId="77777777" w:rsidR="00A40305" w:rsidRDefault="00A40305" w:rsidP="00A40305">
      <w:pPr>
        <w:pStyle w:val="Odstavecseseznamem1"/>
        <w:numPr>
          <w:ilvl w:val="1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983B78">
        <w:rPr>
          <w:rFonts w:ascii="Times New Roman" w:hAnsi="Times New Roman"/>
          <w:sz w:val="24"/>
        </w:rPr>
        <w:t>rostorovou analýzu vztahu ztrát v síti a doprovodných technických a ekonomických parametrů sítě</w:t>
      </w:r>
      <w:r>
        <w:rPr>
          <w:rFonts w:ascii="Times New Roman" w:hAnsi="Times New Roman"/>
          <w:sz w:val="24"/>
        </w:rPr>
        <w:t>,</w:t>
      </w:r>
    </w:p>
    <w:p w14:paraId="28ACEBAB" w14:textId="77777777" w:rsidR="00A40305" w:rsidRPr="0066201B" w:rsidRDefault="00A40305" w:rsidP="00A40305">
      <w:pPr>
        <w:pStyle w:val="Odstavecseseznamem1"/>
        <w:numPr>
          <w:ilvl w:val="1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modelování vztahu ztrát v síti a venkovní teploty </w:t>
      </w:r>
      <w:r w:rsidRPr="0066201B">
        <w:rPr>
          <w:rFonts w:ascii="Times New Roman" w:hAnsi="Times New Roman"/>
          <w:sz w:val="24"/>
        </w:rPr>
        <w:t>včetně tvorby modelu pro extrapolaci</w:t>
      </w:r>
      <w:r>
        <w:rPr>
          <w:rFonts w:ascii="Times New Roman" w:hAnsi="Times New Roman"/>
          <w:sz w:val="24"/>
        </w:rPr>
        <w:t xml:space="preserve"> nevalidních období měření z RS,</w:t>
      </w:r>
    </w:p>
    <w:p w14:paraId="0CD9C0C3" w14:textId="77777777" w:rsidR="00A40305" w:rsidRDefault="00A40305" w:rsidP="00A40305">
      <w:pPr>
        <w:pStyle w:val="Odstavecseseznamem1"/>
        <w:numPr>
          <w:ilvl w:val="1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analýzu trendového chování spotřebitelů v čase a odhady mezních limitů detekovaného snižování spotřeby,</w:t>
      </w:r>
    </w:p>
    <w:p w14:paraId="18C4B0D0" w14:textId="77777777" w:rsidR="00A40305" w:rsidRPr="00A9039F" w:rsidRDefault="00A40305" w:rsidP="00A40305">
      <w:pPr>
        <w:pStyle w:val="Odstavecseseznamem1"/>
        <w:numPr>
          <w:ilvl w:val="1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983B78">
        <w:rPr>
          <w:rFonts w:ascii="Times New Roman" w:hAnsi="Times New Roman"/>
          <w:sz w:val="24"/>
        </w:rPr>
        <w:t>efinici ideální veličiny venkovní teploty pro plynárenství a analýzu v</w:t>
      </w:r>
      <w:r>
        <w:rPr>
          <w:rFonts w:ascii="Times New Roman" w:hAnsi="Times New Roman"/>
          <w:sz w:val="24"/>
        </w:rPr>
        <w:t>hodného detailu pro predikční úlohy.</w:t>
      </w:r>
    </w:p>
    <w:p w14:paraId="4CBFE956" w14:textId="77777777" w:rsidR="00A40305" w:rsidRPr="001112AE" w:rsidRDefault="00A40305" w:rsidP="00A40305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1112AE">
        <w:rPr>
          <w:rFonts w:ascii="Times New Roman" w:hAnsi="Times New Roman"/>
          <w:sz w:val="24"/>
        </w:rPr>
        <w:t>Zpracování grafických a mapových zobrazení výstupů z</w:t>
      </w:r>
      <w:r>
        <w:rPr>
          <w:rFonts w:ascii="Times New Roman" w:hAnsi="Times New Roman"/>
          <w:sz w:val="24"/>
        </w:rPr>
        <w:t> vybraných úloh.</w:t>
      </w:r>
    </w:p>
    <w:p w14:paraId="796776E8" w14:textId="77777777" w:rsidR="00A40305" w:rsidRPr="00261A15" w:rsidRDefault="00A40305" w:rsidP="00A40305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261A15">
        <w:rPr>
          <w:rFonts w:ascii="Times New Roman" w:hAnsi="Times New Roman"/>
          <w:sz w:val="24"/>
        </w:rPr>
        <w:t>Tvorba uživatelské dokumentace všech funkčních verzí navržených modelů.</w:t>
      </w:r>
    </w:p>
    <w:p w14:paraId="1149AD5A" w14:textId="77777777" w:rsidR="00A40305" w:rsidRDefault="00A40305" w:rsidP="00A40305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Proškolení uživatelů modelů na straně GasNet. Obsah školení, dobu trvání a termín konání si smluvní strany předem dohodnou.</w:t>
      </w:r>
    </w:p>
    <w:p w14:paraId="528C0DF7" w14:textId="77777777" w:rsidR="00A40305" w:rsidRDefault="00A40305" w:rsidP="00A40305"/>
    <w:p w14:paraId="6200A661" w14:textId="3AE35554" w:rsidR="00A40305" w:rsidRDefault="00A40305" w:rsidP="00A40305">
      <w:pPr>
        <w:keepNext/>
        <w:spacing w:before="120"/>
        <w:ind w:left="180"/>
      </w:pPr>
      <w:r>
        <w:t xml:space="preserve">Veškeré činnosti specifikované v tomto článku budou ze strany UI AV poskytovány na základě požadavků a příslušné podrobnější specifikace ze strany GasNet. </w:t>
      </w:r>
    </w:p>
    <w:p w14:paraId="4DFBB56C" w14:textId="77777777" w:rsidR="00A40305" w:rsidRDefault="00A40305" w:rsidP="00A40305">
      <w:pPr>
        <w:keepNext/>
        <w:spacing w:before="120"/>
        <w:ind w:left="180"/>
      </w:pPr>
    </w:p>
    <w:p w14:paraId="4C6BD670" w14:textId="77777777" w:rsidR="00A40305" w:rsidRDefault="00A40305" w:rsidP="00A40305">
      <w:pPr>
        <w:pStyle w:val="lnek"/>
        <w:spacing w:before="360" w:after="0"/>
      </w:pPr>
      <w:r>
        <w:t>Článek IV.</w:t>
      </w:r>
    </w:p>
    <w:p w14:paraId="600E573C" w14:textId="3759602E" w:rsidR="00A40305" w:rsidRDefault="00A40305" w:rsidP="00A40305">
      <w:pPr>
        <w:pStyle w:val="lnek"/>
        <w:spacing w:before="120" w:after="360"/>
        <w:rPr>
          <w:szCs w:val="24"/>
        </w:rPr>
      </w:pPr>
      <w:r>
        <w:t>Práva a povinnosti</w:t>
      </w:r>
      <w:r>
        <w:rPr>
          <w:szCs w:val="24"/>
        </w:rPr>
        <w:t xml:space="preserve"> UI AV</w:t>
      </w:r>
    </w:p>
    <w:p w14:paraId="21357CC1" w14:textId="4C5368FD" w:rsidR="00A40305" w:rsidRDefault="00A40305" w:rsidP="001A5E6B">
      <w:pPr>
        <w:pStyle w:val="Zkladntext"/>
        <w:numPr>
          <w:ilvl w:val="0"/>
          <w:numId w:val="11"/>
        </w:numPr>
      </w:pPr>
      <w:r>
        <w:t xml:space="preserve">UI AV se zavazuje, že bude důvěrně nakládat se všemi informacemi, které </w:t>
      </w:r>
      <w:r w:rsidR="00DA2574">
        <w:t xml:space="preserve">jí </w:t>
      </w:r>
      <w:r>
        <w:t>budou poskytnuty</w:t>
      </w:r>
      <w:r w:rsidR="00DA2574">
        <w:t xml:space="preserve"> ze strany</w:t>
      </w:r>
      <w:r>
        <w:t xml:space="preserve"> GasNet, či se s nimi jinak seznámí, a které nejsou veřejně přístupné, jako s informacemi důvěrnými, že je nepoužije jinak než pro práce dle </w:t>
      </w:r>
      <w:r w:rsidR="00DA2574">
        <w:t>této</w:t>
      </w:r>
      <w:r>
        <w:t xml:space="preserve"> smlouvy, pokud GasNet předem písemně neudělí UI AV souhlas k jinému konkrétnímu využití či sdělení. UI AV se tímto zavazuje, že veškeré takové informace nepoužije ve svůj prospěch či pro účely jiné než sjednané v této smlouvě. </w:t>
      </w:r>
    </w:p>
    <w:p w14:paraId="1BFFB76E" w14:textId="70199AF9" w:rsidR="00A40305" w:rsidRDefault="00A40305" w:rsidP="001A5E6B">
      <w:pPr>
        <w:pStyle w:val="Zkladntext"/>
        <w:numPr>
          <w:ilvl w:val="0"/>
          <w:numId w:val="11"/>
        </w:numPr>
      </w:pPr>
      <w:r>
        <w:t xml:space="preserve">UI AV se dále zavazuje výše uvedené informace nesdělit a nezpřístupnit jiné osobě, či nevyužít v soutěži pro sebe nebo pro jiného, ať již úmyslně nebo z nedbalosti, zajistit utajení těchto informací, poskytnout je pouze těm svým zaměstnancům, kteří je musí znát pro plnění předmětu této smlouvy. UI AV je </w:t>
      </w:r>
      <w:r w:rsidR="00DA2574">
        <w:t xml:space="preserve">povinna </w:t>
      </w:r>
      <w:r>
        <w:t xml:space="preserve">zároveň zajistit, aby </w:t>
      </w:r>
      <w:r w:rsidR="00DA2574">
        <w:t xml:space="preserve">její </w:t>
      </w:r>
      <w:r>
        <w:t xml:space="preserve">zaměstnanci či osoby s UI AV spolupracující zachovali mlčenlivost v souladu s touto smlouvou, bez souhlasu GasNet </w:t>
      </w:r>
      <w:r w:rsidR="00DA2574">
        <w:t>nereprodukovali</w:t>
      </w:r>
      <w:r>
        <w:t xml:space="preserve">, </w:t>
      </w:r>
      <w:r w:rsidR="00DA2574">
        <w:t xml:space="preserve">nepřepisovali </w:t>
      </w:r>
      <w:r>
        <w:t xml:space="preserve">a </w:t>
      </w:r>
      <w:r w:rsidR="00DA2574">
        <w:t xml:space="preserve">nekopírovali </w:t>
      </w:r>
      <w:r>
        <w:t>materiály obsahující informace specifikované výše, a to ani jako celek ani částečně. Smluvní strany se výslovně dohodly, že UI AV není oprávněn</w:t>
      </w:r>
      <w:r w:rsidR="00DA2574">
        <w:t>a</w:t>
      </w:r>
      <w:r>
        <w:t xml:space="preserve"> jakékoli informace dle čl. IV. odst. 1 této smlouvy či jejich libovolnou část zveřejnit v odborných publikacích, na vědeckých konferencích či jinak, a to ani v anonymizované podobě.</w:t>
      </w:r>
    </w:p>
    <w:p w14:paraId="3C2CBD18" w14:textId="215B29A3" w:rsidR="00A40305" w:rsidRDefault="00A40305" w:rsidP="001A5E6B">
      <w:pPr>
        <w:pStyle w:val="Zkladntext"/>
        <w:numPr>
          <w:ilvl w:val="0"/>
          <w:numId w:val="11"/>
        </w:numPr>
      </w:pPr>
      <w:r>
        <w:t xml:space="preserve">UI AV se zavazuje po ukončení smluvní spolupráce vrátit </w:t>
      </w:r>
      <w:r w:rsidR="00DA2574">
        <w:t xml:space="preserve">GasNet </w:t>
      </w:r>
      <w:r>
        <w:t>všechny materiály obsahující výše uvedené informace, které jsou v hmotné formě, a zničit všechny, které v hmotné formě nejsou.</w:t>
      </w:r>
    </w:p>
    <w:p w14:paraId="1B5F1C29" w14:textId="77777777" w:rsidR="00A40305" w:rsidRDefault="00A40305" w:rsidP="001A5E6B">
      <w:pPr>
        <w:pStyle w:val="Zkladntext"/>
        <w:numPr>
          <w:ilvl w:val="0"/>
          <w:numId w:val="11"/>
        </w:numPr>
      </w:pPr>
      <w:r>
        <w:t>Povinnost mlčenlivosti je časově neomezena, počíná dnem podpisu této smlouvy a trvá i po ukončení účinnosti této smlouvy.</w:t>
      </w:r>
    </w:p>
    <w:p w14:paraId="2AC80D97" w14:textId="77777777" w:rsidR="00A40305" w:rsidRDefault="00A40305" w:rsidP="001A5E6B">
      <w:pPr>
        <w:pStyle w:val="lnek"/>
        <w:spacing w:before="360" w:after="0"/>
      </w:pPr>
      <w:r>
        <w:t>Článek V.</w:t>
      </w:r>
    </w:p>
    <w:p w14:paraId="57BE1246" w14:textId="77777777" w:rsidR="00A40305" w:rsidRDefault="00A40305" w:rsidP="001A5E6B">
      <w:pPr>
        <w:pStyle w:val="lnek"/>
        <w:spacing w:before="360" w:after="0"/>
      </w:pPr>
      <w:r>
        <w:t>Práva a povinnosti GasNet</w:t>
      </w:r>
    </w:p>
    <w:p w14:paraId="31CFFF04" w14:textId="09B603F1" w:rsidR="00A40305" w:rsidRDefault="00A40305" w:rsidP="001A5E6B">
      <w:pPr>
        <w:pStyle w:val="Zkladntext"/>
        <w:numPr>
          <w:ilvl w:val="0"/>
          <w:numId w:val="18"/>
        </w:numPr>
      </w:pPr>
      <w:r>
        <w:t xml:space="preserve">GasNet se zavazuje poskytnout UI AV veškerá data a přiměřenou součinnost, která bude nezbytná pro plnění úkolů specifikovaných v této smlouvě. </w:t>
      </w:r>
    </w:p>
    <w:p w14:paraId="13771266" w14:textId="77777777" w:rsidR="00A40305" w:rsidRDefault="00A40305" w:rsidP="001A5E6B">
      <w:pPr>
        <w:pStyle w:val="Zkladntext"/>
        <w:numPr>
          <w:ilvl w:val="0"/>
          <w:numId w:val="18"/>
        </w:numPr>
      </w:pPr>
      <w:r>
        <w:t xml:space="preserve">GasNet se zavazuje využít informace získané v rámci plnění předmětu této smlouvy výhradně pro vlastní potřebu. GasNet je oprávněna vytvořenými matematickými modely zpracovávat data od jiných provozovatelů regionálních distribučních soustav skupiny v České republice a vzájemně porovnávat dosažené výsledky.  </w:t>
      </w:r>
    </w:p>
    <w:p w14:paraId="5A0993A4" w14:textId="0CE05415" w:rsidR="00A40305" w:rsidRDefault="00A40305" w:rsidP="001A5E6B">
      <w:pPr>
        <w:pStyle w:val="Zkladntext"/>
        <w:numPr>
          <w:ilvl w:val="0"/>
          <w:numId w:val="18"/>
        </w:numPr>
      </w:pPr>
      <w:r>
        <w:t>GasNet se zavazuje, že nebude bez</w:t>
      </w:r>
      <w:r w:rsidR="00DA2574">
        <w:t xml:space="preserve"> předchozího</w:t>
      </w:r>
      <w:r>
        <w:t xml:space="preserve"> písemného souhlasu UI AV poskytovat informace získané v rámci plnění předmětu této smlouvy jiným třetím stranám, </w:t>
      </w:r>
      <w:r w:rsidR="00DA2574">
        <w:t>kromě</w:t>
      </w:r>
      <w:r>
        <w:t xml:space="preserve"> </w:t>
      </w:r>
      <w:r w:rsidR="00DA2574">
        <w:t>subjektů</w:t>
      </w:r>
      <w:r>
        <w:t>, vůči kterým má GasNet informační povinnosti vyplývající z </w:t>
      </w:r>
      <w:r w:rsidR="00DA2574">
        <w:t xml:space="preserve">právních </w:t>
      </w:r>
      <w:r>
        <w:t>předpisů.</w:t>
      </w:r>
    </w:p>
    <w:p w14:paraId="3C71EA72" w14:textId="550265FC" w:rsidR="00A40305" w:rsidRDefault="00A40305" w:rsidP="001A5E6B">
      <w:pPr>
        <w:pStyle w:val="Zkladntext"/>
        <w:numPr>
          <w:ilvl w:val="0"/>
          <w:numId w:val="18"/>
        </w:numPr>
      </w:pPr>
      <w:r w:rsidRPr="001A5E6B">
        <w:t>GasNet souhlasí s tím, že obecné poznatky získané v rámci této smlouvy o dílo mohou být publikovány v odborných a vědeckých časopisech a prezentovány na vědeckých konferencích. UI AV</w:t>
      </w:r>
      <w:r>
        <w:t xml:space="preserve"> </w:t>
      </w:r>
      <w:r w:rsidRPr="001A5E6B">
        <w:t xml:space="preserve">se zavazuje, že v publikacích nebudou uvedeny informace, k jejichž publikaci </w:t>
      </w:r>
      <w:r>
        <w:t xml:space="preserve">GasNet neudělí předem písemný souhlas dle čl. IV. odst. 1 této smlouvy, </w:t>
      </w:r>
      <w:r w:rsidRPr="001A5E6B">
        <w:t>a že uvede v textu publikace, že jde o výsledky získané ve spolupráci s GasNet.</w:t>
      </w:r>
    </w:p>
    <w:p w14:paraId="793BF885" w14:textId="77777777" w:rsidR="00A40305" w:rsidRDefault="00A40305" w:rsidP="001A5E6B">
      <w:pPr>
        <w:pStyle w:val="lnek"/>
        <w:spacing w:before="360" w:after="0"/>
      </w:pPr>
      <w:r>
        <w:t>Článek VI.</w:t>
      </w:r>
    </w:p>
    <w:p w14:paraId="0CB9EFBE" w14:textId="77777777" w:rsidR="00A40305" w:rsidRDefault="00A40305" w:rsidP="001A5E6B">
      <w:pPr>
        <w:pStyle w:val="lnek"/>
        <w:spacing w:before="360" w:after="0"/>
      </w:pPr>
      <w:r>
        <w:t>Cena, fakturační a platební podmínky</w:t>
      </w:r>
    </w:p>
    <w:p w14:paraId="542F1561" w14:textId="142E9119" w:rsidR="00A40305" w:rsidRDefault="00A40305" w:rsidP="001A5E6B">
      <w:pPr>
        <w:pStyle w:val="Zkladntext"/>
        <w:numPr>
          <w:ilvl w:val="0"/>
          <w:numId w:val="19"/>
        </w:numPr>
      </w:pPr>
      <w:r>
        <w:t xml:space="preserve">GasNet se zavazuje platit UI AV za činnosti specifikované </w:t>
      </w:r>
      <w:r w:rsidR="00DA2574">
        <w:t xml:space="preserve">v </w:t>
      </w:r>
      <w:r>
        <w:t xml:space="preserve">článku III. této smlouvy paušální čtvrtletní cenu ve výši 250.000,-- Kč (slovy dvě </w:t>
      </w:r>
      <w:r w:rsidR="00DA2574">
        <w:t xml:space="preserve">stě </w:t>
      </w:r>
      <w:r>
        <w:t xml:space="preserve">padesát tisíc korun českých). Cena je stanovena bez DPH. Datem zdanitelného plnění se rozumí poslední pracovní den příslušného čtvrtletí. Ocenění software a studií pro zaúčtování nehmotného majetku v GasNet bude stanoveno vždy po faktickém předání </w:t>
      </w:r>
      <w:r w:rsidR="00DA2574">
        <w:t>části</w:t>
      </w:r>
      <w:r>
        <w:t xml:space="preserve"> díla na základě předchozích výkazů rozsahu hodin prací předávaných čtvrtletně spolu s fakturami, s uvedením počtu hodin alokovaných ze strany UI AV k tvorbě dané </w:t>
      </w:r>
      <w:r w:rsidR="00DA2574">
        <w:t>části</w:t>
      </w:r>
      <w:r>
        <w:t xml:space="preserve"> díla.</w:t>
      </w:r>
    </w:p>
    <w:p w14:paraId="2D53FD69" w14:textId="6437B889" w:rsidR="00A40305" w:rsidRDefault="00A40305" w:rsidP="001A5E6B">
      <w:pPr>
        <w:pStyle w:val="Zkladntext"/>
        <w:numPr>
          <w:ilvl w:val="0"/>
          <w:numId w:val="19"/>
        </w:numPr>
      </w:pPr>
      <w:r>
        <w:t xml:space="preserve">Cena podle odst. 1 zahrnuje maximální rozsah 250 hodin práce jednoho člověka při poskytování činností uvedených v článku III. této smlouvy ze strany UI AV vůči GasNet za příslušné čtvrtletí. V případě, že ze strany GasNet nedojde k vyčerpání maximálního rozsahu hodin v příslušném čtvrtletí, dojde k převodu nevyčerpané části do následujícího období. K 31. 12. každého kalendářního roku v době platnosti této smlouvy, nebo k datu ukončení této smlouvy podle čl. IX., dojde mezi oběma smluvními stranami k doúčtování skutečně </w:t>
      </w:r>
      <w:r w:rsidR="00DA2574">
        <w:t xml:space="preserve">poskytnutých </w:t>
      </w:r>
      <w:r>
        <w:t xml:space="preserve">hodin v předchozích obdobích, pokud se strany písemně nedohodnou jinak. </w:t>
      </w:r>
    </w:p>
    <w:p w14:paraId="0A2D7073" w14:textId="48AF4A2B" w:rsidR="00A40305" w:rsidRDefault="00A40305" w:rsidP="001A5E6B">
      <w:pPr>
        <w:pStyle w:val="Zkladntext"/>
        <w:numPr>
          <w:ilvl w:val="0"/>
          <w:numId w:val="19"/>
        </w:numPr>
      </w:pPr>
      <w:r>
        <w:t xml:space="preserve">V případě, že UI AV nebude schopna v rámci maximálního rozsahu hodin poskytnout rozsah služeb požadovaných ze strany GasNet, písemně a bez zbytečného odkladu na tuto skutečnost GasNet upozorní, a to včetně příslušné specifikace počtu hodin, které by bylo zapotřebí dodatečně vynaložit ke splnění požadavků GasNet. Pro tento případ si smluvní strany sjednávají možnost jednorázového rozšíření maximálního rozsahu hodin v příslušném čtvrtletí, a to prostřednictvím písemné objednávky GasNet vůči UI AV, při zachování všech ostatních podmínek daných touto smlouvou. Pro případ dodatečné objednávky služeb nad rámec maximálního rozsahu hodin v příslušném čtvrtletí si strany sjednávají cenu ve výši 1000,-Kč za jednu hodinu práce jednoho člověka bez DPH.   </w:t>
      </w:r>
    </w:p>
    <w:p w14:paraId="0C3FB450" w14:textId="10FAB482" w:rsidR="00A40305" w:rsidRDefault="00A40305" w:rsidP="001A5E6B">
      <w:pPr>
        <w:pStyle w:val="Zkladntext"/>
        <w:numPr>
          <w:ilvl w:val="0"/>
          <w:numId w:val="19"/>
        </w:numPr>
      </w:pPr>
      <w:r>
        <w:t xml:space="preserve">GasNet bude platit </w:t>
      </w:r>
      <w:r w:rsidR="00DA2574">
        <w:t xml:space="preserve">dohodnutou cenu </w:t>
      </w:r>
      <w:r>
        <w:t xml:space="preserve">za poskytnuté plnění na základě daňových dokladů – faktur, které bude UI AV vystavovat vždy po uplynutí kalendářního čtvrtletí s dobou splatnosti 60 dnů od jejich doručení GasNet. </w:t>
      </w:r>
    </w:p>
    <w:p w14:paraId="02F50DF3" w14:textId="2B1D6DA3" w:rsidR="00A40305" w:rsidRPr="00CA2F4B" w:rsidRDefault="00A40305" w:rsidP="001A5E6B">
      <w:pPr>
        <w:pStyle w:val="Zkladntext"/>
        <w:numPr>
          <w:ilvl w:val="0"/>
          <w:numId w:val="19"/>
        </w:numPr>
      </w:pPr>
      <w:r>
        <w:t xml:space="preserve">Faktura jako daňový a účetní doklad bude obsahovat náležitosti dle obecně závazných právních předpisů a obchodních zvyklostí a bude dokladem pro zaplacení ceny za předmět plnění dle této smlouvy. </w:t>
      </w:r>
      <w:r w:rsidRPr="00CA2F4B">
        <w:t>Dále bude obsahovat odkaz na číslo této smlouvy a ba</w:t>
      </w:r>
      <w:r>
        <w:t>nkovní spojení UI AV</w:t>
      </w:r>
      <w:r w:rsidRPr="00CA2F4B">
        <w:t xml:space="preserve"> </w:t>
      </w:r>
      <w:r>
        <w:t>zveřejněné v regi</w:t>
      </w:r>
      <w:r w:rsidRPr="00CA2F4B">
        <w:t>stru plátců DPH</w:t>
      </w:r>
      <w:r>
        <w:t>.</w:t>
      </w:r>
    </w:p>
    <w:p w14:paraId="0E24CF30" w14:textId="669A8C0D" w:rsidR="00A40305" w:rsidRDefault="00A40305" w:rsidP="001A5E6B">
      <w:pPr>
        <w:pStyle w:val="Zkladntext"/>
        <w:numPr>
          <w:ilvl w:val="0"/>
          <w:numId w:val="19"/>
        </w:numPr>
      </w:pPr>
      <w:r>
        <w:t>Součástí faktury bude i příloha se specifikací druhu služeb, které byly v daném čtvrtletí na základě této smlouvy poskytnuty spolu s vyčíslením příslušného počtu hodin vynaložených UI AV na poskytnutí každého druhu služby. Ze strany GasNet bude provedení služeb specifikovaných v příloze potvrzeno.</w:t>
      </w:r>
    </w:p>
    <w:p w14:paraId="352D28DA" w14:textId="2E8B25D7" w:rsidR="00A40305" w:rsidRDefault="00A40305" w:rsidP="001A5E6B">
      <w:pPr>
        <w:pStyle w:val="Zkladntext"/>
        <w:numPr>
          <w:ilvl w:val="0"/>
          <w:numId w:val="19"/>
        </w:numPr>
      </w:pPr>
      <w:r>
        <w:t xml:space="preserve">Nebude-li faktura obsahovat stanovené náležitosti nebo v ní budou nesprávně uvedené údaje, je </w:t>
      </w:r>
      <w:r w:rsidR="00DA2574">
        <w:t xml:space="preserve">GasNet </w:t>
      </w:r>
      <w:r>
        <w:t>oprávněn</w:t>
      </w:r>
      <w:r w:rsidR="00DA2574">
        <w:t>a</w:t>
      </w:r>
      <w:r>
        <w:t xml:space="preserve"> fakturu ve lhůtě splatnosti vrátit </w:t>
      </w:r>
      <w:r w:rsidR="00DA2574">
        <w:t xml:space="preserve">UI AV </w:t>
      </w:r>
      <w:r>
        <w:t xml:space="preserve">s uvedením důvodu vrácení. </w:t>
      </w:r>
      <w:r w:rsidR="00DA2574">
        <w:t xml:space="preserve">UI AV </w:t>
      </w:r>
      <w:r>
        <w:t xml:space="preserve">je </w:t>
      </w:r>
      <w:r w:rsidR="00DA2574">
        <w:t xml:space="preserve">povinna </w:t>
      </w:r>
      <w:r>
        <w:t xml:space="preserve">fakturu opravit nebo nově </w:t>
      </w:r>
      <w:r w:rsidR="00DA2574">
        <w:t>vystavit</w:t>
      </w:r>
      <w:r>
        <w:t xml:space="preserve">. Oprávněným vrácením faktury přestává běžet lhůta splatnosti faktury a nová lhůta splatnosti počne běžet dnem doručení nové faktury nebo opravené faktury </w:t>
      </w:r>
      <w:r w:rsidR="00DA2574">
        <w:t>GasNet</w:t>
      </w:r>
      <w:r>
        <w:t>.</w:t>
      </w:r>
    </w:p>
    <w:p w14:paraId="321DADAB" w14:textId="00D6101B" w:rsidR="001F4696" w:rsidRPr="001F4696" w:rsidRDefault="00217F35" w:rsidP="007935AA">
      <w:pPr>
        <w:pStyle w:val="Odstavecseseznamem"/>
        <w:numPr>
          <w:ilvl w:val="0"/>
          <w:numId w:val="19"/>
        </w:numPr>
        <w:jc w:val="both"/>
        <w:rPr>
          <w:sz w:val="24"/>
          <w:szCs w:val="24"/>
        </w:rPr>
      </w:pPr>
      <w:r>
        <w:t>.</w:t>
      </w:r>
      <w:r w:rsidR="001F4696" w:rsidRPr="001F4696">
        <w:rPr>
          <w:sz w:val="24"/>
          <w:szCs w:val="24"/>
        </w:rPr>
        <w:t>Jestliže se náklady významné pro specifikované služby výrazně změní (např. v důsledku inflace), projednají obě smluvní strany další postup (změna rozsahu služeb, úprava ceny) a výsledek jednání bude formulován ve formě písemného dodatku k této smlouvě.</w:t>
      </w:r>
    </w:p>
    <w:p w14:paraId="47E0D2E6" w14:textId="77777777" w:rsidR="00217F35" w:rsidRDefault="00217F35" w:rsidP="007935AA">
      <w:pPr>
        <w:pStyle w:val="Zkladntext"/>
        <w:numPr>
          <w:ilvl w:val="0"/>
          <w:numId w:val="0"/>
        </w:numPr>
        <w:spacing w:before="360" w:after="0"/>
        <w:ind w:left="1065"/>
      </w:pPr>
    </w:p>
    <w:p w14:paraId="75DFF4D1" w14:textId="7F433102" w:rsidR="00217F35" w:rsidRDefault="00217F35" w:rsidP="00217F35">
      <w:pPr>
        <w:pStyle w:val="Zkladntext"/>
        <w:numPr>
          <w:ilvl w:val="0"/>
          <w:numId w:val="0"/>
        </w:numPr>
        <w:spacing w:before="360" w:after="0"/>
        <w:ind w:left="1065"/>
        <w:jc w:val="center"/>
        <w:rPr>
          <w:b/>
          <w:bCs/>
          <w:sz w:val="32"/>
          <w:szCs w:val="32"/>
        </w:rPr>
      </w:pPr>
    </w:p>
    <w:p w14:paraId="28160930" w14:textId="1D6990AD" w:rsidR="00A40305" w:rsidRPr="00ED0A3B" w:rsidRDefault="00A40305" w:rsidP="007935AA">
      <w:pPr>
        <w:pStyle w:val="Zkladntext"/>
        <w:numPr>
          <w:ilvl w:val="0"/>
          <w:numId w:val="0"/>
        </w:numPr>
        <w:spacing w:before="360" w:after="0"/>
        <w:jc w:val="center"/>
        <w:rPr>
          <w:bCs/>
          <w:szCs w:val="32"/>
        </w:rPr>
      </w:pPr>
      <w:r w:rsidRPr="007935AA">
        <w:rPr>
          <w:b/>
          <w:bCs/>
          <w:sz w:val="32"/>
          <w:szCs w:val="32"/>
        </w:rPr>
        <w:t>Článek VII.</w:t>
      </w:r>
    </w:p>
    <w:p w14:paraId="706B4D6D" w14:textId="77777777" w:rsidR="00A40305" w:rsidRDefault="00A40305" w:rsidP="00A40305">
      <w:pPr>
        <w:pStyle w:val="lnek"/>
        <w:spacing w:before="120" w:after="360"/>
        <w:rPr>
          <w:szCs w:val="24"/>
        </w:rPr>
      </w:pPr>
      <w:r>
        <w:t>Pověřené osoby</w:t>
      </w:r>
    </w:p>
    <w:p w14:paraId="5F864A61" w14:textId="46623656" w:rsidR="00A40305" w:rsidRDefault="00A40305" w:rsidP="001A5E6B">
      <w:pPr>
        <w:pStyle w:val="Zkladntext"/>
        <w:numPr>
          <w:ilvl w:val="0"/>
          <w:numId w:val="21"/>
        </w:numPr>
      </w:pPr>
      <w:r>
        <w:t xml:space="preserve">Odpovědným zástupcem pověřeným ze strany GasNet k věcným jednáním a ke koordinační činnosti je </w:t>
      </w:r>
      <w:r w:rsidR="00BF4331" w:rsidRPr="00BF4331">
        <w:rPr>
          <w:highlight w:val="black"/>
        </w:rPr>
        <w:t>xxx xxxx</w:t>
      </w:r>
      <w:r w:rsidR="008F5095" w:rsidRPr="00BF4331">
        <w:rPr>
          <w:i/>
          <w:iCs/>
          <w:highlight w:val="black"/>
        </w:rPr>
        <w:t xml:space="preserve">, </w:t>
      </w:r>
      <w:r w:rsidRPr="00BF4331">
        <w:rPr>
          <w:i/>
          <w:iCs/>
          <w:highlight w:val="black"/>
        </w:rPr>
        <w:t xml:space="preserve">tel. </w:t>
      </w:r>
      <w:r w:rsidR="00BF4331" w:rsidRPr="00BF4331">
        <w:rPr>
          <w:i/>
          <w:iCs/>
          <w:highlight w:val="black"/>
        </w:rPr>
        <w:t>xxxxxxxxx</w:t>
      </w:r>
      <w:r w:rsidRPr="001A5E6B">
        <w:t>.</w:t>
      </w:r>
    </w:p>
    <w:p w14:paraId="3DE047C6" w14:textId="1CAAE1B2" w:rsidR="00A40305" w:rsidRPr="001A5E6B" w:rsidRDefault="00A40305" w:rsidP="001A5E6B">
      <w:pPr>
        <w:pStyle w:val="Zkladntext"/>
        <w:numPr>
          <w:ilvl w:val="0"/>
          <w:numId w:val="21"/>
        </w:numPr>
      </w:pPr>
      <w:r>
        <w:t xml:space="preserve">Odpovědným zástupcem pověřeným ze strany GasNet projednáváním věcí v oblasti technické realizace předmětu smlouvy je </w:t>
      </w:r>
      <w:r w:rsidR="00BF4331" w:rsidRPr="00BF4331">
        <w:rPr>
          <w:highlight w:val="black"/>
        </w:rPr>
        <w:t>xxx xxxx</w:t>
      </w:r>
      <w:r w:rsidR="00BF4331" w:rsidRPr="00BF4331">
        <w:rPr>
          <w:i/>
          <w:iCs/>
          <w:highlight w:val="black"/>
        </w:rPr>
        <w:t>, tel. xxxxxxxxx</w:t>
      </w:r>
      <w:r w:rsidR="00523AF1">
        <w:rPr>
          <w:i/>
          <w:iCs/>
        </w:rPr>
        <w:t>.</w:t>
      </w:r>
    </w:p>
    <w:p w14:paraId="602E5D48" w14:textId="48339564" w:rsidR="00A40305" w:rsidRPr="0066736D" w:rsidRDefault="00A40305" w:rsidP="001A5E6B">
      <w:pPr>
        <w:pStyle w:val="Zkladntext"/>
        <w:numPr>
          <w:ilvl w:val="0"/>
          <w:numId w:val="21"/>
        </w:numPr>
      </w:pPr>
      <w:r w:rsidRPr="0066736D">
        <w:t xml:space="preserve">Odpovědným zástupcem pověřeným ze strany </w:t>
      </w:r>
      <w:r>
        <w:t>UI AV</w:t>
      </w:r>
      <w:r w:rsidRPr="0066736D">
        <w:t xml:space="preserve"> k věcným jednáním a ke koordinační činnosti je </w:t>
      </w:r>
      <w:r w:rsidR="00BF4331" w:rsidRPr="00BF4331">
        <w:rPr>
          <w:highlight w:val="black"/>
        </w:rPr>
        <w:t>xxx xxxx</w:t>
      </w:r>
      <w:r w:rsidR="00BF4331" w:rsidRPr="00BF4331">
        <w:rPr>
          <w:i/>
          <w:iCs/>
          <w:highlight w:val="black"/>
        </w:rPr>
        <w:t>, tel. xxxxxxxxx</w:t>
      </w:r>
      <w:r w:rsidR="00523AF1" w:rsidRPr="007935AA">
        <w:t>.</w:t>
      </w:r>
    </w:p>
    <w:p w14:paraId="6DBD71A3" w14:textId="495E6ED4" w:rsidR="00A40305" w:rsidRPr="0066736D" w:rsidRDefault="00A40305" w:rsidP="001A5E6B">
      <w:pPr>
        <w:pStyle w:val="Zkladntext"/>
        <w:numPr>
          <w:ilvl w:val="0"/>
          <w:numId w:val="21"/>
        </w:numPr>
      </w:pPr>
      <w:r w:rsidRPr="0066736D">
        <w:t xml:space="preserve">Odpovědným zástupcem pověřeným ze strany </w:t>
      </w:r>
      <w:r>
        <w:t>UI AV</w:t>
      </w:r>
      <w:r w:rsidRPr="0066736D">
        <w:t xml:space="preserve"> k projednáváním věcí v oblasti technické realizace předmětu smlouvy je </w:t>
      </w:r>
      <w:r w:rsidR="00BF4331" w:rsidRPr="00BF4331">
        <w:rPr>
          <w:highlight w:val="black"/>
        </w:rPr>
        <w:t>xxx xxxx</w:t>
      </w:r>
      <w:r w:rsidR="00BF4331" w:rsidRPr="00BF4331">
        <w:rPr>
          <w:i/>
          <w:iCs/>
          <w:highlight w:val="black"/>
        </w:rPr>
        <w:t>, tel. xxxxxxxxx</w:t>
      </w:r>
      <w:r w:rsidR="00523AF1">
        <w:t>.</w:t>
      </w:r>
    </w:p>
    <w:p w14:paraId="17BD7C4B" w14:textId="7A205D43" w:rsidR="00A40305" w:rsidRDefault="00A40305" w:rsidP="00BF4331">
      <w:pPr>
        <w:pStyle w:val="lnek"/>
        <w:spacing w:before="600" w:after="0"/>
      </w:pPr>
      <w:r>
        <w:t>Článek VIII.</w:t>
      </w:r>
    </w:p>
    <w:p w14:paraId="5B56094F" w14:textId="77777777" w:rsidR="00A40305" w:rsidRDefault="00A40305" w:rsidP="00A40305">
      <w:pPr>
        <w:pStyle w:val="lnek"/>
        <w:spacing w:before="360" w:after="0"/>
      </w:pPr>
      <w:r>
        <w:t>Doba plnění</w:t>
      </w:r>
    </w:p>
    <w:p w14:paraId="0EB00128" w14:textId="77777777" w:rsidR="00A40305" w:rsidRDefault="00A40305" w:rsidP="00A40305">
      <w:pPr>
        <w:pStyle w:val="Zkladntext"/>
        <w:numPr>
          <w:ilvl w:val="0"/>
          <w:numId w:val="0"/>
        </w:numPr>
      </w:pPr>
    </w:p>
    <w:p w14:paraId="4EDBF221" w14:textId="3E9184F6" w:rsidR="00F9694C" w:rsidRDefault="00A40305" w:rsidP="001A5E6B">
      <w:pPr>
        <w:pStyle w:val="Zkladntext"/>
        <w:numPr>
          <w:ilvl w:val="0"/>
          <w:numId w:val="23"/>
        </w:numPr>
      </w:pPr>
      <w:r>
        <w:t>Tato smlouva se uzavírá na</w:t>
      </w:r>
      <w:r w:rsidR="00F9694C">
        <w:t xml:space="preserve"> </w:t>
      </w:r>
      <w:r w:rsidR="00F9694C" w:rsidRPr="00F9694C">
        <w:t>dobu neurčitou a nabývá platnosti dnem jejího podepsání oběma stranami</w:t>
      </w:r>
      <w:r w:rsidR="00DA2574">
        <w:t xml:space="preserve"> a účinnosti dnem uveřejnění v registru smluv</w:t>
      </w:r>
      <w:r w:rsidR="00F9694C" w:rsidRPr="00F9694C">
        <w:t>.</w:t>
      </w:r>
    </w:p>
    <w:p w14:paraId="6F6366B9" w14:textId="77777777" w:rsidR="00A40305" w:rsidRDefault="00A40305" w:rsidP="001A5E6B">
      <w:pPr>
        <w:pStyle w:val="Zkladntext"/>
        <w:numPr>
          <w:ilvl w:val="0"/>
          <w:numId w:val="23"/>
        </w:numPr>
      </w:pPr>
      <w:r>
        <w:t xml:space="preserve">Každá ze smluvních stran má právo tuto smlouvu vypovědět, přičemž výpovědní lhůta činí dva kalendářní měsíce a počne běžet prvním dnem měsíce následujícího po doručení písemné výpovědi druhé smluvní straně. </w:t>
      </w:r>
    </w:p>
    <w:p w14:paraId="5368B0A1" w14:textId="77777777" w:rsidR="00A40305" w:rsidRDefault="00A40305" w:rsidP="001A5E6B">
      <w:pPr>
        <w:pStyle w:val="Zkladntext"/>
        <w:numPr>
          <w:ilvl w:val="0"/>
          <w:numId w:val="23"/>
        </w:numPr>
      </w:pPr>
      <w:r>
        <w:t>Během doby trvání této smlouvy lze tuto smlouvu také ukončit dohodou smluvních stran, která musí mít písemnou formu.</w:t>
      </w:r>
    </w:p>
    <w:p w14:paraId="724D0034" w14:textId="77777777" w:rsidR="00A40305" w:rsidRDefault="00A40305" w:rsidP="00A40305">
      <w:pPr>
        <w:pStyle w:val="lnek"/>
        <w:spacing w:before="360" w:after="0"/>
      </w:pPr>
      <w:r>
        <w:t>Článek IX.</w:t>
      </w:r>
    </w:p>
    <w:p w14:paraId="0F0DC46D" w14:textId="77777777" w:rsidR="00A40305" w:rsidRDefault="00A40305" w:rsidP="00A40305">
      <w:pPr>
        <w:pStyle w:val="Normlnweb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Povinnost mlčenlivosti</w:t>
      </w:r>
    </w:p>
    <w:p w14:paraId="1E35550E" w14:textId="19B1EE3B" w:rsidR="00A40305" w:rsidRPr="00CB0F10" w:rsidRDefault="00A40305" w:rsidP="001A5E6B">
      <w:pPr>
        <w:pStyle w:val="Zkladntext"/>
        <w:numPr>
          <w:ilvl w:val="0"/>
          <w:numId w:val="24"/>
        </w:numPr>
      </w:pPr>
      <w:r w:rsidRPr="00CB0F10">
        <w:t xml:space="preserve">Smluvní strany se zavazují, že zachovají mlčenlivost ve vztahu k předmětu této smlouvy a jednáním vedoucím k uzavření této smlouvy. Dále se smluvní strany zavazují, že zachovají mlčenlivost ve vztahu ke všem informacím, dokumentaci a materiálům (dále též „důvěrné informace“) dodaným nebo přijatým v jakékoli formě nebo </w:t>
      </w:r>
      <w:r w:rsidR="00DA2574" w:rsidRPr="00CB0F10">
        <w:t>poskytnut</w:t>
      </w:r>
      <w:r w:rsidR="00DA2574">
        <w:t>ým</w:t>
      </w:r>
      <w:r w:rsidRPr="00CB0F10">
        <w:t xml:space="preserve"> k dispozici druhou smluvní stranou, pokud nejde o poskytování informací, </w:t>
      </w:r>
      <w:r w:rsidR="00DA2574">
        <w:t>dle</w:t>
      </w:r>
      <w:r w:rsidR="00DA2574" w:rsidRPr="00CB0F10">
        <w:t xml:space="preserve"> </w:t>
      </w:r>
      <w:r w:rsidRPr="00CB0F10">
        <w:t>čl. V</w:t>
      </w:r>
      <w:r w:rsidR="00DA2574">
        <w:t>.</w:t>
      </w:r>
      <w:r w:rsidRPr="00CB0F10">
        <w:t> odst. 3</w:t>
      </w:r>
      <w:r w:rsidR="00DA2574">
        <w:t>.</w:t>
      </w:r>
      <w:r w:rsidRPr="00CB0F10">
        <w:t xml:space="preserve"> této smlouvy. Za důvěrné informace se pro účely této smlouvy rozumí také (a) informace charakteru obchodního, technického a finančního, která se týká zákazníků </w:t>
      </w:r>
      <w:r w:rsidRPr="001A5E6B">
        <w:t>GasNet</w:t>
      </w:r>
      <w:r w:rsidRPr="00CB0F10">
        <w:t>, a (b) informace o provozování a rozvoji distribuční soustavy</w:t>
      </w:r>
      <w:r w:rsidRPr="001A5E6B">
        <w:t xml:space="preserve"> GasNet</w:t>
      </w:r>
      <w:r w:rsidRPr="00CB0F10">
        <w:t xml:space="preserve"> </w:t>
      </w:r>
      <w:r w:rsidR="00DA2574">
        <w:t xml:space="preserve">a </w:t>
      </w:r>
      <w:r w:rsidRPr="00CB0F10">
        <w:t>přístupu do ní.</w:t>
      </w:r>
    </w:p>
    <w:p w14:paraId="7F0CAA30" w14:textId="57A8CDAE" w:rsidR="00A40305" w:rsidRPr="00CB0F10" w:rsidRDefault="00A40305" w:rsidP="001A5E6B">
      <w:pPr>
        <w:pStyle w:val="Zkladntext"/>
        <w:numPr>
          <w:ilvl w:val="0"/>
          <w:numId w:val="24"/>
        </w:numPr>
      </w:pPr>
      <w:r w:rsidRPr="00CB0F10">
        <w:t xml:space="preserve">Smluvní strany se zavazují, že veškeré důvěrné informace, které jim budou poskytnuty, nesdělí ani jinak nezpřístupní třetím osobám, pokud nejde o poskytování informací, </w:t>
      </w:r>
      <w:r w:rsidR="00DA2574">
        <w:t>dle</w:t>
      </w:r>
      <w:r w:rsidR="00DA2574" w:rsidRPr="00CB0F10">
        <w:t xml:space="preserve"> </w:t>
      </w:r>
      <w:r w:rsidRPr="00CB0F10">
        <w:t>čl. V</w:t>
      </w:r>
      <w:r w:rsidR="00DA2574">
        <w:t>.</w:t>
      </w:r>
      <w:r w:rsidRPr="00CB0F10">
        <w:t> odst. 3</w:t>
      </w:r>
      <w:r w:rsidR="00DA2574">
        <w:t>.</w:t>
      </w:r>
      <w:r w:rsidRPr="00CB0F10">
        <w:t xml:space="preserve"> této smlouvy, ani je nepoužijí v rozporu s jejich účelem pro své potřeby. Povinnost zachovávat závazek mlčenlivosti ve vztahu k důvěrným informacím trvá po celou dobu existence smluvního vztahu mezi stranami, </w:t>
      </w:r>
      <w:r w:rsidR="00DA2574">
        <w:t>jakož</w:t>
      </w:r>
      <w:r w:rsidR="00DA2574" w:rsidRPr="00CB0F10">
        <w:t xml:space="preserve"> </w:t>
      </w:r>
      <w:r w:rsidRPr="00CB0F10">
        <w:t xml:space="preserve">i po jeho skončení do té doby, než se důvěrné informace stanou veřejně známými, aniž by povinný porušil své povinnosti podle této smlouvy. Nároky smluvních stran na náhradu škody </w:t>
      </w:r>
      <w:r w:rsidR="00DA2574" w:rsidRPr="00CB0F10">
        <w:t>způsoben</w:t>
      </w:r>
      <w:r w:rsidR="00DA2574">
        <w:t>ou</w:t>
      </w:r>
      <w:r w:rsidR="00DA2574" w:rsidRPr="00CB0F10">
        <w:t xml:space="preserve"> </w:t>
      </w:r>
      <w:r w:rsidRPr="00CB0F10">
        <w:t>porušením povinnosti dle tohoto článku se řídí především příslušnými ustanoveními občanského zákoníku. Za třetí osoby se pro účely této smlouvy nepovažují právní zástupci a poradci stran, pokud je</w:t>
      </w:r>
      <w:r w:rsidR="00DA2574">
        <w:t xml:space="preserve"> smluvní strany</w:t>
      </w:r>
      <w:r w:rsidRPr="00CB0F10">
        <w:t xml:space="preserve"> zaváží k mlčenlivosti v rozsahu vyplývajícím z této smlouvy.</w:t>
      </w:r>
    </w:p>
    <w:p w14:paraId="23E9E4CE" w14:textId="13C47D86" w:rsidR="00A40305" w:rsidRDefault="00A40305" w:rsidP="001A5E6B">
      <w:pPr>
        <w:pStyle w:val="Zkladntext"/>
        <w:numPr>
          <w:ilvl w:val="0"/>
          <w:numId w:val="24"/>
        </w:numPr>
      </w:pPr>
      <w:r>
        <w:t>Maximální výše náhrady škody je dohodou smluvních stran omezena částkou 1.000.000,-Kč (slovy jeden milion českých korun) celkem, a to včetně výše sankce za případné porušení povinnosti UI AV, stanovené v článku IV., odst. 1.</w:t>
      </w:r>
    </w:p>
    <w:p w14:paraId="5EFB85EE" w14:textId="52A4E361" w:rsidR="00A40305" w:rsidRDefault="00A40305" w:rsidP="001A5E6B">
      <w:pPr>
        <w:pStyle w:val="Zkladntext"/>
        <w:numPr>
          <w:ilvl w:val="0"/>
          <w:numId w:val="24"/>
        </w:numPr>
      </w:pPr>
      <w:r>
        <w:t>UI AV se zavazuje sjednat se všemi svými zaměstnanci</w:t>
      </w:r>
      <w:r w:rsidR="00DA2574">
        <w:t>,</w:t>
      </w:r>
      <w:r>
        <w:t xml:space="preserve"> členy statutárního orgánu, </w:t>
      </w:r>
      <w:r w:rsidR="00DA2574">
        <w:t xml:space="preserve">a </w:t>
      </w:r>
      <w:r>
        <w:t xml:space="preserve">případně dalšími osobami, které k plnění smlouvy povolá, </w:t>
      </w:r>
      <w:r w:rsidR="00DA2574">
        <w:t xml:space="preserve">nebo </w:t>
      </w:r>
      <w:r>
        <w:t xml:space="preserve">kterým byla, za účelem splnění předmětu této smlouvy, poskytnuta (a) důvěrná informace charakteru obchodního, technického a finančního, která se týká zákazníků GasNet. a (b) důvěrná informace o provozování a </w:t>
      </w:r>
      <w:r w:rsidR="00523AF1">
        <w:t>rozvoji distribuční</w:t>
      </w:r>
      <w:r>
        <w:t xml:space="preserve"> soustavy GasNet a přístupu do ní, povinnost mlčenlivosti o těchto důvěrných informacích ve vztahu k třetím osobám. Mlčenlivost o těchto důvěrných informacích bude sjednána tak, že bude trvat během </w:t>
      </w:r>
      <w:r w:rsidR="00DA2574">
        <w:t xml:space="preserve">i </w:t>
      </w:r>
      <w:r>
        <w:t>po skončení daného vztahu mezi zaměstnanci, členy statutárního orgánu</w:t>
      </w:r>
      <w:r w:rsidR="00DA2574">
        <w:t xml:space="preserve"> a</w:t>
      </w:r>
      <w:r>
        <w:t xml:space="preserve"> dozorčí rady UI AV.</w:t>
      </w:r>
    </w:p>
    <w:p w14:paraId="724DE628" w14:textId="1AB3D25D" w:rsidR="00A40305" w:rsidRPr="00CB0F10" w:rsidRDefault="00A40305" w:rsidP="001A5E6B">
      <w:pPr>
        <w:pStyle w:val="Zkladntext"/>
        <w:numPr>
          <w:ilvl w:val="0"/>
          <w:numId w:val="24"/>
        </w:numPr>
        <w:jc w:val="left"/>
      </w:pPr>
      <w:r w:rsidRPr="00CB0F10">
        <w:t xml:space="preserve">Výše uvedená </w:t>
      </w:r>
      <w:r w:rsidR="00DA2574">
        <w:t>ujednání</w:t>
      </w:r>
      <w:r w:rsidR="00DA2574" w:rsidRPr="00CB0F10">
        <w:t xml:space="preserve"> </w:t>
      </w:r>
      <w:r w:rsidRPr="00CB0F10">
        <w:t>a z nich vyplývající závazky se nevztahují na důvěrné informace:</w:t>
      </w:r>
      <w:r w:rsidRPr="00CB0F10">
        <w:br/>
        <w:t>(a)        jejichž poskytnutí nebo sdělení bylo předem písemně schváleno druhou smluvní stranou,</w:t>
      </w:r>
      <w:r w:rsidRPr="00CB0F10">
        <w:br/>
        <w:t>(b)        které oprávněný označil výslovně jako veřejné,</w:t>
      </w:r>
      <w:r w:rsidRPr="00CB0F10">
        <w:br/>
        <w:t>(c)        které se staly veřejně známými, aniž by povinný porušil povinnosti podle této smlouvy,</w:t>
      </w:r>
      <w:r w:rsidRPr="00CB0F10">
        <w:br/>
        <w:t>(d)        k jejichž sdělení je povinný povinen podle právního předpisu nebo rozhodnutí soudu, správního či obdobného orgánu.</w:t>
      </w:r>
    </w:p>
    <w:p w14:paraId="31837F8C" w14:textId="77777777" w:rsidR="00A40305" w:rsidRPr="001A5E6B" w:rsidRDefault="00A40305" w:rsidP="001A5E6B">
      <w:pPr>
        <w:pStyle w:val="Zkladntext"/>
        <w:numPr>
          <w:ilvl w:val="0"/>
          <w:numId w:val="0"/>
        </w:numPr>
        <w:ind w:left="1065"/>
      </w:pPr>
    </w:p>
    <w:p w14:paraId="1CC0F0CF" w14:textId="77777777" w:rsidR="00A40305" w:rsidRDefault="00A40305" w:rsidP="00A40305">
      <w:pPr>
        <w:pStyle w:val="lnek"/>
        <w:spacing w:before="360" w:after="0"/>
      </w:pPr>
      <w:r>
        <w:t>Článek X.</w:t>
      </w:r>
    </w:p>
    <w:p w14:paraId="30E2EB99" w14:textId="77777777" w:rsidR="00A40305" w:rsidRDefault="00A40305" w:rsidP="00A40305">
      <w:pPr>
        <w:pStyle w:val="Zkladntext"/>
        <w:numPr>
          <w:ilvl w:val="0"/>
          <w:numId w:val="0"/>
        </w:numPr>
        <w:ind w:left="1416" w:firstLine="708"/>
        <w:rPr>
          <w:rFonts w:ascii="Arial" w:hAnsi="Arial" w:cs="Arial"/>
          <w:b/>
          <w:szCs w:val="22"/>
        </w:rPr>
      </w:pPr>
      <w:r w:rsidRPr="007A24AA">
        <w:rPr>
          <w:b/>
          <w:sz w:val="32"/>
          <w:szCs w:val="32"/>
        </w:rPr>
        <w:t>Vlastnické právo k Produktu</w:t>
      </w:r>
    </w:p>
    <w:p w14:paraId="0C75217B" w14:textId="77777777" w:rsidR="00A40305" w:rsidRPr="004D6B34" w:rsidRDefault="00A40305" w:rsidP="001A5E6B">
      <w:pPr>
        <w:pStyle w:val="Odstavecseseznamem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4D6B34">
        <w:rPr>
          <w:sz w:val="24"/>
          <w:szCs w:val="24"/>
        </w:rPr>
        <w:t>Za „Produkt“ jsou považovány hmotně zachycené výsledky poskytování služeb a činností dle této smlouvy.</w:t>
      </w:r>
    </w:p>
    <w:p w14:paraId="04921772" w14:textId="58DD792D" w:rsidR="00A40305" w:rsidRPr="004D6B34" w:rsidRDefault="00A40305" w:rsidP="001A5E6B">
      <w:pPr>
        <w:pStyle w:val="Odstavecseseznamem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4D6B34">
        <w:rPr>
          <w:sz w:val="24"/>
          <w:szCs w:val="24"/>
        </w:rPr>
        <w:t xml:space="preserve">Zhotovovaný Produkt je od počátku ve vlastnictví GasNet. Vlastnické právo k materiálu (pokud se nejedná o materiál nebo věci ve vlastnictví GasNet), ze kterého je Produkt zhotovován, přechází na GasNet okamžikem jeho převzetí. Nebezpečí škody na zhotovovaném Produktu nese </w:t>
      </w:r>
      <w:r>
        <w:rPr>
          <w:sz w:val="24"/>
          <w:szCs w:val="24"/>
        </w:rPr>
        <w:t>UI AV</w:t>
      </w:r>
      <w:r w:rsidRPr="004D6B34">
        <w:rPr>
          <w:sz w:val="24"/>
          <w:szCs w:val="24"/>
        </w:rPr>
        <w:t xml:space="preserve"> až do okamžiku předání a převzetí produktu </w:t>
      </w:r>
      <w:r w:rsidR="00DA2574">
        <w:rPr>
          <w:sz w:val="24"/>
          <w:szCs w:val="24"/>
        </w:rPr>
        <w:t xml:space="preserve">ze strany </w:t>
      </w:r>
      <w:r w:rsidRPr="004D6B34">
        <w:rPr>
          <w:sz w:val="24"/>
          <w:szCs w:val="24"/>
        </w:rPr>
        <w:t xml:space="preserve">GasNet. </w:t>
      </w:r>
    </w:p>
    <w:p w14:paraId="739A26E2" w14:textId="38D7D942" w:rsidR="00A40305" w:rsidRPr="004D6B34" w:rsidRDefault="006B0CBB" w:rsidP="001A5E6B">
      <w:pPr>
        <w:pStyle w:val="Zkladntext2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se </w:t>
      </w:r>
      <w:r w:rsidR="00A40305" w:rsidRPr="004D6B34">
        <w:rPr>
          <w:sz w:val="24"/>
          <w:szCs w:val="24"/>
        </w:rPr>
        <w:t xml:space="preserve">Produkt </w:t>
      </w:r>
      <w:r>
        <w:rPr>
          <w:sz w:val="24"/>
          <w:szCs w:val="24"/>
        </w:rPr>
        <w:t>stane</w:t>
      </w:r>
      <w:r w:rsidR="00A40305" w:rsidRPr="004D6B34">
        <w:rPr>
          <w:sz w:val="24"/>
          <w:szCs w:val="24"/>
        </w:rPr>
        <w:t xml:space="preserve"> dílem ve smyslu zákona č. 121/2000 Sb., o právu autorském, o právech souvisejících s právem autorským a o změně některých zákonů (autorský zákon), ve znění pozdějších předpisů, poskytuje </w:t>
      </w:r>
      <w:r w:rsidR="00A40305">
        <w:rPr>
          <w:sz w:val="24"/>
          <w:szCs w:val="24"/>
        </w:rPr>
        <w:t>UI AV</w:t>
      </w:r>
      <w:r w:rsidR="00A40305" w:rsidRPr="004D6B34">
        <w:rPr>
          <w:sz w:val="24"/>
          <w:szCs w:val="24"/>
        </w:rPr>
        <w:t xml:space="preserve"> společnosti GasNet dle příslušných ustanovení autorského zákona oprávnění k výkonu práva užít jednotlivé dodané výstupy (licenci).</w:t>
      </w:r>
    </w:p>
    <w:p w14:paraId="7BD2AE53" w14:textId="4BB67DC3" w:rsidR="00A40305" w:rsidRPr="004D6B34" w:rsidRDefault="00A40305" w:rsidP="001A5E6B">
      <w:pPr>
        <w:pStyle w:val="Zkladntext2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4D6B34">
        <w:rPr>
          <w:sz w:val="24"/>
          <w:szCs w:val="24"/>
        </w:rPr>
        <w:t xml:space="preserve">Licence se poskytuje jako výhradní a </w:t>
      </w:r>
      <w:r>
        <w:rPr>
          <w:sz w:val="24"/>
          <w:szCs w:val="24"/>
        </w:rPr>
        <w:t>UI AV</w:t>
      </w:r>
      <w:r w:rsidRPr="004D6B34">
        <w:rPr>
          <w:sz w:val="24"/>
          <w:szCs w:val="24"/>
        </w:rPr>
        <w:t xml:space="preserve"> není oprávněn</w:t>
      </w:r>
      <w:r w:rsidR="00DA2574">
        <w:rPr>
          <w:sz w:val="24"/>
          <w:szCs w:val="24"/>
        </w:rPr>
        <w:t>a</w:t>
      </w:r>
      <w:r w:rsidRPr="004D6B34">
        <w:rPr>
          <w:sz w:val="24"/>
          <w:szCs w:val="24"/>
        </w:rPr>
        <w:t xml:space="preserve"> Produkty (ani jejich části), které jsou předmětem této smlouvy, bez předchozího písemného souhlasu GasNet </w:t>
      </w:r>
      <w:r w:rsidR="00DA2574" w:rsidRPr="004D6B34">
        <w:rPr>
          <w:sz w:val="24"/>
          <w:szCs w:val="24"/>
        </w:rPr>
        <w:t>s</w:t>
      </w:r>
      <w:r w:rsidR="00DA2574">
        <w:rPr>
          <w:sz w:val="24"/>
          <w:szCs w:val="24"/>
        </w:rPr>
        <w:t>ama</w:t>
      </w:r>
      <w:r w:rsidR="00DA2574" w:rsidRPr="004D6B34">
        <w:rPr>
          <w:sz w:val="24"/>
          <w:szCs w:val="24"/>
        </w:rPr>
        <w:t xml:space="preserve"> </w:t>
      </w:r>
      <w:r w:rsidRPr="004D6B34">
        <w:rPr>
          <w:sz w:val="24"/>
          <w:szCs w:val="24"/>
        </w:rPr>
        <w:t>využívat s výjimkou propagace své činnosti, ani je poskytnout jiné osobě k využití.</w:t>
      </w:r>
    </w:p>
    <w:p w14:paraId="5C769AAA" w14:textId="330371F0" w:rsidR="00A40305" w:rsidRPr="004D6B34" w:rsidRDefault="00A40305" w:rsidP="001A5E6B">
      <w:pPr>
        <w:pStyle w:val="Zkladntext2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4D6B34">
        <w:rPr>
          <w:sz w:val="24"/>
          <w:szCs w:val="24"/>
        </w:rPr>
        <w:t xml:space="preserve">Licence není omezena územně, časově ani množstevně a je poskytována v rámci úplaty stanovené ve </w:t>
      </w:r>
      <w:r w:rsidR="006B0CBB">
        <w:rPr>
          <w:sz w:val="24"/>
          <w:szCs w:val="24"/>
        </w:rPr>
        <w:t>s</w:t>
      </w:r>
      <w:r w:rsidR="006B0CBB" w:rsidRPr="004D6B34">
        <w:rPr>
          <w:sz w:val="24"/>
          <w:szCs w:val="24"/>
        </w:rPr>
        <w:t>mlouvě</w:t>
      </w:r>
      <w:r w:rsidRPr="004D6B34">
        <w:rPr>
          <w:sz w:val="24"/>
          <w:szCs w:val="24"/>
        </w:rPr>
        <w:t>.</w:t>
      </w:r>
    </w:p>
    <w:p w14:paraId="4D1856FB" w14:textId="77777777" w:rsidR="00A40305" w:rsidRPr="004D6B34" w:rsidRDefault="00A40305" w:rsidP="001A5E6B">
      <w:pPr>
        <w:pStyle w:val="Zkladntext2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4D6B34">
        <w:rPr>
          <w:sz w:val="24"/>
          <w:szCs w:val="24"/>
        </w:rPr>
        <w:t>GasNet je oprávněna poskytované výstupy dle této smlouvy použít pro všechny činnosti spojené s její podnikatelskou činností.</w:t>
      </w:r>
    </w:p>
    <w:p w14:paraId="39CDB240" w14:textId="77777777" w:rsidR="00A40305" w:rsidRPr="004D6B34" w:rsidRDefault="00A40305" w:rsidP="00A40305">
      <w:pPr>
        <w:pStyle w:val="Nadpis3"/>
        <w:tabs>
          <w:tab w:val="left" w:pos="7320"/>
        </w:tabs>
        <w:jc w:val="both"/>
        <w:rPr>
          <w:szCs w:val="22"/>
        </w:rPr>
      </w:pPr>
      <w:r>
        <w:rPr>
          <w:szCs w:val="22"/>
        </w:rPr>
        <w:tab/>
      </w:r>
    </w:p>
    <w:p w14:paraId="233C1DA3" w14:textId="77777777" w:rsidR="00A40305" w:rsidRPr="00336C27" w:rsidRDefault="00A40305" w:rsidP="00A40305">
      <w:pPr>
        <w:pStyle w:val="lnek"/>
        <w:spacing w:before="360" w:after="0"/>
      </w:pPr>
      <w:r w:rsidRPr="00336C27">
        <w:t>Článek XI.</w:t>
      </w:r>
    </w:p>
    <w:p w14:paraId="5449CEA1" w14:textId="77777777" w:rsidR="00A40305" w:rsidRPr="004D6B34" w:rsidRDefault="00A40305" w:rsidP="00A40305">
      <w:pPr>
        <w:pStyle w:val="Zkladntext"/>
        <w:numPr>
          <w:ilvl w:val="0"/>
          <w:numId w:val="0"/>
        </w:numPr>
        <w:ind w:left="3540" w:firstLine="708"/>
        <w:rPr>
          <w:b/>
          <w:szCs w:val="22"/>
        </w:rPr>
      </w:pPr>
      <w:r w:rsidRPr="00336C27">
        <w:rPr>
          <w:b/>
          <w:sz w:val="32"/>
          <w:szCs w:val="32"/>
        </w:rPr>
        <w:t>Sankce</w:t>
      </w:r>
    </w:p>
    <w:p w14:paraId="2E88DD37" w14:textId="77777777" w:rsidR="00A40305" w:rsidRPr="004D6B34" w:rsidRDefault="00A40305" w:rsidP="00A40305">
      <w:pPr>
        <w:pStyle w:val="Zkladntext2"/>
        <w:spacing w:after="0" w:line="240" w:lineRule="auto"/>
        <w:jc w:val="both"/>
        <w:rPr>
          <w:szCs w:val="22"/>
        </w:rPr>
      </w:pPr>
    </w:p>
    <w:p w14:paraId="539B61F1" w14:textId="77777777" w:rsidR="00A40305" w:rsidRPr="004D6B34" w:rsidRDefault="00A40305" w:rsidP="001A5E6B">
      <w:pPr>
        <w:pStyle w:val="Zkladntext2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4D6B34">
        <w:rPr>
          <w:sz w:val="24"/>
          <w:szCs w:val="24"/>
        </w:rPr>
        <w:t>V případě porušení povinnosti ochrany informací dle této smlouvy jednou smluvní stranou, kterým druhé smluvní straně vznikla škoda, má poškozená smluvní strana právo na náhradu vzniklé škody.</w:t>
      </w:r>
    </w:p>
    <w:p w14:paraId="0B094806" w14:textId="77777777" w:rsidR="00A40305" w:rsidRPr="004D6B34" w:rsidRDefault="00A40305" w:rsidP="00A40305">
      <w:pPr>
        <w:pStyle w:val="Zkladntext2"/>
        <w:spacing w:after="0" w:line="240" w:lineRule="auto"/>
        <w:ind w:left="720"/>
        <w:jc w:val="both"/>
        <w:rPr>
          <w:sz w:val="24"/>
          <w:szCs w:val="24"/>
        </w:rPr>
      </w:pPr>
    </w:p>
    <w:p w14:paraId="7E1CD01D" w14:textId="22F058B5" w:rsidR="00A40305" w:rsidRPr="004D6B34" w:rsidRDefault="00A40305" w:rsidP="001A5E6B">
      <w:pPr>
        <w:pStyle w:val="Odstavecseseznamem"/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4D6B34">
        <w:rPr>
          <w:sz w:val="24"/>
          <w:szCs w:val="24"/>
        </w:rPr>
        <w:t xml:space="preserve">V případě porušení povinnosti ochrany informací dle této smlouvy jednou smluvní stranou, je druhá smluvní strana oprávněna požadovat smluvní sankci ve výši 50 000,- Kč za každé jednotlivé porušení. Sankce je splatná do 14 dnů ode dne </w:t>
      </w:r>
      <w:r w:rsidR="006B0CBB">
        <w:rPr>
          <w:sz w:val="24"/>
          <w:szCs w:val="24"/>
        </w:rPr>
        <w:t>doručení</w:t>
      </w:r>
      <w:r w:rsidR="006B0CBB" w:rsidRPr="004D6B34">
        <w:rPr>
          <w:sz w:val="24"/>
          <w:szCs w:val="24"/>
        </w:rPr>
        <w:t xml:space="preserve"> </w:t>
      </w:r>
      <w:r w:rsidRPr="004D6B34">
        <w:rPr>
          <w:sz w:val="24"/>
          <w:szCs w:val="24"/>
        </w:rPr>
        <w:t xml:space="preserve">faktury. Tímto není dotčeno právo na náhradu vzniklé škody dle </w:t>
      </w:r>
      <w:r w:rsidR="00CE65EF">
        <w:rPr>
          <w:sz w:val="24"/>
          <w:szCs w:val="24"/>
        </w:rPr>
        <w:t>odstavce 1</w:t>
      </w:r>
      <w:r w:rsidRPr="004D6B34">
        <w:rPr>
          <w:sz w:val="24"/>
          <w:szCs w:val="24"/>
        </w:rPr>
        <w:t>. Výše sankce může být započtena do platby paušální čtvrtletní ceny.</w:t>
      </w:r>
    </w:p>
    <w:p w14:paraId="5A847533" w14:textId="1F975409" w:rsidR="00CB0F10" w:rsidRDefault="00CB0F10" w:rsidP="00CB0F10">
      <w:pPr>
        <w:pStyle w:val="lnek"/>
        <w:spacing w:before="360" w:after="0"/>
      </w:pPr>
      <w:r>
        <w:t>Článek XII.</w:t>
      </w:r>
    </w:p>
    <w:p w14:paraId="2690FC12" w14:textId="77777777" w:rsidR="00CB0F10" w:rsidRDefault="00CB0F10" w:rsidP="00CB0F10">
      <w:pPr>
        <w:pStyle w:val="lnek"/>
        <w:spacing w:before="120" w:after="360"/>
      </w:pPr>
      <w:r>
        <w:t xml:space="preserve">Registr smluv </w:t>
      </w:r>
    </w:p>
    <w:p w14:paraId="2FDFDF84" w14:textId="77777777" w:rsidR="00CB0F10" w:rsidRDefault="00CB0F10" w:rsidP="001A5E6B">
      <w:pPr>
        <w:pStyle w:val="Zkladntext"/>
        <w:numPr>
          <w:ilvl w:val="0"/>
          <w:numId w:val="26"/>
        </w:numPr>
      </w:pPr>
      <w:r w:rsidRPr="00B9428E">
        <w:t>Tato smlouva podléhá uveřejnění v registru smluv dle zákona číslo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A8E9834" w14:textId="6486C81A" w:rsidR="00CB0F10" w:rsidRDefault="00CB0F10" w:rsidP="001A5E6B">
      <w:pPr>
        <w:pStyle w:val="Zkladntext"/>
        <w:numPr>
          <w:ilvl w:val="0"/>
          <w:numId w:val="26"/>
        </w:numPr>
      </w:pPr>
      <w:r w:rsidRPr="00143EF0">
        <w:t xml:space="preserve">Smlouvu bez zbytečného odkladu, nejpozději do 10 dnů od uzavření smlouvy, uveřejní </w:t>
      </w:r>
      <w:r w:rsidR="006B0CBB">
        <w:t>UI AV</w:t>
      </w:r>
      <w:r w:rsidRPr="00143EF0">
        <w:t xml:space="preserve">. Při uveřejnění je </w:t>
      </w:r>
      <w:r w:rsidR="006B0CBB">
        <w:t>UI AV</w:t>
      </w:r>
      <w:r w:rsidRPr="00143EF0">
        <w:t xml:space="preserve"> povinna postupovat tak, aby nebyla ohrožena doba zahájení plnění ze smlouvy, pokud si ji smluvní strany sjednaly, případně vyplývá-li z účelu smlouvy. Pro případ potřeby opravy uveřejněné smlouvy nebo metadat smlouvy je smluvními stranami ujednáno, že tyto opravy bude povinna uveřejnit </w:t>
      </w:r>
      <w:r w:rsidR="006B0CBB">
        <w:t>UI AV</w:t>
      </w:r>
      <w:r w:rsidRPr="00143EF0">
        <w:t>. Pro uveřejnění opravy platí ustanovení tohoto článku o uveřejnění obdobně</w:t>
      </w:r>
    </w:p>
    <w:p w14:paraId="0B71E726" w14:textId="21B77E70" w:rsidR="00CB0F10" w:rsidRDefault="006B0CBB" w:rsidP="001A5E6B">
      <w:pPr>
        <w:pStyle w:val="Zkladntext"/>
        <w:numPr>
          <w:ilvl w:val="0"/>
          <w:numId w:val="26"/>
        </w:numPr>
      </w:pPr>
      <w:r>
        <w:t>Smluvní strany</w:t>
      </w:r>
      <w:r w:rsidR="00CB0F10" w:rsidRPr="00143EF0">
        <w:t xml:space="preserve"> prohlašují, že tato smlouva neobsahuje obchodní tajemství, jež by nebylo možné uveřejnit.</w:t>
      </w:r>
    </w:p>
    <w:p w14:paraId="2BBD51A1" w14:textId="03650317" w:rsidR="00CB0F10" w:rsidRDefault="006B0CBB" w:rsidP="001A5E6B">
      <w:pPr>
        <w:pStyle w:val="Zkladntext"/>
        <w:numPr>
          <w:ilvl w:val="0"/>
          <w:numId w:val="26"/>
        </w:numPr>
      </w:pPr>
      <w:r>
        <w:t>UI AV</w:t>
      </w:r>
      <w:r w:rsidR="00CB0F10" w:rsidRPr="00143EF0">
        <w:t xml:space="preserve"> zajistí, aby při uveřejnění této smlouvy nebyly uveřejněny informace, které nelze uveřejnit podle platných právních předpisů</w:t>
      </w:r>
      <w:r>
        <w:t>, zejména osobní údaje.</w:t>
      </w:r>
      <w:r w:rsidR="00CB0F10" w:rsidRPr="00143EF0">
        <w:t xml:space="preserve"> </w:t>
      </w:r>
    </w:p>
    <w:p w14:paraId="00692F71" w14:textId="01B54C6B" w:rsidR="00CB0F10" w:rsidRDefault="00CB0F10" w:rsidP="001A5E6B">
      <w:pPr>
        <w:pStyle w:val="Zkladntext"/>
        <w:numPr>
          <w:ilvl w:val="0"/>
          <w:numId w:val="26"/>
        </w:numPr>
      </w:pPr>
      <w:r w:rsidRPr="00143EF0">
        <w:t>Smluvní strany považují ve vztahu k registru smluv práva a povinnosti upravené v tomto článku za postup odpovídající péči řádného hospodáře. Strany se zavazují informovat se vzájemně bez zbytečného odkladu pro případ nesplnění jakékoliv povinnosti v tomto článku sjednané.</w:t>
      </w:r>
    </w:p>
    <w:p w14:paraId="5E4DB0A8" w14:textId="77777777" w:rsidR="00CB0F10" w:rsidRPr="00B9428E" w:rsidRDefault="00CB0F10" w:rsidP="001A5E6B">
      <w:pPr>
        <w:pStyle w:val="Zkladntext"/>
        <w:numPr>
          <w:ilvl w:val="0"/>
          <w:numId w:val="26"/>
        </w:numPr>
      </w:pPr>
      <w:r w:rsidRPr="00143EF0">
        <w:t>Pro případ porušení povinností sjednaných v tomto článku některou smluvní stranou, bude tato odpovědná za škodu druhé smluvní straně způsobenou.</w:t>
      </w:r>
    </w:p>
    <w:p w14:paraId="7CCF76C0" w14:textId="1A50D0D4" w:rsidR="00A40305" w:rsidRDefault="00A40305" w:rsidP="001A5E6B">
      <w:pPr>
        <w:pStyle w:val="lnek"/>
        <w:spacing w:before="360" w:after="0"/>
      </w:pPr>
      <w:r>
        <w:t>Článek XII</w:t>
      </w:r>
      <w:r w:rsidR="00CB0F10">
        <w:t>I</w:t>
      </w:r>
      <w:r>
        <w:t>.</w:t>
      </w:r>
    </w:p>
    <w:p w14:paraId="3E0B9AE3" w14:textId="77777777" w:rsidR="00A40305" w:rsidRPr="001A5E6B" w:rsidRDefault="00A40305" w:rsidP="001A5E6B">
      <w:pPr>
        <w:pStyle w:val="lnek"/>
        <w:spacing w:before="360" w:after="0"/>
      </w:pPr>
      <w:r>
        <w:t>Závěrečná</w:t>
      </w:r>
      <w:r w:rsidRPr="001A5E6B">
        <w:t xml:space="preserve"> ustanovení</w:t>
      </w:r>
    </w:p>
    <w:p w14:paraId="1CCD1E6D" w14:textId="4E6191AC" w:rsidR="00A40305" w:rsidRDefault="00A40305" w:rsidP="007935AA">
      <w:pPr>
        <w:pStyle w:val="Zkladntext"/>
        <w:numPr>
          <w:ilvl w:val="0"/>
          <w:numId w:val="31"/>
        </w:numPr>
      </w:pPr>
      <w:r>
        <w:t>Změny či doplňky této smlouvy lze provádět pouze písemně po dohodě obou stran formou písemných vzestupně číslovaných dodatků ke smlouvě, výslovně prohlášených za dodatek této smlouvy a podepsaných oprávněnými zástupci smluvních stran.</w:t>
      </w:r>
    </w:p>
    <w:p w14:paraId="0414FA9E" w14:textId="101E5259" w:rsidR="00A40305" w:rsidRDefault="00A40305" w:rsidP="007935AA">
      <w:pPr>
        <w:pStyle w:val="Zkladntext"/>
        <w:numPr>
          <w:ilvl w:val="0"/>
          <w:numId w:val="31"/>
        </w:numPr>
      </w:pPr>
      <w:r>
        <w:t>Právní vztahy z této smlouvy se řídí právní úpravou platnou v ČR. Vztahy mezi stranami, které tato smlouva výslovně neupravuje, se řídí platným českým právním řádem, zejména občanským zákoníkem.</w:t>
      </w:r>
    </w:p>
    <w:p w14:paraId="33DF29A9" w14:textId="77777777" w:rsidR="00A40305" w:rsidRDefault="00A40305" w:rsidP="007935AA">
      <w:pPr>
        <w:pStyle w:val="Zkladntext"/>
        <w:numPr>
          <w:ilvl w:val="0"/>
          <w:numId w:val="31"/>
        </w:numPr>
      </w:pPr>
      <w:r>
        <w:t>Je-li některé z ustanovení této smlouvy, neúčinné nebo nevynutitelné, či stane-li se takovým v budoucnu, pak bude neplatné, neúčinné nebo nevynutitelné pouze toto ustanovení, nevyplývá-li z jeho povahy, obsahu nebo okolností, za nichž bylo toto ustanovení vytvořeno, že toto ustanovení nelze oddělit od ostatního obsahu této smlouvy.</w:t>
      </w:r>
    </w:p>
    <w:p w14:paraId="03796789" w14:textId="4A5D04B2" w:rsidR="00CB0F10" w:rsidRPr="00CB0F10" w:rsidRDefault="006B0CBB" w:rsidP="007935AA">
      <w:pPr>
        <w:pStyle w:val="Zkladntext"/>
        <w:numPr>
          <w:ilvl w:val="0"/>
          <w:numId w:val="31"/>
        </w:numPr>
      </w:pPr>
      <w:r>
        <w:t>UI AV</w:t>
      </w:r>
      <w:r w:rsidR="00CE65EF" w:rsidRPr="00CB0F10">
        <w:t xml:space="preserve"> </w:t>
      </w:r>
      <w:r w:rsidR="00CB0F10" w:rsidRPr="00CB0F10">
        <w:t>se zavazuje, že bude při své činnosti dodržovat zásady a pravidla uvedená v Kodexu chování, které nalezne v platném znění na stránkách www.gasnet.cz/cs/kodex-</w:t>
      </w:r>
      <w:r w:rsidR="00C85D59" w:rsidRPr="00CB0F10">
        <w:t>chov</w:t>
      </w:r>
      <w:r w:rsidR="00C85D59">
        <w:t>ání</w:t>
      </w:r>
      <w:r w:rsidR="00CB0F10" w:rsidRPr="00CB0F10">
        <w:t xml:space="preserve">. Zároveň se </w:t>
      </w:r>
      <w:r>
        <w:t>UI AV</w:t>
      </w:r>
      <w:r w:rsidR="00CE65EF">
        <w:t xml:space="preserve"> </w:t>
      </w:r>
      <w:r w:rsidR="00CB0F10" w:rsidRPr="00CB0F10">
        <w:t xml:space="preserve">zavazuje dodržovat při své činnosti zásady a pravidla uvedená v projektu Global Compact Organizace spojených národů, která nalezne na stránkách www.unglobalcompact.org. Zejména se </w:t>
      </w:r>
      <w:r>
        <w:t>UI AV</w:t>
      </w:r>
      <w:r w:rsidR="00CE65EF" w:rsidRPr="00CB0F10">
        <w:t xml:space="preserve"> </w:t>
      </w:r>
      <w:r w:rsidR="00CB0F10" w:rsidRPr="00CB0F10">
        <w:t>zavazuje dodržovat pravidla týkající se ochrany lidských práv, pracovně právních vztahů, ochrany životního prostředí a antikorupčních pravidel.</w:t>
      </w:r>
    </w:p>
    <w:p w14:paraId="31EDFE33" w14:textId="21B7D4C2" w:rsidR="00A40305" w:rsidRDefault="00A40305" w:rsidP="007935AA">
      <w:pPr>
        <w:pStyle w:val="Zkladntext"/>
        <w:numPr>
          <w:ilvl w:val="0"/>
          <w:numId w:val="31"/>
        </w:numPr>
      </w:pPr>
      <w:r>
        <w:t>UI AV nemůže bez souhlasu GasNet postoupit svá práva a povinnosti plynoucí z této smlouvy třetí straně.</w:t>
      </w:r>
    </w:p>
    <w:p w14:paraId="63BD7D2F" w14:textId="00927965" w:rsidR="00A40305" w:rsidRDefault="00A666A7" w:rsidP="007935AA">
      <w:pPr>
        <w:pStyle w:val="Zkladntext"/>
        <w:numPr>
          <w:ilvl w:val="0"/>
          <w:numId w:val="31"/>
        </w:numPr>
      </w:pPr>
      <w:r w:rsidRPr="00A666A7">
        <w:t>Tato smlouva byla sepsána ve dvou vyhotoveních, z nichž každá ze smluvních stran dostane po jednom. Obě vyhotovení mají platnost originální smlouvy.</w:t>
      </w:r>
    </w:p>
    <w:p w14:paraId="777868E2" w14:textId="77777777" w:rsidR="00A40305" w:rsidRPr="00CB3C3D" w:rsidRDefault="00A40305" w:rsidP="007935AA">
      <w:pPr>
        <w:pStyle w:val="Zkladntext"/>
        <w:numPr>
          <w:ilvl w:val="0"/>
          <w:numId w:val="31"/>
        </w:numPr>
      </w:pPr>
      <w:r>
        <w:t>Smluvní strany této smlouvy prohlašují, že tato je projevem jejich pravé, vážné a svobodné vůle, její obsah považují za srozumitelný a na důkaz toho připojují vlastnoruční podpisy svých zástupců.</w:t>
      </w:r>
    </w:p>
    <w:p w14:paraId="615CAD1F" w14:textId="52A64510" w:rsidR="00A40305" w:rsidRDefault="004648FF" w:rsidP="001A5E6B">
      <w:pPr>
        <w:pStyle w:val="Zkladntext"/>
        <w:numPr>
          <w:ilvl w:val="0"/>
          <w:numId w:val="0"/>
        </w:numPr>
        <w:ind w:left="360"/>
      </w:pPr>
      <w:r>
        <w:t xml:space="preserve"> </w:t>
      </w:r>
      <w:r w:rsidR="00A40305">
        <w:t>V Praze dne …………………                          V Praze dne …</w:t>
      </w:r>
      <w:r w:rsidR="00BF4331">
        <w:t>9.2.2023</w:t>
      </w:r>
      <w:r w:rsidR="00A40305">
        <w:t>.</w:t>
      </w:r>
    </w:p>
    <w:tbl>
      <w:tblPr>
        <w:tblW w:w="9118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9"/>
        <w:gridCol w:w="4559"/>
      </w:tblGrid>
      <w:tr w:rsidR="00A40305" w14:paraId="61E0C15B" w14:textId="77777777" w:rsidTr="00DA2574">
        <w:trPr>
          <w:cantSplit/>
          <w:trHeight w:val="371"/>
        </w:trPr>
        <w:tc>
          <w:tcPr>
            <w:tcW w:w="4559" w:type="dxa"/>
          </w:tcPr>
          <w:p w14:paraId="3B6A6464" w14:textId="77777777" w:rsidR="00A40305" w:rsidRDefault="00A40305" w:rsidP="00DA2574">
            <w:pPr>
              <w:pStyle w:val="Tabulka"/>
              <w:jc w:val="center"/>
            </w:pPr>
          </w:p>
        </w:tc>
        <w:tc>
          <w:tcPr>
            <w:tcW w:w="4559" w:type="dxa"/>
          </w:tcPr>
          <w:p w14:paraId="7B9A19E8" w14:textId="77777777" w:rsidR="00A40305" w:rsidRDefault="00A40305" w:rsidP="00DA2574">
            <w:pPr>
              <w:pStyle w:val="Tabulka"/>
              <w:jc w:val="center"/>
            </w:pPr>
          </w:p>
        </w:tc>
      </w:tr>
      <w:tr w:rsidR="00A40305" w14:paraId="1CD0FAC6" w14:textId="77777777" w:rsidTr="00DA2574">
        <w:trPr>
          <w:cantSplit/>
          <w:trHeight w:val="80"/>
        </w:trPr>
        <w:tc>
          <w:tcPr>
            <w:tcW w:w="4559" w:type="dxa"/>
          </w:tcPr>
          <w:p w14:paraId="5E850C4C" w14:textId="77777777" w:rsidR="00A40305" w:rsidRDefault="00A40305" w:rsidP="00DA2574">
            <w:pPr>
              <w:pStyle w:val="Tabulka"/>
              <w:jc w:val="center"/>
            </w:pPr>
            <w:r>
              <w:t>..........................................</w:t>
            </w:r>
          </w:p>
        </w:tc>
        <w:tc>
          <w:tcPr>
            <w:tcW w:w="4559" w:type="dxa"/>
          </w:tcPr>
          <w:p w14:paraId="0B38CB03" w14:textId="77777777" w:rsidR="00A40305" w:rsidRDefault="00A40305" w:rsidP="00DA2574">
            <w:pPr>
              <w:pStyle w:val="Tabulka"/>
              <w:jc w:val="center"/>
            </w:pPr>
            <w:r>
              <w:t>..........................................</w:t>
            </w:r>
          </w:p>
        </w:tc>
      </w:tr>
      <w:tr w:rsidR="00A40305" w14:paraId="29BEEA8A" w14:textId="77777777" w:rsidTr="00DA2574">
        <w:trPr>
          <w:cantSplit/>
          <w:trHeight w:val="1286"/>
        </w:trPr>
        <w:tc>
          <w:tcPr>
            <w:tcW w:w="4559" w:type="dxa"/>
          </w:tcPr>
          <w:p w14:paraId="68F75D30" w14:textId="27A66D39" w:rsidR="00E02FD9" w:rsidRDefault="00E02FD9" w:rsidP="00E02FD9">
            <w:pPr>
              <w:pStyle w:val="Tabulka"/>
              <w:jc w:val="center"/>
            </w:pPr>
            <w:r>
              <w:t>Thomas Merker</w:t>
            </w:r>
          </w:p>
          <w:p w14:paraId="74BED82B" w14:textId="77777777" w:rsidR="00E02FD9" w:rsidRDefault="00E02FD9" w:rsidP="00E02FD9">
            <w:pPr>
              <w:pStyle w:val="Tabulka"/>
              <w:jc w:val="center"/>
            </w:pPr>
            <w:r>
              <w:t>jednatel</w:t>
            </w:r>
            <w:r w:rsidRPr="00E05CCF">
              <w:t xml:space="preserve"> </w:t>
            </w:r>
          </w:p>
          <w:p w14:paraId="55F0EEC4" w14:textId="77777777" w:rsidR="00A40305" w:rsidRDefault="00A40305" w:rsidP="00BF4331">
            <w:pPr>
              <w:pStyle w:val="Tabulka"/>
              <w:jc w:val="center"/>
            </w:pPr>
          </w:p>
        </w:tc>
        <w:tc>
          <w:tcPr>
            <w:tcW w:w="4559" w:type="dxa"/>
          </w:tcPr>
          <w:p w14:paraId="771F6D31" w14:textId="77777777" w:rsidR="00A40305" w:rsidRDefault="001B4E9A" w:rsidP="00DA2574">
            <w:pPr>
              <w:pStyle w:val="Tabulka"/>
              <w:jc w:val="center"/>
            </w:pPr>
            <w:r>
              <w:t>Petr Cintula</w:t>
            </w:r>
          </w:p>
          <w:p w14:paraId="1704AF1F" w14:textId="3D50712C" w:rsidR="001B4E9A" w:rsidRDefault="001B4E9A" w:rsidP="00DA2574">
            <w:pPr>
              <w:pStyle w:val="Tabulka"/>
              <w:jc w:val="center"/>
            </w:pPr>
            <w:r>
              <w:t>ředitel</w:t>
            </w:r>
          </w:p>
        </w:tc>
      </w:tr>
      <w:tr w:rsidR="00A40305" w14:paraId="2A1E5919" w14:textId="77777777" w:rsidTr="00DA2574">
        <w:trPr>
          <w:cantSplit/>
          <w:trHeight w:val="792"/>
        </w:trPr>
        <w:tc>
          <w:tcPr>
            <w:tcW w:w="4559" w:type="dxa"/>
          </w:tcPr>
          <w:p w14:paraId="1C388567" w14:textId="77777777" w:rsidR="00A40305" w:rsidRDefault="00A40305" w:rsidP="00DA2574">
            <w:pPr>
              <w:pStyle w:val="Tabulka"/>
              <w:jc w:val="center"/>
            </w:pPr>
          </w:p>
          <w:p w14:paraId="3F628F05" w14:textId="77777777" w:rsidR="00A40305" w:rsidRDefault="00A40305" w:rsidP="00DA2574">
            <w:pPr>
              <w:pStyle w:val="Tabulka"/>
              <w:jc w:val="center"/>
            </w:pPr>
            <w:r>
              <w:t>..........................................</w:t>
            </w:r>
          </w:p>
        </w:tc>
        <w:tc>
          <w:tcPr>
            <w:tcW w:w="4559" w:type="dxa"/>
          </w:tcPr>
          <w:p w14:paraId="43157B0C" w14:textId="77777777" w:rsidR="00A40305" w:rsidRPr="001C2E23" w:rsidRDefault="00A40305" w:rsidP="00DA2574">
            <w:pPr>
              <w:pStyle w:val="Tabulka"/>
              <w:jc w:val="center"/>
              <w:rPr>
                <w:szCs w:val="24"/>
              </w:rPr>
            </w:pPr>
          </w:p>
        </w:tc>
      </w:tr>
      <w:tr w:rsidR="00A40305" w14:paraId="3271E05B" w14:textId="77777777" w:rsidTr="00DA2574">
        <w:trPr>
          <w:cantSplit/>
          <w:trHeight w:val="1286"/>
        </w:trPr>
        <w:tc>
          <w:tcPr>
            <w:tcW w:w="4559" w:type="dxa"/>
          </w:tcPr>
          <w:p w14:paraId="7BCA4808" w14:textId="77777777" w:rsidR="00E02FD9" w:rsidRDefault="00E02FD9" w:rsidP="00DA2574">
            <w:pPr>
              <w:pStyle w:val="Tabulka"/>
              <w:jc w:val="center"/>
            </w:pPr>
            <w:r>
              <w:t>Pavel Dočekal</w:t>
            </w:r>
          </w:p>
          <w:p w14:paraId="42E69B3B" w14:textId="4C3080CE" w:rsidR="00A40305" w:rsidRDefault="00A40305" w:rsidP="00DA2574">
            <w:pPr>
              <w:pStyle w:val="Tabulka"/>
              <w:jc w:val="center"/>
            </w:pPr>
            <w:r>
              <w:t>jednatel</w:t>
            </w:r>
            <w:r w:rsidRPr="00E05CCF">
              <w:t xml:space="preserve"> </w:t>
            </w:r>
          </w:p>
          <w:p w14:paraId="23DE0824" w14:textId="77777777" w:rsidR="00A40305" w:rsidRDefault="00A40305" w:rsidP="00DA2574">
            <w:pPr>
              <w:pStyle w:val="Tabulka"/>
              <w:jc w:val="center"/>
            </w:pPr>
          </w:p>
        </w:tc>
        <w:tc>
          <w:tcPr>
            <w:tcW w:w="4559" w:type="dxa"/>
          </w:tcPr>
          <w:p w14:paraId="17EB2186" w14:textId="77777777" w:rsidR="00A40305" w:rsidRPr="001C2E23" w:rsidRDefault="00A40305" w:rsidP="00DA2574">
            <w:pPr>
              <w:pStyle w:val="Tabulka"/>
              <w:jc w:val="center"/>
              <w:rPr>
                <w:szCs w:val="24"/>
              </w:rPr>
            </w:pPr>
          </w:p>
        </w:tc>
      </w:tr>
    </w:tbl>
    <w:p w14:paraId="55B8D242" w14:textId="77777777" w:rsidR="00A40305" w:rsidRDefault="00A40305" w:rsidP="00A40305">
      <w:pPr>
        <w:pStyle w:val="Hlavicka"/>
        <w:keepNext w:val="0"/>
        <w:spacing w:before="0"/>
        <w:rPr>
          <w:szCs w:val="24"/>
        </w:rPr>
      </w:pPr>
      <w:bookmarkStart w:id="0" w:name="_GoBack"/>
      <w:bookmarkEnd w:id="0"/>
    </w:p>
    <w:sectPr w:rsidR="00A40305" w:rsidSect="00BF43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E6C4E" w14:textId="77777777" w:rsidR="008317CE" w:rsidRDefault="008317CE">
      <w:r>
        <w:separator/>
      </w:r>
    </w:p>
  </w:endnote>
  <w:endnote w:type="continuationSeparator" w:id="0">
    <w:p w14:paraId="5DD23158" w14:textId="77777777" w:rsidR="008317CE" w:rsidRDefault="0083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A4F5" w14:textId="359281E8" w:rsidR="00DA2574" w:rsidRDefault="00CB0F10">
    <w:pPr>
      <w:pStyle w:val="Zpat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5" w:color="auto" w:fill="auto"/>
      <w:tabs>
        <w:tab w:val="clear" w:pos="4536"/>
      </w:tabs>
    </w:pPr>
    <w:r>
      <w:t xml:space="preserve">Smlouva o dílo – správa a rozvoj matematických modelů a postupů 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BF4331">
      <w:rPr>
        <w:noProof/>
      </w:rPr>
      <w:t>9</w:t>
    </w:r>
    <w:r>
      <w:fldChar w:fldCharType="end"/>
    </w:r>
    <w: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BF4331">
      <w:rPr>
        <w:rStyle w:val="slostrnky"/>
        <w:noProof/>
      </w:rPr>
      <w:t>9</w:t>
    </w:r>
    <w:r>
      <w:rPr>
        <w:rStyle w:val="slostrnky"/>
      </w:rPr>
      <w:fldChar w:fldCharType="end"/>
    </w:r>
    <w:r>
      <w:t xml:space="preserve"> </w:t>
    </w:r>
  </w:p>
  <w:p w14:paraId="65B103DF" w14:textId="77777777" w:rsidR="00DA2574" w:rsidRDefault="00DA2574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E0B0B" w14:textId="77777777" w:rsidR="008317CE" w:rsidRDefault="008317CE">
      <w:r>
        <w:separator/>
      </w:r>
    </w:p>
  </w:footnote>
  <w:footnote w:type="continuationSeparator" w:id="0">
    <w:p w14:paraId="5612D0D7" w14:textId="77777777" w:rsidR="008317CE" w:rsidRDefault="00831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4206"/>
    <w:multiLevelType w:val="hybridMultilevel"/>
    <w:tmpl w:val="8DEE89C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180F"/>
    <w:multiLevelType w:val="hybridMultilevel"/>
    <w:tmpl w:val="AA10B8EE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70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D4E27"/>
    <w:multiLevelType w:val="hybridMultilevel"/>
    <w:tmpl w:val="DA7077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05CEE"/>
    <w:multiLevelType w:val="hybridMultilevel"/>
    <w:tmpl w:val="03E2484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32DE8"/>
    <w:multiLevelType w:val="hybridMultilevel"/>
    <w:tmpl w:val="8DEE89C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96876"/>
    <w:multiLevelType w:val="hybridMultilevel"/>
    <w:tmpl w:val="AA10B8EE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70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7317"/>
    <w:multiLevelType w:val="hybridMultilevel"/>
    <w:tmpl w:val="000E9B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7A3F78"/>
    <w:multiLevelType w:val="hybridMultilevel"/>
    <w:tmpl w:val="187CB2A6"/>
    <w:lvl w:ilvl="0" w:tplc="3A1EF1BA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AD8E806">
      <w:start w:val="1"/>
      <w:numFmt w:val="lowerLetter"/>
      <w:lvlText w:val="%3)"/>
      <w:lvlJc w:val="left"/>
      <w:pPr>
        <w:ind w:left="2370" w:hanging="39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56E77"/>
    <w:multiLevelType w:val="hybridMultilevel"/>
    <w:tmpl w:val="8DEE89C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057C0"/>
    <w:multiLevelType w:val="hybridMultilevel"/>
    <w:tmpl w:val="8DEE89C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22BA5"/>
    <w:multiLevelType w:val="hybridMultilevel"/>
    <w:tmpl w:val="8DEE89C4"/>
    <w:lvl w:ilvl="0" w:tplc="6EB0EF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04184"/>
    <w:multiLevelType w:val="hybridMultilevel"/>
    <w:tmpl w:val="8C8A0B66"/>
    <w:lvl w:ilvl="0" w:tplc="DF567616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AD8E806">
      <w:start w:val="1"/>
      <w:numFmt w:val="lowerLetter"/>
      <w:lvlText w:val="%3)"/>
      <w:lvlJc w:val="left"/>
      <w:pPr>
        <w:ind w:left="2370" w:hanging="39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64D58"/>
    <w:multiLevelType w:val="hybridMultilevel"/>
    <w:tmpl w:val="8DEE89C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E083B"/>
    <w:multiLevelType w:val="hybridMultilevel"/>
    <w:tmpl w:val="8DEE89C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644DD"/>
    <w:multiLevelType w:val="multilevel"/>
    <w:tmpl w:val="AB3488A4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224"/>
        </w:tabs>
        <w:ind w:left="1224" w:hanging="504"/>
      </w:pPr>
      <w:rPr>
        <w:rFonts w:asci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7626663"/>
    <w:multiLevelType w:val="hybridMultilevel"/>
    <w:tmpl w:val="8DEE89C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5282B"/>
    <w:multiLevelType w:val="hybridMultilevel"/>
    <w:tmpl w:val="D7CEB88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7"/>
  </w:num>
  <w:num w:numId="10">
    <w:abstractNumId w:val="14"/>
  </w:num>
  <w:num w:numId="11">
    <w:abstractNumId w:val="1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9"/>
  </w:num>
  <w:num w:numId="25">
    <w:abstractNumId w:val="1"/>
  </w:num>
  <w:num w:numId="26">
    <w:abstractNumId w:val="8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05"/>
    <w:rsid w:val="00012131"/>
    <w:rsid w:val="00103A72"/>
    <w:rsid w:val="0013539D"/>
    <w:rsid w:val="00151A0E"/>
    <w:rsid w:val="001A5E6B"/>
    <w:rsid w:val="001B4E9A"/>
    <w:rsid w:val="001F0874"/>
    <w:rsid w:val="001F4696"/>
    <w:rsid w:val="00217F35"/>
    <w:rsid w:val="00361DAA"/>
    <w:rsid w:val="003B5910"/>
    <w:rsid w:val="003E63C2"/>
    <w:rsid w:val="003F517D"/>
    <w:rsid w:val="00455FF9"/>
    <w:rsid w:val="004648FF"/>
    <w:rsid w:val="004711C0"/>
    <w:rsid w:val="00495C2E"/>
    <w:rsid w:val="00504D8A"/>
    <w:rsid w:val="00523AF1"/>
    <w:rsid w:val="00542755"/>
    <w:rsid w:val="005713FF"/>
    <w:rsid w:val="00571DFD"/>
    <w:rsid w:val="00696623"/>
    <w:rsid w:val="006B0CBB"/>
    <w:rsid w:val="00726BA4"/>
    <w:rsid w:val="007935AA"/>
    <w:rsid w:val="007F0440"/>
    <w:rsid w:val="008025FD"/>
    <w:rsid w:val="008317CE"/>
    <w:rsid w:val="00832A86"/>
    <w:rsid w:val="00846435"/>
    <w:rsid w:val="0088775D"/>
    <w:rsid w:val="008B0906"/>
    <w:rsid w:val="008F5095"/>
    <w:rsid w:val="009C690D"/>
    <w:rsid w:val="009D130E"/>
    <w:rsid w:val="00A40305"/>
    <w:rsid w:val="00A5488B"/>
    <w:rsid w:val="00A666A7"/>
    <w:rsid w:val="00BF4331"/>
    <w:rsid w:val="00C43394"/>
    <w:rsid w:val="00C43933"/>
    <w:rsid w:val="00C46E2B"/>
    <w:rsid w:val="00C62E49"/>
    <w:rsid w:val="00C6682E"/>
    <w:rsid w:val="00C85D59"/>
    <w:rsid w:val="00CA3C6B"/>
    <w:rsid w:val="00CB0F10"/>
    <w:rsid w:val="00CC2FEA"/>
    <w:rsid w:val="00CC4A63"/>
    <w:rsid w:val="00CD17D6"/>
    <w:rsid w:val="00CE65EF"/>
    <w:rsid w:val="00D14D31"/>
    <w:rsid w:val="00DA2574"/>
    <w:rsid w:val="00E02FD9"/>
    <w:rsid w:val="00E55697"/>
    <w:rsid w:val="00E91AAF"/>
    <w:rsid w:val="00ED0A3B"/>
    <w:rsid w:val="00F9694C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51A2F"/>
  <w15:docId w15:val="{48412CC4-8EB9-4E95-BE46-AE2F7CF1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03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A40305"/>
    <w:pPr>
      <w:spacing w:before="240" w:after="60"/>
      <w:jc w:val="left"/>
      <w:outlineLvl w:val="2"/>
    </w:pPr>
    <w:rPr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4030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itul">
    <w:name w:val="Titul"/>
    <w:basedOn w:val="Normln"/>
    <w:next w:val="Normln"/>
    <w:rsid w:val="00A40305"/>
    <w:pPr>
      <w:keepNext/>
      <w:keepLines/>
      <w:spacing w:before="240" w:after="240"/>
      <w:jc w:val="center"/>
    </w:pPr>
    <w:rPr>
      <w:b/>
      <w:sz w:val="36"/>
      <w:szCs w:val="20"/>
    </w:rPr>
  </w:style>
  <w:style w:type="paragraph" w:customStyle="1" w:styleId="Smluvnistrana">
    <w:name w:val="Smluvni strana"/>
    <w:basedOn w:val="Normln"/>
    <w:rsid w:val="00A40305"/>
    <w:pPr>
      <w:keepNext/>
      <w:tabs>
        <w:tab w:val="num" w:pos="425"/>
      </w:tabs>
      <w:spacing w:before="120" w:after="60"/>
      <w:ind w:left="425" w:hanging="425"/>
    </w:pPr>
    <w:rPr>
      <w:b/>
      <w:szCs w:val="20"/>
    </w:rPr>
  </w:style>
  <w:style w:type="paragraph" w:customStyle="1" w:styleId="Hlavicka">
    <w:name w:val="Hlavicka"/>
    <w:basedOn w:val="Normln"/>
    <w:rsid w:val="00A40305"/>
    <w:pPr>
      <w:keepNext/>
      <w:spacing w:before="60"/>
    </w:pPr>
    <w:rPr>
      <w:szCs w:val="20"/>
    </w:rPr>
  </w:style>
  <w:style w:type="paragraph" w:customStyle="1" w:styleId="Tabulka">
    <w:name w:val="Tabulka"/>
    <w:basedOn w:val="Normln"/>
    <w:rsid w:val="00A40305"/>
    <w:pPr>
      <w:keepNext/>
      <w:spacing w:before="60" w:after="60"/>
      <w:jc w:val="left"/>
    </w:pPr>
    <w:rPr>
      <w:szCs w:val="20"/>
    </w:rPr>
  </w:style>
  <w:style w:type="paragraph" w:styleId="Zkladntext">
    <w:name w:val="Body Text"/>
    <w:basedOn w:val="Normln"/>
    <w:link w:val="ZkladntextChar"/>
    <w:semiHidden/>
    <w:rsid w:val="00A40305"/>
    <w:pPr>
      <w:numPr>
        <w:numId w:val="1"/>
      </w:num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403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">
    <w:name w:val="Článek"/>
    <w:basedOn w:val="Titul"/>
    <w:rsid w:val="00A40305"/>
    <w:pPr>
      <w:spacing w:after="120"/>
    </w:pPr>
    <w:rPr>
      <w:sz w:val="32"/>
    </w:rPr>
  </w:style>
  <w:style w:type="paragraph" w:styleId="Zpat">
    <w:name w:val="footer"/>
    <w:basedOn w:val="Normln"/>
    <w:link w:val="ZpatChar"/>
    <w:semiHidden/>
    <w:rsid w:val="00A403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403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A40305"/>
  </w:style>
  <w:style w:type="character" w:styleId="Odkaznakoment">
    <w:name w:val="annotation reference"/>
    <w:semiHidden/>
    <w:rsid w:val="00A4030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403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403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semiHidden/>
    <w:rsid w:val="00A40305"/>
    <w:pPr>
      <w:spacing w:before="100" w:beforeAutospacing="1" w:after="100" w:afterAutospacing="1"/>
      <w:jc w:val="left"/>
    </w:pPr>
  </w:style>
  <w:style w:type="paragraph" w:styleId="Textvysvtlivek">
    <w:name w:val="endnote text"/>
    <w:basedOn w:val="Normln"/>
    <w:link w:val="TextvysvtlivekChar"/>
    <w:semiHidden/>
    <w:rsid w:val="00A40305"/>
    <w:pPr>
      <w:widowControl w:val="0"/>
      <w:jc w:val="left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A403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A40305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A40305"/>
    <w:pPr>
      <w:spacing w:after="120" w:line="480" w:lineRule="auto"/>
      <w:jc w:val="left"/>
    </w:pPr>
    <w:rPr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40305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40305"/>
    <w:pPr>
      <w:spacing w:after="80"/>
      <w:ind w:left="720"/>
      <w:contextualSpacing/>
      <w:jc w:val="left"/>
    </w:pPr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3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3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40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2615</Words>
  <Characters>15431</Characters>
  <Application>Microsoft Office Word</Application>
  <DocSecurity>4</DocSecurity>
  <Lines>128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Johnová Lenka</dc:creator>
  <cp:keywords/>
  <dc:description/>
  <cp:lastModifiedBy>Dana Kuzelova</cp:lastModifiedBy>
  <cp:revision>2</cp:revision>
  <dcterms:created xsi:type="dcterms:W3CDTF">2023-02-09T10:13:00Z</dcterms:created>
  <dcterms:modified xsi:type="dcterms:W3CDTF">2023-02-09T10:13:00Z</dcterms:modified>
</cp:coreProperties>
</file>