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67CD" w14:textId="77777777" w:rsidR="00FE0D9E" w:rsidRDefault="00FE0D9E"/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B363DC" w:rsidRPr="00DB7947" w14:paraId="61C16F24" w14:textId="77777777" w:rsidTr="00DB7947">
        <w:tc>
          <w:tcPr>
            <w:tcW w:w="9211" w:type="dxa"/>
          </w:tcPr>
          <w:p w14:paraId="1373EFC1" w14:textId="7DDB54EC" w:rsidR="00B363DC" w:rsidRPr="00DB7947" w:rsidRDefault="00B363DC" w:rsidP="00DC2F6B">
            <w:pPr>
              <w:jc w:val="center"/>
              <w:rPr>
                <w:b/>
                <w:sz w:val="28"/>
                <w:szCs w:val="28"/>
              </w:rPr>
            </w:pPr>
            <w:r w:rsidRPr="00DB7947">
              <w:rPr>
                <w:b/>
                <w:sz w:val="28"/>
                <w:szCs w:val="28"/>
              </w:rPr>
              <w:t xml:space="preserve">DODATEK Č. </w:t>
            </w:r>
            <w:r w:rsidR="00A50BFF">
              <w:rPr>
                <w:b/>
                <w:sz w:val="28"/>
                <w:szCs w:val="28"/>
              </w:rPr>
              <w:t>2</w:t>
            </w:r>
          </w:p>
        </w:tc>
      </w:tr>
      <w:tr w:rsidR="00B363DC" w:rsidRPr="00DB7947" w14:paraId="0952F977" w14:textId="77777777" w:rsidTr="00DB7947">
        <w:tc>
          <w:tcPr>
            <w:tcW w:w="9211" w:type="dxa"/>
          </w:tcPr>
          <w:p w14:paraId="54D1A27A" w14:textId="77777777" w:rsidR="00B363DC" w:rsidRPr="00DB7947" w:rsidRDefault="00B363DC" w:rsidP="00DB7947">
            <w:pPr>
              <w:jc w:val="center"/>
              <w:rPr>
                <w:b/>
                <w:sz w:val="28"/>
                <w:szCs w:val="28"/>
              </w:rPr>
            </w:pPr>
            <w:r w:rsidRPr="00DB7947">
              <w:rPr>
                <w:b/>
                <w:sz w:val="28"/>
                <w:szCs w:val="28"/>
              </w:rPr>
              <w:t>KE SMLOUVĚ O POSKYTNUTÍ NADAČNÍHO PŘÍSPĚVKU</w:t>
            </w:r>
          </w:p>
        </w:tc>
      </w:tr>
    </w:tbl>
    <w:p w14:paraId="4F390739" w14:textId="77777777" w:rsidR="00B363DC" w:rsidRDefault="00B363DC" w:rsidP="00B363DC"/>
    <w:p w14:paraId="59D6EA00" w14:textId="77777777" w:rsidR="00ED1E6B" w:rsidRDefault="00ED1E6B" w:rsidP="00B363DC"/>
    <w:p w14:paraId="24DBE91A" w14:textId="77777777" w:rsidR="00B363DC" w:rsidRPr="0093033E" w:rsidRDefault="00B363DC" w:rsidP="00B363DC">
      <w:r w:rsidRPr="0093033E">
        <w:t>Níže uvedeného dne, měsíce a roku následující smluvní strany:</w:t>
      </w:r>
    </w:p>
    <w:p w14:paraId="238A61E4" w14:textId="77777777" w:rsidR="00B363DC" w:rsidRPr="0093033E" w:rsidRDefault="00B363DC" w:rsidP="00B363DC"/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B363DC" w:rsidRPr="0093033E" w14:paraId="6030F2B0" w14:textId="77777777" w:rsidTr="00DB7947">
        <w:tc>
          <w:tcPr>
            <w:tcW w:w="9210" w:type="dxa"/>
          </w:tcPr>
          <w:p w14:paraId="0EDA1A55" w14:textId="4D527636" w:rsidR="00B363DC" w:rsidRPr="00DD2AC9" w:rsidRDefault="00B363DC" w:rsidP="00783D18">
            <w:pPr>
              <w:keepNext/>
            </w:pPr>
            <w:r w:rsidRPr="00DB7947">
              <w:rPr>
                <w:b/>
              </w:rPr>
              <w:t>Nadace Sirius</w:t>
            </w:r>
            <w:r w:rsidRPr="00DD2AC9">
              <w:t xml:space="preserve">, </w:t>
            </w:r>
            <w:r>
              <w:t xml:space="preserve">se sídlem Praha 1, </w:t>
            </w:r>
            <w:r w:rsidR="00783D18">
              <w:t>Všehrdova</w:t>
            </w:r>
            <w:r>
              <w:t xml:space="preserve"> </w:t>
            </w:r>
            <w:r w:rsidR="00783D18">
              <w:t>560/</w:t>
            </w:r>
            <w:r>
              <w:t>2,</w:t>
            </w:r>
            <w:r w:rsidRPr="00DD2AC9">
              <w:t xml:space="preserve"> </w:t>
            </w:r>
            <w:r>
              <w:t>PSČ 118 00</w:t>
            </w:r>
            <w:r w:rsidRPr="00DD2AC9">
              <w:t xml:space="preserve">, </w:t>
            </w:r>
            <w:r>
              <w:t>IČ 28418808</w:t>
            </w:r>
            <w:r w:rsidRPr="00DD2AC9">
              <w:t xml:space="preserve">, </w:t>
            </w:r>
            <w:r>
              <w:t>zapsaná u Městského soudu v Praze</w:t>
            </w:r>
            <w:r w:rsidRPr="00DD2AC9">
              <w:t xml:space="preserve">, </w:t>
            </w:r>
            <w:r>
              <w:t>oddíl N, vložka 693</w:t>
            </w:r>
            <w:r w:rsidR="00E24142">
              <w:t xml:space="preserve">, zastoupená </w:t>
            </w:r>
            <w:r w:rsidR="00151DFC">
              <w:t>xxx</w:t>
            </w:r>
            <w:r w:rsidR="00E24142">
              <w:t>, předsedou správní rady</w:t>
            </w:r>
            <w:r w:rsidRPr="00DD2AC9">
              <w:t xml:space="preserve"> (dále jen „</w:t>
            </w:r>
            <w:r w:rsidRPr="00DB7947">
              <w:rPr>
                <w:b/>
              </w:rPr>
              <w:t>Nadace</w:t>
            </w:r>
            <w:r w:rsidRPr="00DD2AC9">
              <w:t>“)</w:t>
            </w:r>
          </w:p>
        </w:tc>
      </w:tr>
      <w:tr w:rsidR="00B363DC" w:rsidRPr="0093033E" w14:paraId="042EA17E" w14:textId="77777777" w:rsidTr="00DB7947">
        <w:tc>
          <w:tcPr>
            <w:tcW w:w="9210" w:type="dxa"/>
          </w:tcPr>
          <w:p w14:paraId="50DB3289" w14:textId="77777777" w:rsidR="00B363DC" w:rsidRPr="00DD2AC9" w:rsidRDefault="00B363DC" w:rsidP="00DB7947">
            <w:pPr>
              <w:keepNext/>
            </w:pPr>
          </w:p>
        </w:tc>
      </w:tr>
      <w:tr w:rsidR="00B363DC" w:rsidRPr="0093033E" w14:paraId="79271E6E" w14:textId="77777777" w:rsidTr="00DB7947">
        <w:tc>
          <w:tcPr>
            <w:tcW w:w="9210" w:type="dxa"/>
          </w:tcPr>
          <w:p w14:paraId="0BF60B96" w14:textId="77777777" w:rsidR="00B363DC" w:rsidRPr="00D16ED3" w:rsidRDefault="00AF1528" w:rsidP="00DB7947">
            <w:pPr>
              <w:keepNext/>
            </w:pPr>
            <w:r>
              <w:t>a</w:t>
            </w:r>
          </w:p>
        </w:tc>
      </w:tr>
      <w:tr w:rsidR="00B363DC" w:rsidRPr="0093033E" w14:paraId="3575B4CE" w14:textId="77777777" w:rsidTr="00DB7947">
        <w:tc>
          <w:tcPr>
            <w:tcW w:w="9210" w:type="dxa"/>
          </w:tcPr>
          <w:p w14:paraId="6CC750DA" w14:textId="77777777" w:rsidR="00B363DC" w:rsidRPr="00D16ED3" w:rsidRDefault="00B363DC" w:rsidP="00DB7947">
            <w:pPr>
              <w:keepNext/>
            </w:pPr>
          </w:p>
        </w:tc>
      </w:tr>
      <w:tr w:rsidR="00B363DC" w:rsidRPr="0093033E" w14:paraId="21877774" w14:textId="77777777" w:rsidTr="00DB7947">
        <w:tc>
          <w:tcPr>
            <w:tcW w:w="9210" w:type="dxa"/>
          </w:tcPr>
          <w:p w14:paraId="7FA6152E" w14:textId="440007E4" w:rsidR="00B363DC" w:rsidRPr="00DB7947" w:rsidRDefault="005B38FF" w:rsidP="00783D18">
            <w:pPr>
              <w:pStyle w:val="Zkladntextodsazen"/>
              <w:keepNext/>
              <w:ind w:left="0"/>
              <w:rPr>
                <w:szCs w:val="24"/>
              </w:rPr>
            </w:pPr>
            <w:r>
              <w:rPr>
                <w:b/>
              </w:rPr>
              <w:t>Všeobecná fakultní nemocnice v Praze</w:t>
            </w:r>
            <w:r w:rsidRPr="00DD1C67">
              <w:t>,</w:t>
            </w:r>
            <w:r w:rsidRPr="00DD2AC9">
              <w:t xml:space="preserve"> </w:t>
            </w:r>
            <w:r>
              <w:t>se sídlem U Nemocnice 499/2, Praha 2, PSČ 128 08</w:t>
            </w:r>
            <w:r w:rsidRPr="00DD2AC9">
              <w:t xml:space="preserve">, </w:t>
            </w:r>
            <w:r>
              <w:t>IČ: 00064165</w:t>
            </w:r>
            <w:r w:rsidRPr="00DD2AC9">
              <w:t xml:space="preserve">, </w:t>
            </w:r>
            <w:r>
              <w:t xml:space="preserve">zastoupená </w:t>
            </w:r>
            <w:r w:rsidRPr="0026339D">
              <w:t xml:space="preserve">prof. MUDr. </w:t>
            </w:r>
            <w:r w:rsidR="00151DFC">
              <w:t>xxx</w:t>
            </w:r>
            <w:r w:rsidRPr="0026339D">
              <w:t>, PhD., MBA</w:t>
            </w:r>
            <w:r>
              <w:t>, ředitelem</w:t>
            </w:r>
            <w:r w:rsidRPr="00DD2AC9">
              <w:t xml:space="preserve"> </w:t>
            </w:r>
            <w:r w:rsidR="0083528C" w:rsidRPr="00DD2AC9">
              <w:t>(dále jen „</w:t>
            </w:r>
            <w:r w:rsidR="0083528C" w:rsidRPr="00091E8C">
              <w:rPr>
                <w:b/>
              </w:rPr>
              <w:t>Příjemce</w:t>
            </w:r>
            <w:r w:rsidR="0083528C" w:rsidRPr="00DD2AC9">
              <w:t>“)</w:t>
            </w:r>
          </w:p>
        </w:tc>
      </w:tr>
      <w:tr w:rsidR="00B363DC" w:rsidRPr="0093033E" w14:paraId="0FA05E72" w14:textId="77777777" w:rsidTr="00DB7947">
        <w:tc>
          <w:tcPr>
            <w:tcW w:w="9210" w:type="dxa"/>
          </w:tcPr>
          <w:p w14:paraId="64FE6CCA" w14:textId="77777777" w:rsidR="00B363DC" w:rsidRPr="00DB7947" w:rsidRDefault="00B363DC" w:rsidP="00DB7947">
            <w:pPr>
              <w:keepNext/>
              <w:rPr>
                <w:rFonts w:ascii="Tahoma" w:hAnsi="Tahoma"/>
              </w:rPr>
            </w:pPr>
          </w:p>
        </w:tc>
      </w:tr>
      <w:tr w:rsidR="00B363DC" w:rsidRPr="0093033E" w14:paraId="30700AED" w14:textId="77777777" w:rsidTr="00DB7947">
        <w:tc>
          <w:tcPr>
            <w:tcW w:w="9210" w:type="dxa"/>
          </w:tcPr>
          <w:p w14:paraId="165405D2" w14:textId="131D0DB2" w:rsidR="00B363DC" w:rsidRPr="00DD2AC9" w:rsidRDefault="00B363DC" w:rsidP="00F0129E">
            <w:pPr>
              <w:keepNext/>
            </w:pPr>
            <w:r w:rsidRPr="00DD2AC9">
              <w:t>(</w:t>
            </w:r>
            <w:r>
              <w:t>Nadace</w:t>
            </w:r>
            <w:r w:rsidRPr="00DD2AC9">
              <w:t xml:space="preserve"> a </w:t>
            </w:r>
            <w:r>
              <w:t xml:space="preserve">Příjemce budou v tomto Dodatku č. </w:t>
            </w:r>
            <w:r w:rsidR="00A50BFF">
              <w:t>2</w:t>
            </w:r>
            <w:r w:rsidRPr="00DD2AC9">
              <w:t xml:space="preserve"> označován</w:t>
            </w:r>
            <w:r>
              <w:t>i</w:t>
            </w:r>
            <w:r w:rsidRPr="00DD2AC9">
              <w:t xml:space="preserve"> jednotlivě jako „</w:t>
            </w:r>
            <w:r w:rsidRPr="00DB7947">
              <w:rPr>
                <w:b/>
              </w:rPr>
              <w:t>Strana</w:t>
            </w:r>
            <w:r w:rsidRPr="00DD2AC9">
              <w:t>“ a společně jako „</w:t>
            </w:r>
            <w:r w:rsidRPr="00DB7947">
              <w:rPr>
                <w:b/>
              </w:rPr>
              <w:t>Strany</w:t>
            </w:r>
            <w:r w:rsidRPr="00DD2AC9">
              <w:t>“)</w:t>
            </w:r>
          </w:p>
        </w:tc>
      </w:tr>
    </w:tbl>
    <w:p w14:paraId="5560046E" w14:textId="0379712E" w:rsidR="00B363DC" w:rsidRDefault="00B363DC" w:rsidP="00B363DC">
      <w:pPr>
        <w:jc w:val="center"/>
      </w:pPr>
      <w:r>
        <w:t>uzavřely tento</w:t>
      </w:r>
    </w:p>
    <w:p w14:paraId="64F7A51C" w14:textId="77777777" w:rsidR="00396C27" w:rsidRPr="0093033E" w:rsidRDefault="00396C27" w:rsidP="00B363DC">
      <w:pPr>
        <w:jc w:val="center"/>
      </w:pPr>
    </w:p>
    <w:p w14:paraId="5F96E419" w14:textId="77777777" w:rsidR="00B363DC" w:rsidRPr="0093033E" w:rsidRDefault="00B363DC" w:rsidP="00B363DC">
      <w:pPr>
        <w:jc w:val="center"/>
      </w:pPr>
    </w:p>
    <w:p w14:paraId="3AB981C0" w14:textId="7B91C302" w:rsidR="00B363DC" w:rsidRDefault="00B363DC" w:rsidP="00B363DC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 xml:space="preserve">Dodatek Č. </w:t>
      </w:r>
      <w:r w:rsidR="00A50BFF">
        <w:rPr>
          <w:caps/>
          <w:szCs w:val="24"/>
          <w:u w:val="single"/>
        </w:rPr>
        <w:t>2</w:t>
      </w:r>
      <w:r>
        <w:rPr>
          <w:caps/>
          <w:szCs w:val="24"/>
          <w:u w:val="single"/>
        </w:rPr>
        <w:t xml:space="preserve"> ke Smlouvě o poskytnutí nadačního příspěvku</w:t>
      </w:r>
    </w:p>
    <w:p w14:paraId="79B38773" w14:textId="77777777" w:rsidR="00B363DC" w:rsidRPr="0093033E" w:rsidRDefault="00B363DC" w:rsidP="00B363DC">
      <w:pPr>
        <w:jc w:val="center"/>
        <w:rPr>
          <w:szCs w:val="24"/>
        </w:rPr>
      </w:pPr>
      <w:r w:rsidRPr="0093033E">
        <w:rPr>
          <w:szCs w:val="24"/>
        </w:rPr>
        <w:t>(dále jen „</w:t>
      </w:r>
      <w:r>
        <w:rPr>
          <w:b/>
        </w:rPr>
        <w:t>Dodatek</w:t>
      </w:r>
      <w:r w:rsidRPr="0093033E">
        <w:rPr>
          <w:szCs w:val="24"/>
        </w:rPr>
        <w:t>“)</w:t>
      </w:r>
    </w:p>
    <w:p w14:paraId="77604BC6" w14:textId="77777777" w:rsidR="00B363DC" w:rsidRDefault="00B363DC" w:rsidP="00B363DC">
      <w:pPr>
        <w:rPr>
          <w:szCs w:val="24"/>
        </w:rPr>
      </w:pPr>
    </w:p>
    <w:p w14:paraId="0A507819" w14:textId="77777777" w:rsidR="00396C27" w:rsidRDefault="00396C27" w:rsidP="00B363DC">
      <w:pPr>
        <w:rPr>
          <w:szCs w:val="24"/>
        </w:rPr>
      </w:pPr>
    </w:p>
    <w:p w14:paraId="12B5EFE6" w14:textId="74A57398" w:rsidR="00B363DC" w:rsidRDefault="00B363DC" w:rsidP="00B363DC">
      <w:pPr>
        <w:rPr>
          <w:szCs w:val="24"/>
        </w:rPr>
      </w:pPr>
      <w:r w:rsidRPr="004872C3">
        <w:rPr>
          <w:szCs w:val="24"/>
        </w:rPr>
        <w:t>VZHLEDEM K TOMU, ŽE:</w:t>
      </w:r>
    </w:p>
    <w:p w14:paraId="68C10D3D" w14:textId="77777777" w:rsidR="00B363DC" w:rsidRPr="004872C3" w:rsidRDefault="00B363DC" w:rsidP="00B363DC">
      <w:pPr>
        <w:rPr>
          <w:szCs w:val="24"/>
        </w:rPr>
      </w:pPr>
    </w:p>
    <w:p w14:paraId="5125D053" w14:textId="21F329B3" w:rsidR="00B363DC" w:rsidRDefault="00B363DC" w:rsidP="00B363DC">
      <w:pPr>
        <w:ind w:left="720" w:hanging="720"/>
      </w:pPr>
      <w:r>
        <w:t>(A)</w:t>
      </w:r>
      <w:r>
        <w:tab/>
        <w:t xml:space="preserve">Dne </w:t>
      </w:r>
      <w:r w:rsidR="005B38FF">
        <w:t>19. 7. 2021</w:t>
      </w:r>
      <w:r w:rsidR="00440CC4">
        <w:t xml:space="preserve"> </w:t>
      </w:r>
      <w:r>
        <w:t>byla mezi Nadací a Příjemcem uzavřena Smlouva o poskytnutí nadačního příspěvku (dále jen „</w:t>
      </w:r>
      <w:r w:rsidRPr="00175078">
        <w:rPr>
          <w:b/>
        </w:rPr>
        <w:t>Smlouva</w:t>
      </w:r>
      <w:r>
        <w:t>“).</w:t>
      </w:r>
    </w:p>
    <w:p w14:paraId="0893892E" w14:textId="7FB11CEE" w:rsidR="00A50BFF" w:rsidRDefault="00A50BFF" w:rsidP="00B363DC">
      <w:pPr>
        <w:ind w:left="720" w:hanging="720"/>
      </w:pPr>
      <w:r>
        <w:t>(B)</w:t>
      </w:r>
      <w:r>
        <w:tab/>
        <w:t>Dne 22. 10. 2021 byl mezi Nadací a Příjemcem uzavřen Dodatek č. 1 ke Smlouvě o poskytnutí nadačního příspěvku (dále jen „Dodatek č. 1).</w:t>
      </w:r>
    </w:p>
    <w:p w14:paraId="48AFCAE6" w14:textId="52E8D43A" w:rsidR="00A50BFF" w:rsidRDefault="00A50BFF" w:rsidP="00B363DC">
      <w:pPr>
        <w:ind w:left="720" w:hanging="720"/>
      </w:pPr>
      <w:r>
        <w:t>(C)</w:t>
      </w:r>
      <w:r>
        <w:tab/>
        <w:t>V souvislosti s plněním projektu se strany domluvily na úpravě Smlouvy a uzavírají tento Dodatek č. 2 ke Smlouvě.</w:t>
      </w:r>
    </w:p>
    <w:p w14:paraId="12A3B323" w14:textId="77777777" w:rsidR="00BD792D" w:rsidRDefault="00BD792D" w:rsidP="00BD792D">
      <w:pPr>
        <w:ind w:left="705" w:hanging="705"/>
      </w:pPr>
    </w:p>
    <w:p w14:paraId="68D9B81F" w14:textId="77777777" w:rsidR="00396C27" w:rsidRDefault="00396C27" w:rsidP="00B363DC">
      <w:pPr>
        <w:ind w:left="567" w:hanging="567"/>
        <w:rPr>
          <w:caps/>
          <w:szCs w:val="24"/>
        </w:rPr>
      </w:pPr>
    </w:p>
    <w:p w14:paraId="2D1C106B" w14:textId="4C1BFD85" w:rsidR="00B363DC" w:rsidRDefault="00B363DC" w:rsidP="00B363DC">
      <w:pPr>
        <w:ind w:left="567" w:hanging="567"/>
        <w:rPr>
          <w:caps/>
          <w:szCs w:val="24"/>
        </w:rPr>
      </w:pPr>
      <w:r w:rsidRPr="000077BE">
        <w:rPr>
          <w:caps/>
          <w:szCs w:val="24"/>
        </w:rPr>
        <w:t>smluvní strany SE dohodly na následujícím:</w:t>
      </w:r>
    </w:p>
    <w:p w14:paraId="28AEB662" w14:textId="77777777" w:rsidR="008862F6" w:rsidRDefault="008862F6" w:rsidP="00B363DC">
      <w:pPr>
        <w:ind w:left="567" w:hanging="567"/>
        <w:rPr>
          <w:caps/>
          <w:szCs w:val="24"/>
        </w:rPr>
      </w:pPr>
    </w:p>
    <w:p w14:paraId="51979B74" w14:textId="77777777" w:rsidR="00B363DC" w:rsidRPr="004872C3" w:rsidRDefault="00B363DC" w:rsidP="00B363DC">
      <w:pPr>
        <w:pStyle w:val="bh1"/>
        <w:keepNext/>
        <w:tabs>
          <w:tab w:val="clear" w:pos="720"/>
        </w:tabs>
        <w:outlineLvl w:val="9"/>
      </w:pPr>
      <w:bookmarkStart w:id="0" w:name="_Toc145386609"/>
      <w:bookmarkStart w:id="1" w:name="_Toc145399413"/>
      <w:bookmarkStart w:id="2" w:name="_Toc175065261"/>
      <w:bookmarkStart w:id="3" w:name="_Toc174964208"/>
      <w:bookmarkStart w:id="4" w:name="_Toc190223565"/>
      <w:bookmarkStart w:id="5" w:name="_Toc192595521"/>
      <w:bookmarkStart w:id="6" w:name="_Toc196621442"/>
      <w:bookmarkStart w:id="7" w:name="_Toc208765830"/>
      <w:bookmarkStart w:id="8" w:name="_Toc208811077"/>
      <w:bookmarkStart w:id="9" w:name="_Toc209376873"/>
      <w:bookmarkStart w:id="10" w:name="_Toc214355935"/>
      <w:bookmarkStart w:id="11" w:name="_Toc221966756"/>
      <w:bookmarkStart w:id="12" w:name="_Toc247009938"/>
      <w:bookmarkStart w:id="13" w:name="_Toc247038688"/>
      <w:r w:rsidRPr="004872C3">
        <w:t xml:space="preserve">Definice a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4872C3">
        <w:t>interpretace</w:t>
      </w:r>
      <w:bookmarkEnd w:id="12"/>
      <w:bookmarkEnd w:id="13"/>
    </w:p>
    <w:p w14:paraId="4033806A" w14:textId="77777777" w:rsidR="00B363DC" w:rsidRPr="004872C3" w:rsidRDefault="00B363DC" w:rsidP="00B363DC">
      <w:pPr>
        <w:pStyle w:val="bh2"/>
        <w:keepNext/>
        <w:spacing w:before="240"/>
        <w:outlineLvl w:val="9"/>
      </w:pPr>
      <w:bookmarkStart w:id="14" w:name="_Toc190223566"/>
      <w:bookmarkStart w:id="15" w:name="_Toc192595522"/>
      <w:bookmarkStart w:id="16" w:name="_Toc196621443"/>
      <w:bookmarkStart w:id="17" w:name="_Toc208765831"/>
      <w:bookmarkStart w:id="18" w:name="_Toc208811078"/>
      <w:bookmarkStart w:id="19" w:name="_Toc209376874"/>
      <w:bookmarkStart w:id="20" w:name="_Ref213589137"/>
      <w:bookmarkStart w:id="21" w:name="_Toc214355936"/>
      <w:bookmarkStart w:id="22" w:name="_Toc221966757"/>
      <w:bookmarkStart w:id="23" w:name="_Ref246395444"/>
      <w:bookmarkStart w:id="24" w:name="_Toc247009939"/>
      <w:bookmarkStart w:id="25" w:name="_Toc247038689"/>
      <w:bookmarkStart w:id="26" w:name="_Ref247088343"/>
      <w:r w:rsidRPr="004872C3">
        <w:t>Definice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D24318" w14:textId="77777777" w:rsidR="00B363DC" w:rsidRDefault="00B363DC" w:rsidP="00B363DC">
      <w:pPr>
        <w:pStyle w:val="bno"/>
      </w:pPr>
      <w:r>
        <w:t>Termíny uvozené velkými písmeny mají v tomto Dodatku stejný význam jako ve Smlouvě, pokud z kontextu výslovně nevyplývá něco jiného.</w:t>
      </w:r>
      <w:r w:rsidRPr="004872C3">
        <w:t xml:space="preserve"> </w:t>
      </w:r>
    </w:p>
    <w:p w14:paraId="2764A85E" w14:textId="0B86143E" w:rsidR="00B363DC" w:rsidRDefault="00B363DC" w:rsidP="00B363DC">
      <w:pPr>
        <w:pStyle w:val="bno"/>
      </w:pPr>
    </w:p>
    <w:p w14:paraId="31C345AC" w14:textId="77777777" w:rsidR="00396C27" w:rsidRPr="004872C3" w:rsidRDefault="00396C27" w:rsidP="00B363DC">
      <w:pPr>
        <w:pStyle w:val="bno"/>
      </w:pPr>
    </w:p>
    <w:p w14:paraId="5B9BDDE9" w14:textId="77777777" w:rsidR="00B363DC" w:rsidRDefault="00B363DC" w:rsidP="00B363DC">
      <w:pPr>
        <w:pStyle w:val="bh1"/>
        <w:keepNext/>
        <w:tabs>
          <w:tab w:val="clear" w:pos="720"/>
        </w:tabs>
        <w:outlineLvl w:val="9"/>
      </w:pPr>
      <w:r>
        <w:t xml:space="preserve">Změna smlouvy </w:t>
      </w:r>
    </w:p>
    <w:p w14:paraId="059D2397" w14:textId="0101E42B" w:rsidR="00AB410F" w:rsidRDefault="00A50BFF" w:rsidP="00DD12A5">
      <w:pPr>
        <w:pStyle w:val="bh2"/>
      </w:pPr>
      <w:r>
        <w:t xml:space="preserve">Realizace </w:t>
      </w:r>
      <w:r w:rsidR="00DD1C67">
        <w:t>projektu</w:t>
      </w:r>
    </w:p>
    <w:p w14:paraId="270737B8" w14:textId="77777777" w:rsidR="00A50BFF" w:rsidRDefault="00AB410F" w:rsidP="00AB410F">
      <w:pPr>
        <w:pStyle w:val="bno"/>
        <w:rPr>
          <w:szCs w:val="24"/>
        </w:rPr>
      </w:pPr>
      <w:r>
        <w:rPr>
          <w:szCs w:val="24"/>
        </w:rPr>
        <w:t>S</w:t>
      </w:r>
      <w:r w:rsidRPr="00F84859">
        <w:rPr>
          <w:szCs w:val="24"/>
        </w:rPr>
        <w:t>trany se tímto dohodl</w:t>
      </w:r>
      <w:r>
        <w:rPr>
          <w:szCs w:val="24"/>
        </w:rPr>
        <w:t>y</w:t>
      </w:r>
      <w:r w:rsidRPr="00F84859">
        <w:rPr>
          <w:szCs w:val="24"/>
        </w:rPr>
        <w:t xml:space="preserve">, že ustanovení </w:t>
      </w:r>
      <w:r w:rsidRPr="00F84859">
        <w:rPr>
          <w:b/>
          <w:bCs/>
          <w:szCs w:val="24"/>
        </w:rPr>
        <w:t xml:space="preserve">odst. </w:t>
      </w:r>
      <w:r w:rsidR="00DD1C67">
        <w:rPr>
          <w:b/>
          <w:bCs/>
          <w:szCs w:val="24"/>
        </w:rPr>
        <w:t>2</w:t>
      </w:r>
      <w:r w:rsidRPr="00F84859">
        <w:rPr>
          <w:b/>
          <w:bCs/>
          <w:szCs w:val="24"/>
        </w:rPr>
        <w:t>.</w:t>
      </w:r>
      <w:r w:rsidR="00A50BFF">
        <w:rPr>
          <w:b/>
          <w:bCs/>
          <w:szCs w:val="24"/>
        </w:rPr>
        <w:t>2</w:t>
      </w:r>
      <w:r w:rsidRPr="00F84859">
        <w:rPr>
          <w:b/>
          <w:bCs/>
          <w:szCs w:val="24"/>
        </w:rPr>
        <w:t>.</w:t>
      </w:r>
      <w:r w:rsidRPr="00F84859">
        <w:rPr>
          <w:b/>
          <w:szCs w:val="24"/>
        </w:rPr>
        <w:t xml:space="preserve"> Smlouvy</w:t>
      </w:r>
      <w:r w:rsidRPr="00F84859">
        <w:rPr>
          <w:szCs w:val="24"/>
        </w:rPr>
        <w:t xml:space="preserve"> se </w:t>
      </w:r>
      <w:r>
        <w:rPr>
          <w:szCs w:val="24"/>
        </w:rPr>
        <w:t xml:space="preserve">mění a zcela nahrazuje </w:t>
      </w:r>
      <w:r w:rsidRPr="00F84859">
        <w:rPr>
          <w:szCs w:val="24"/>
        </w:rPr>
        <w:t>následujícím zněním:</w:t>
      </w:r>
    </w:p>
    <w:p w14:paraId="786B1991" w14:textId="565BE986" w:rsidR="00AB410F" w:rsidRDefault="00A50BFF" w:rsidP="1D2E8409">
      <w:pPr>
        <w:pStyle w:val="bno"/>
        <w:rPr>
          <w:i/>
          <w:iCs/>
        </w:rPr>
      </w:pPr>
      <w:r w:rsidRPr="1D2E8409">
        <w:rPr>
          <w:i/>
          <w:iCs/>
        </w:rPr>
        <w:t xml:space="preserve">„Příjemce se zavazuje realizovat Projekt nejpozději do 31. 12. 2023 (včetně) (dále jen </w:t>
      </w:r>
      <w:r w:rsidRPr="1D2E8409">
        <w:rPr>
          <w:b/>
          <w:bCs/>
          <w:i/>
          <w:iCs/>
        </w:rPr>
        <w:t>„Lhůta realizace Projektu“</w:t>
      </w:r>
      <w:r w:rsidRPr="1D2E8409">
        <w:rPr>
          <w:i/>
          <w:iCs/>
        </w:rPr>
        <w:t>).“</w:t>
      </w:r>
      <w:r w:rsidR="00AB410F" w:rsidRPr="1D2E8409">
        <w:rPr>
          <w:i/>
          <w:iCs/>
        </w:rPr>
        <w:t xml:space="preserve"> </w:t>
      </w:r>
    </w:p>
    <w:p w14:paraId="34B53716" w14:textId="77777777" w:rsidR="00A50BFF" w:rsidRPr="00A50BFF" w:rsidRDefault="00A50BFF" w:rsidP="00AB410F">
      <w:pPr>
        <w:pStyle w:val="bno"/>
        <w:rPr>
          <w:szCs w:val="24"/>
        </w:rPr>
      </w:pPr>
    </w:p>
    <w:p w14:paraId="37F4CBD3" w14:textId="77777777" w:rsidR="00B363DC" w:rsidRPr="004872C3" w:rsidRDefault="00B363DC" w:rsidP="00B363DC">
      <w:pPr>
        <w:pStyle w:val="bh1"/>
        <w:keepNext/>
        <w:tabs>
          <w:tab w:val="clear" w:pos="720"/>
        </w:tabs>
        <w:outlineLvl w:val="9"/>
      </w:pPr>
      <w:bookmarkStart w:id="27" w:name="_Toc247010006"/>
      <w:bookmarkStart w:id="28" w:name="_Toc247038750"/>
      <w:r w:rsidRPr="004872C3">
        <w:t>ZÁVĚREČNÁ USTANOVENÍ</w:t>
      </w:r>
      <w:bookmarkEnd w:id="27"/>
      <w:bookmarkEnd w:id="28"/>
    </w:p>
    <w:p w14:paraId="453C2330" w14:textId="77777777" w:rsidR="00B363DC" w:rsidRPr="004872C3" w:rsidRDefault="00B363DC" w:rsidP="00B363DC">
      <w:pPr>
        <w:pStyle w:val="bh2"/>
        <w:keepNext/>
        <w:spacing w:before="240"/>
      </w:pPr>
      <w:bookmarkStart w:id="29" w:name="_Ref246394766"/>
      <w:bookmarkStart w:id="30" w:name="_Ref246862966"/>
      <w:bookmarkStart w:id="31" w:name="_Ref246863097"/>
      <w:bookmarkStart w:id="32" w:name="_Toc247010007"/>
      <w:bookmarkStart w:id="33" w:name="_Toc247038751"/>
      <w:r>
        <w:t>Ostatní ustanovení</w:t>
      </w:r>
      <w:r w:rsidRPr="004872C3">
        <w:t xml:space="preserve"> Smlouvy</w:t>
      </w:r>
      <w:bookmarkEnd w:id="29"/>
      <w:bookmarkEnd w:id="30"/>
      <w:bookmarkEnd w:id="31"/>
      <w:bookmarkEnd w:id="32"/>
      <w:bookmarkEnd w:id="33"/>
    </w:p>
    <w:p w14:paraId="2F1EB17E" w14:textId="77777777" w:rsidR="00B363DC" w:rsidRDefault="00B363DC" w:rsidP="00B363DC">
      <w:pPr>
        <w:pStyle w:val="bno"/>
        <w:rPr>
          <w:szCs w:val="24"/>
        </w:rPr>
      </w:pPr>
      <w:r>
        <w:rPr>
          <w:szCs w:val="24"/>
        </w:rPr>
        <w:t>Ostatní ustanovení Smlouvy (kromě ustanovení upravených v článku 2 tohoto Dodatku) zůstávají v platnosti v nedotčené podobě.</w:t>
      </w:r>
    </w:p>
    <w:p w14:paraId="478C0C6F" w14:textId="77777777" w:rsidR="00B363DC" w:rsidRPr="004872C3" w:rsidRDefault="00B363DC" w:rsidP="00B363DC">
      <w:pPr>
        <w:pStyle w:val="bh2"/>
        <w:keepNext/>
        <w:spacing w:before="240"/>
      </w:pPr>
      <w:bookmarkStart w:id="34" w:name="_Toc247038752"/>
      <w:r w:rsidRPr="004872C3">
        <w:t xml:space="preserve">Účinnost </w:t>
      </w:r>
      <w:bookmarkEnd w:id="34"/>
      <w:r>
        <w:t>Dodatku</w:t>
      </w:r>
    </w:p>
    <w:p w14:paraId="62C5DA1C" w14:textId="77777777" w:rsidR="00B363DC" w:rsidRPr="004872C3" w:rsidRDefault="00B363DC" w:rsidP="00B363DC">
      <w:pPr>
        <w:pStyle w:val="bno"/>
      </w:pPr>
      <w:r w:rsidRPr="004872C3">
        <w:t>T</w:t>
      </w:r>
      <w:r>
        <w:t>ento</w:t>
      </w:r>
      <w:r w:rsidRPr="004872C3">
        <w:t xml:space="preserve"> </w:t>
      </w:r>
      <w:r>
        <w:t>Dodatek</w:t>
      </w:r>
      <w:r w:rsidRPr="004872C3">
        <w:t xml:space="preserve"> nabývá platnosti a účinnosti dnem jeho podpisu oběma Smluvními stranami. </w:t>
      </w:r>
    </w:p>
    <w:p w14:paraId="5B4D5191" w14:textId="77777777" w:rsidR="00B363DC" w:rsidRPr="004872C3" w:rsidRDefault="00B363DC" w:rsidP="00B363DC">
      <w:pPr>
        <w:pStyle w:val="bh2"/>
        <w:keepNext/>
        <w:spacing w:before="240"/>
      </w:pPr>
      <w:bookmarkStart w:id="35" w:name="_Toc247010014"/>
      <w:bookmarkStart w:id="36" w:name="_Toc247038758"/>
      <w:r w:rsidRPr="004872C3">
        <w:t>Oddělitelnost</w:t>
      </w:r>
      <w:bookmarkEnd w:id="35"/>
      <w:bookmarkEnd w:id="36"/>
    </w:p>
    <w:p w14:paraId="4D4969B1" w14:textId="3A1DA306" w:rsidR="00B363DC" w:rsidRPr="004872C3" w:rsidRDefault="00B363DC" w:rsidP="00B363DC">
      <w:pPr>
        <w:pStyle w:val="bno"/>
      </w:pPr>
      <w:r>
        <w:t>Stane-li se nebo bude-li shledáno některé ustanovení tohoto Dodatku neplatným, nevymahatelným nebo neúčinným, nedotýká se tato neplatnost, nevymahatelnost či neúčinnost ostatních ustanovení tohoto Dodatku či Smlouvy. Smluvní strany se zavazují nahradit do 10-ti (deseti) pracovních dnů po doručení výzvy druhé Smluvní strany neplatné, nevymahatelné nebo neúčinné ustanovení ustanovením platným, vymahatelným a účinným se stejným nebo obdobným obchodním a právním smyslem, případně uzavřít nový dodatek či smlouvu.</w:t>
      </w:r>
    </w:p>
    <w:p w14:paraId="14688E95" w14:textId="77777777" w:rsidR="00B363DC" w:rsidRPr="004872C3" w:rsidRDefault="00B363DC" w:rsidP="00B363DC">
      <w:pPr>
        <w:pStyle w:val="bh2"/>
        <w:keepNext/>
        <w:spacing w:before="240"/>
      </w:pPr>
      <w:bookmarkStart w:id="37" w:name="_Toc247010016"/>
      <w:bookmarkStart w:id="38" w:name="_Toc247038760"/>
      <w:r w:rsidRPr="004872C3">
        <w:t>Stejnopisy</w:t>
      </w:r>
      <w:bookmarkEnd w:id="37"/>
      <w:bookmarkEnd w:id="38"/>
    </w:p>
    <w:p w14:paraId="0A32B775" w14:textId="77777777" w:rsidR="00B363DC" w:rsidRPr="004872C3" w:rsidRDefault="00B363DC" w:rsidP="00B363DC">
      <w:pPr>
        <w:pStyle w:val="bno"/>
      </w:pPr>
      <w:r w:rsidRPr="004872C3">
        <w:t>T</w:t>
      </w:r>
      <w:r>
        <w:t>ento</w:t>
      </w:r>
      <w:r w:rsidRPr="004872C3">
        <w:t xml:space="preserve"> </w:t>
      </w:r>
      <w:r>
        <w:t>Dodatek</w:t>
      </w:r>
      <w:r w:rsidRPr="004872C3">
        <w:t xml:space="preserve"> je vyhotov</w:t>
      </w:r>
      <w:r>
        <w:t>e</w:t>
      </w:r>
      <w:r w:rsidRPr="004872C3">
        <w:t xml:space="preserve">n ve 2 (dvou) stejnopisech, z nichž každý bude považován za originál. </w:t>
      </w:r>
      <w:r>
        <w:t xml:space="preserve">Každá ze stran obdrží po </w:t>
      </w:r>
      <w:r w:rsidRPr="004872C3">
        <w:t>1 (jedn</w:t>
      </w:r>
      <w:r>
        <w:t>om</w:t>
      </w:r>
      <w:r w:rsidRPr="004872C3">
        <w:t>) stejnopis</w:t>
      </w:r>
      <w:r>
        <w:t>e.</w:t>
      </w:r>
    </w:p>
    <w:p w14:paraId="56B4C85D" w14:textId="77777777" w:rsidR="00B363DC" w:rsidRPr="004872C3" w:rsidRDefault="00B363DC" w:rsidP="00B363DC">
      <w:pPr>
        <w:pStyle w:val="bh2"/>
        <w:keepNext/>
        <w:spacing w:before="240"/>
      </w:pPr>
      <w:bookmarkStart w:id="39" w:name="_Toc247010017"/>
      <w:bookmarkStart w:id="40" w:name="_Toc247038761"/>
      <w:r w:rsidRPr="004872C3">
        <w:t>Jazyk</w:t>
      </w:r>
      <w:bookmarkEnd w:id="39"/>
      <w:bookmarkEnd w:id="40"/>
    </w:p>
    <w:p w14:paraId="70776ED9" w14:textId="77777777" w:rsidR="00B363DC" w:rsidRPr="004872C3" w:rsidRDefault="00B363DC" w:rsidP="00B363DC">
      <w:pPr>
        <w:pStyle w:val="bno"/>
      </w:pPr>
      <w:r>
        <w:t>Tento</w:t>
      </w:r>
      <w:r w:rsidRPr="004872C3">
        <w:t xml:space="preserve"> </w:t>
      </w:r>
      <w:r>
        <w:t>Dodatek</w:t>
      </w:r>
      <w:r w:rsidRPr="004872C3">
        <w:t xml:space="preserve"> je vyhotoven v českém jazyce a tato verze bude rozhodující bez ohledu na jakýkoli je</w:t>
      </w:r>
      <w:r>
        <w:t>ho</w:t>
      </w:r>
      <w:r w:rsidRPr="004872C3">
        <w:t xml:space="preserve"> překlad, který může být pro jakýkoli účel pořízen.</w:t>
      </w:r>
    </w:p>
    <w:p w14:paraId="30E47D95" w14:textId="77777777" w:rsidR="00B363DC" w:rsidRDefault="00B363DC" w:rsidP="00B363DC">
      <w:pPr>
        <w:rPr>
          <w:i/>
          <w:szCs w:val="24"/>
        </w:rPr>
      </w:pPr>
    </w:p>
    <w:p w14:paraId="6957A384" w14:textId="77777777" w:rsidR="00396C27" w:rsidRDefault="00396C27" w:rsidP="00B363DC">
      <w:pPr>
        <w:rPr>
          <w:i/>
          <w:szCs w:val="24"/>
        </w:rPr>
      </w:pPr>
    </w:p>
    <w:p w14:paraId="48B2959E" w14:textId="6228DF89" w:rsidR="00B363DC" w:rsidRDefault="00B363DC" w:rsidP="00B363DC">
      <w:pPr>
        <w:rPr>
          <w:i/>
        </w:rPr>
      </w:pPr>
      <w:r w:rsidRPr="00584EFF">
        <w:rPr>
          <w:i/>
          <w:szCs w:val="24"/>
        </w:rPr>
        <w:t xml:space="preserve">NA DŮKAZ TOHO, </w:t>
      </w:r>
      <w:r>
        <w:rPr>
          <w:i/>
          <w:szCs w:val="24"/>
        </w:rPr>
        <w:t>že Strany s obsahem tohoto Dodatku souhlasí, rozumí mu a zavazují se k jeho</w:t>
      </w:r>
      <w:r w:rsidRPr="00584EFF">
        <w:rPr>
          <w:i/>
          <w:szCs w:val="24"/>
        </w:rPr>
        <w:t xml:space="preserve"> plnění, připojují své </w:t>
      </w:r>
      <w:r w:rsidRPr="00584EFF">
        <w:rPr>
          <w:i/>
        </w:rPr>
        <w:t>podpi</w:t>
      </w:r>
      <w:r>
        <w:rPr>
          <w:i/>
        </w:rPr>
        <w:t>sy a prohlašují, že tento Dodatek byl uzavřen</w:t>
      </w:r>
      <w:r w:rsidRPr="00584EFF">
        <w:rPr>
          <w:i/>
        </w:rPr>
        <w:t xml:space="preserve"> podle jejich svobodné a vážné vůle prosté tísně.</w:t>
      </w:r>
    </w:p>
    <w:p w14:paraId="551469C7" w14:textId="0B2ADD6C" w:rsidR="00396C27" w:rsidRDefault="00396C27" w:rsidP="00B363DC">
      <w:pPr>
        <w:rPr>
          <w:i/>
        </w:rPr>
      </w:pPr>
    </w:p>
    <w:p w14:paraId="067D41D1" w14:textId="77777777" w:rsidR="00396C27" w:rsidRPr="00584EFF" w:rsidRDefault="00396C27" w:rsidP="00B363DC">
      <w:pPr>
        <w:rPr>
          <w:i/>
        </w:rPr>
      </w:pPr>
    </w:p>
    <w:p w14:paraId="0622BC19" w14:textId="77777777" w:rsidR="00B363DC" w:rsidRDefault="00B363DC" w:rsidP="00B363DC"/>
    <w:p w14:paraId="7D96BB8F" w14:textId="77777777" w:rsidR="008862F6" w:rsidRDefault="00B363DC" w:rsidP="00D215E1">
      <w:pPr>
        <w:rPr>
          <w:i/>
        </w:rPr>
      </w:pPr>
      <w:r w:rsidRPr="003E5692">
        <w:rPr>
          <w:i/>
        </w:rPr>
        <w:lastRenderedPageBreak/>
        <w:t>Nadace:</w:t>
      </w:r>
      <w:r w:rsidR="00D215E1">
        <w:rPr>
          <w:i/>
        </w:rPr>
        <w:t xml:space="preserve">   </w:t>
      </w:r>
      <w:r w:rsidR="008862F6">
        <w:rPr>
          <w:i/>
        </w:rPr>
        <w:t xml:space="preserve">                                                                Příjemce</w:t>
      </w:r>
      <w:r w:rsidR="008862F6" w:rsidRPr="003E5692">
        <w:rPr>
          <w:i/>
        </w:rPr>
        <w:t>:</w:t>
      </w:r>
    </w:p>
    <w:p w14:paraId="1AA64ACC" w14:textId="77777777" w:rsidR="00D215E1" w:rsidRDefault="00D215E1" w:rsidP="00D215E1">
      <w:pPr>
        <w:rPr>
          <w:i/>
        </w:rPr>
      </w:pPr>
      <w:r>
        <w:rPr>
          <w:i/>
        </w:rPr>
        <w:t xml:space="preserve">                                                                </w:t>
      </w:r>
    </w:p>
    <w:tbl>
      <w:tblPr>
        <w:tblW w:w="10067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387"/>
      </w:tblGrid>
      <w:tr w:rsidR="00D215E1" w14:paraId="23DC979E" w14:textId="77777777" w:rsidTr="00543D36">
        <w:tc>
          <w:tcPr>
            <w:tcW w:w="4680" w:type="dxa"/>
          </w:tcPr>
          <w:p w14:paraId="789032AC" w14:textId="77777777" w:rsidR="00D215E1" w:rsidRDefault="00D215E1" w:rsidP="00DD12A5">
            <w:pPr>
              <w:pStyle w:val="Dl"/>
              <w:keepNext w:val="0"/>
              <w:ind w:hanging="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Nadace Sirius</w:t>
            </w:r>
          </w:p>
        </w:tc>
        <w:tc>
          <w:tcPr>
            <w:tcW w:w="5387" w:type="dxa"/>
          </w:tcPr>
          <w:p w14:paraId="4EF4E406" w14:textId="77777777" w:rsidR="00D215E1" w:rsidRPr="007A39A3" w:rsidRDefault="00DD1C67" w:rsidP="00495396">
            <w:pPr>
              <w:pStyle w:val="Dl"/>
              <w:keepNext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DD1C67">
              <w:rPr>
                <w:rFonts w:ascii="Times New Roman" w:hAnsi="Times New Roman"/>
                <w:b/>
                <w:szCs w:val="24"/>
              </w:rPr>
              <w:t>Všeobecná fakultní nemocnice v Praze</w:t>
            </w:r>
          </w:p>
        </w:tc>
      </w:tr>
      <w:tr w:rsidR="00D215E1" w14:paraId="603F8B7D" w14:textId="77777777" w:rsidTr="00543D36">
        <w:trPr>
          <w:gridAfter w:val="1"/>
          <w:wAfter w:w="5387" w:type="dxa"/>
        </w:trPr>
        <w:tc>
          <w:tcPr>
            <w:tcW w:w="4680" w:type="dxa"/>
          </w:tcPr>
          <w:p w14:paraId="60B14F47" w14:textId="77777777" w:rsidR="00D215E1" w:rsidRDefault="00D215E1" w:rsidP="00B363DC">
            <w:pPr>
              <w:pStyle w:val="Zkladntextodsazen"/>
              <w:ind w:left="0"/>
              <w:rPr>
                <w:b/>
                <w:sz w:val="18"/>
              </w:rPr>
            </w:pPr>
          </w:p>
          <w:p w14:paraId="0D3B508E" w14:textId="77777777" w:rsidR="00D215E1" w:rsidRDefault="00D215E1" w:rsidP="00B363DC">
            <w:pPr>
              <w:pStyle w:val="Zkladntextodsazen"/>
              <w:ind w:left="0"/>
              <w:rPr>
                <w:b/>
                <w:sz w:val="18"/>
              </w:rPr>
            </w:pPr>
          </w:p>
          <w:p w14:paraId="378E116E" w14:textId="77777777" w:rsidR="008862F6" w:rsidRDefault="008862F6" w:rsidP="00B363DC">
            <w:pPr>
              <w:pStyle w:val="Zkladntextodsazen"/>
              <w:ind w:left="0"/>
              <w:rPr>
                <w:b/>
                <w:sz w:val="18"/>
              </w:rPr>
            </w:pPr>
          </w:p>
        </w:tc>
      </w:tr>
      <w:tr w:rsidR="00543D36" w14:paraId="609AB626" w14:textId="77777777" w:rsidTr="00543D36">
        <w:tc>
          <w:tcPr>
            <w:tcW w:w="4680" w:type="dxa"/>
          </w:tcPr>
          <w:p w14:paraId="00D73526" w14:textId="77777777" w:rsidR="00543D36" w:rsidRDefault="00543D36" w:rsidP="00B363DC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</w:p>
          <w:p w14:paraId="5B1E9425" w14:textId="6E0E2763" w:rsidR="00543D36" w:rsidRDefault="00543D36" w:rsidP="00B363DC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Jméno: </w:t>
            </w:r>
            <w:r w:rsidR="00670A3E">
              <w:rPr>
                <w:rFonts w:ascii="Times New Roman" w:hAnsi="Times New Roman"/>
              </w:rPr>
              <w:t>xxx</w:t>
            </w:r>
          </w:p>
        </w:tc>
        <w:tc>
          <w:tcPr>
            <w:tcW w:w="5387" w:type="dxa"/>
          </w:tcPr>
          <w:p w14:paraId="3F264920" w14:textId="77777777" w:rsidR="00543D36" w:rsidRDefault="00543D36" w:rsidP="00495396">
            <w:pPr>
              <w:pStyle w:val="Dl"/>
              <w:keepNext w:val="0"/>
              <w:jc w:val="left"/>
              <w:rPr>
                <w:rFonts w:ascii="Times New Roman" w:hAnsi="Times New Roman"/>
              </w:rPr>
            </w:pPr>
          </w:p>
          <w:p w14:paraId="3AD03554" w14:textId="5C8441AC" w:rsidR="00543D36" w:rsidRDefault="00543D36" w:rsidP="00774919">
            <w:pPr>
              <w:pStyle w:val="Dl"/>
              <w:keepNext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Jméno: </w:t>
            </w:r>
            <w:r w:rsidR="00670A3E">
              <w:rPr>
                <w:rFonts w:ascii="Times New Roman" w:hAnsi="Times New Roman"/>
              </w:rPr>
              <w:t>xxx</w:t>
            </w:r>
          </w:p>
        </w:tc>
      </w:tr>
      <w:tr w:rsidR="00543D36" w14:paraId="58D6D75A" w14:textId="77777777" w:rsidTr="00495396">
        <w:tc>
          <w:tcPr>
            <w:tcW w:w="4680" w:type="dxa"/>
          </w:tcPr>
          <w:p w14:paraId="2A4AB975" w14:textId="77777777" w:rsidR="00543D36" w:rsidRDefault="00543D36" w:rsidP="00B363DC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Funkce: předseda správní rady</w:t>
            </w:r>
          </w:p>
        </w:tc>
        <w:tc>
          <w:tcPr>
            <w:tcW w:w="5387" w:type="dxa"/>
          </w:tcPr>
          <w:p w14:paraId="0FB97554" w14:textId="77777777" w:rsidR="00543D36" w:rsidRDefault="00543D36" w:rsidP="00774919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Funkce: </w:t>
            </w:r>
            <w:r w:rsidR="00DD1C67">
              <w:rPr>
                <w:rFonts w:ascii="Times New Roman" w:hAnsi="Times New Roman"/>
              </w:rPr>
              <w:t>ředitel</w:t>
            </w:r>
          </w:p>
        </w:tc>
      </w:tr>
      <w:tr w:rsidR="00543D36" w14:paraId="387F5405" w14:textId="77777777" w:rsidTr="00495396">
        <w:tc>
          <w:tcPr>
            <w:tcW w:w="4680" w:type="dxa"/>
          </w:tcPr>
          <w:p w14:paraId="45108E9B" w14:textId="77777777" w:rsidR="00543D36" w:rsidRDefault="00543D36" w:rsidP="00B363DC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Místo: Praha</w:t>
            </w:r>
          </w:p>
        </w:tc>
        <w:tc>
          <w:tcPr>
            <w:tcW w:w="5387" w:type="dxa"/>
          </w:tcPr>
          <w:p w14:paraId="273BB444" w14:textId="1ABC0DDC" w:rsidR="00543D36" w:rsidRDefault="00543D36" w:rsidP="00774919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Místo: </w:t>
            </w:r>
            <w:r w:rsidR="00930585">
              <w:rPr>
                <w:rFonts w:ascii="Times New Roman" w:hAnsi="Times New Roman"/>
              </w:rPr>
              <w:t>Praha</w:t>
            </w:r>
          </w:p>
        </w:tc>
      </w:tr>
      <w:tr w:rsidR="00543D36" w14:paraId="1011148A" w14:textId="77777777" w:rsidTr="00495396">
        <w:tc>
          <w:tcPr>
            <w:tcW w:w="4680" w:type="dxa"/>
          </w:tcPr>
          <w:p w14:paraId="07C709F4" w14:textId="77777777" w:rsidR="00543D36" w:rsidRDefault="00543D36" w:rsidP="00664AE3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Datum: </w:t>
            </w:r>
          </w:p>
        </w:tc>
        <w:tc>
          <w:tcPr>
            <w:tcW w:w="5387" w:type="dxa"/>
          </w:tcPr>
          <w:p w14:paraId="79D589B6" w14:textId="77777777" w:rsidR="00543D36" w:rsidRDefault="00543D36" w:rsidP="00495396">
            <w:pPr>
              <w:pStyle w:val="Dl"/>
              <w:keepNext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Datum: </w:t>
            </w:r>
          </w:p>
        </w:tc>
      </w:tr>
    </w:tbl>
    <w:p w14:paraId="7A4DAAB3" w14:textId="77777777" w:rsidR="00B363DC" w:rsidRPr="00B20870" w:rsidRDefault="00B363DC" w:rsidP="00543D36">
      <w:pPr>
        <w:pStyle w:val="bh3"/>
        <w:numPr>
          <w:ilvl w:val="0"/>
          <w:numId w:val="0"/>
        </w:numPr>
        <w:jc w:val="center"/>
        <w:rPr>
          <w:caps/>
        </w:rPr>
      </w:pPr>
    </w:p>
    <w:sectPr w:rsidR="00B363DC" w:rsidRPr="00B20870" w:rsidSect="007670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2" w:right="1418" w:bottom="1298" w:left="1418" w:header="357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3C79" w14:textId="77777777" w:rsidR="000E5DB7" w:rsidRDefault="000E5DB7">
      <w:r>
        <w:separator/>
      </w:r>
    </w:p>
  </w:endnote>
  <w:endnote w:type="continuationSeparator" w:id="0">
    <w:p w14:paraId="23605BCA" w14:textId="77777777" w:rsidR="000E5DB7" w:rsidRDefault="000E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vareseCE">
    <w:altName w:val="Trebuchet MS"/>
    <w:charset w:val="EE"/>
    <w:family w:val="auto"/>
    <w:pitch w:val="variable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4748" w14:textId="77777777" w:rsidR="00C728C5" w:rsidRDefault="00C728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7C06" w14:textId="77777777" w:rsidR="001A4D8F" w:rsidRDefault="001A4D8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B20">
      <w:rPr>
        <w:noProof/>
      </w:rPr>
      <w:t>2</w:t>
    </w:r>
    <w:r>
      <w:fldChar w:fldCharType="end"/>
    </w:r>
  </w:p>
  <w:p w14:paraId="2DACBBD6" w14:textId="77777777" w:rsidR="001A4D8F" w:rsidRDefault="001A4D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B3B6" w14:textId="77777777" w:rsidR="00C728C5" w:rsidRDefault="00C72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9A8E" w14:textId="77777777" w:rsidR="000E5DB7" w:rsidRDefault="000E5DB7">
      <w:r>
        <w:separator/>
      </w:r>
    </w:p>
  </w:footnote>
  <w:footnote w:type="continuationSeparator" w:id="0">
    <w:p w14:paraId="12F2652E" w14:textId="77777777" w:rsidR="000E5DB7" w:rsidRDefault="000E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8722" w14:textId="77777777" w:rsidR="00C728C5" w:rsidRDefault="00C728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CACE" w14:textId="77777777" w:rsidR="00C728C5" w:rsidRDefault="00C728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C54A" w14:textId="77777777" w:rsidR="00C728C5" w:rsidRDefault="00C72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9A8"/>
    <w:multiLevelType w:val="hybridMultilevel"/>
    <w:tmpl w:val="4BF0873E"/>
    <w:lvl w:ilvl="0" w:tplc="824AF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11954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142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2" w15:restartNumberingAfterBreak="0">
    <w:nsid w:val="0E5B6991"/>
    <w:multiLevelType w:val="hybridMultilevel"/>
    <w:tmpl w:val="E752B764"/>
    <w:lvl w:ilvl="0" w:tplc="BFFA8604">
      <w:start w:val="1"/>
      <w:numFmt w:val="upp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1B1C4698">
      <w:start w:val="1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A6104"/>
    <w:multiLevelType w:val="hybridMultilevel"/>
    <w:tmpl w:val="4BF0873E"/>
    <w:lvl w:ilvl="0" w:tplc="824AF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DC"/>
    <w:rsid w:val="000107A5"/>
    <w:rsid w:val="000A544E"/>
    <w:rsid w:val="000C1C43"/>
    <w:rsid w:val="000D350F"/>
    <w:rsid w:val="000E5DB7"/>
    <w:rsid w:val="00151DFC"/>
    <w:rsid w:val="0016429E"/>
    <w:rsid w:val="001769CE"/>
    <w:rsid w:val="001A4D8F"/>
    <w:rsid w:val="00210A1B"/>
    <w:rsid w:val="002329AD"/>
    <w:rsid w:val="00232F85"/>
    <w:rsid w:val="0028170D"/>
    <w:rsid w:val="002D5AA9"/>
    <w:rsid w:val="00332BC7"/>
    <w:rsid w:val="00337E7A"/>
    <w:rsid w:val="00352B1B"/>
    <w:rsid w:val="00396C27"/>
    <w:rsid w:val="00397781"/>
    <w:rsid w:val="003B56F4"/>
    <w:rsid w:val="003E3A77"/>
    <w:rsid w:val="003F02E1"/>
    <w:rsid w:val="003F5772"/>
    <w:rsid w:val="0041648E"/>
    <w:rsid w:val="00440CC4"/>
    <w:rsid w:val="00443132"/>
    <w:rsid w:val="0048525C"/>
    <w:rsid w:val="00495396"/>
    <w:rsid w:val="004C7379"/>
    <w:rsid w:val="00543D36"/>
    <w:rsid w:val="00556853"/>
    <w:rsid w:val="00566B10"/>
    <w:rsid w:val="005B38FF"/>
    <w:rsid w:val="005F2520"/>
    <w:rsid w:val="00610247"/>
    <w:rsid w:val="00635D14"/>
    <w:rsid w:val="00640887"/>
    <w:rsid w:val="00660921"/>
    <w:rsid w:val="00664AE3"/>
    <w:rsid w:val="0066796B"/>
    <w:rsid w:val="00670A3E"/>
    <w:rsid w:val="00670D16"/>
    <w:rsid w:val="00687DB6"/>
    <w:rsid w:val="00691BD8"/>
    <w:rsid w:val="00760004"/>
    <w:rsid w:val="0076709F"/>
    <w:rsid w:val="00774919"/>
    <w:rsid w:val="00783D18"/>
    <w:rsid w:val="00791059"/>
    <w:rsid w:val="007A39A3"/>
    <w:rsid w:val="007C727C"/>
    <w:rsid w:val="008268FD"/>
    <w:rsid w:val="0083186E"/>
    <w:rsid w:val="0083528C"/>
    <w:rsid w:val="00861B06"/>
    <w:rsid w:val="008862F6"/>
    <w:rsid w:val="00894E26"/>
    <w:rsid w:val="008A6CE9"/>
    <w:rsid w:val="008D3444"/>
    <w:rsid w:val="00924932"/>
    <w:rsid w:val="00930585"/>
    <w:rsid w:val="009423AB"/>
    <w:rsid w:val="009561B3"/>
    <w:rsid w:val="00972A2C"/>
    <w:rsid w:val="009A6DF6"/>
    <w:rsid w:val="009B50F1"/>
    <w:rsid w:val="009C06F1"/>
    <w:rsid w:val="009F627C"/>
    <w:rsid w:val="00A46177"/>
    <w:rsid w:val="00A50BFF"/>
    <w:rsid w:val="00A5553F"/>
    <w:rsid w:val="00A859D9"/>
    <w:rsid w:val="00AB410F"/>
    <w:rsid w:val="00AC6D00"/>
    <w:rsid w:val="00AF1528"/>
    <w:rsid w:val="00B11EBD"/>
    <w:rsid w:val="00B132DE"/>
    <w:rsid w:val="00B363DC"/>
    <w:rsid w:val="00B917C8"/>
    <w:rsid w:val="00BD792D"/>
    <w:rsid w:val="00BE2879"/>
    <w:rsid w:val="00BE54C8"/>
    <w:rsid w:val="00C07EEE"/>
    <w:rsid w:val="00C35827"/>
    <w:rsid w:val="00C728C5"/>
    <w:rsid w:val="00C77C93"/>
    <w:rsid w:val="00CA3F0D"/>
    <w:rsid w:val="00CB22F4"/>
    <w:rsid w:val="00CF34C7"/>
    <w:rsid w:val="00D16ED3"/>
    <w:rsid w:val="00D215E1"/>
    <w:rsid w:val="00D819BE"/>
    <w:rsid w:val="00DA1B20"/>
    <w:rsid w:val="00DB7947"/>
    <w:rsid w:val="00DC2F6B"/>
    <w:rsid w:val="00DD12A5"/>
    <w:rsid w:val="00DD1C67"/>
    <w:rsid w:val="00E029B9"/>
    <w:rsid w:val="00E0707D"/>
    <w:rsid w:val="00E17707"/>
    <w:rsid w:val="00E24142"/>
    <w:rsid w:val="00E564F3"/>
    <w:rsid w:val="00E744FF"/>
    <w:rsid w:val="00E9002C"/>
    <w:rsid w:val="00EC1C0C"/>
    <w:rsid w:val="00ED1E6B"/>
    <w:rsid w:val="00EE1D8C"/>
    <w:rsid w:val="00F0129E"/>
    <w:rsid w:val="00F83346"/>
    <w:rsid w:val="00FC26EB"/>
    <w:rsid w:val="00FE0D9E"/>
    <w:rsid w:val="1D2E8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E72A13"/>
  <w15:chartTrackingRefBased/>
  <w15:docId w15:val="{214E1614-4D96-4348-AD01-6323F299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63DC"/>
    <w:pPr>
      <w:spacing w:line="32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7EEE"/>
    <w:pPr>
      <w:keepNext/>
      <w:keepLines/>
      <w:numPr>
        <w:numId w:val="2"/>
      </w:numPr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07EEE"/>
    <w:pPr>
      <w:numPr>
        <w:ilvl w:val="1"/>
        <w:numId w:val="2"/>
      </w:numPr>
      <w:spacing w:before="100" w:beforeAutospacing="1" w:after="100" w:afterAutospacing="1" w:line="240" w:lineRule="auto"/>
      <w:jc w:val="left"/>
      <w:outlineLvl w:val="1"/>
    </w:pPr>
    <w:rPr>
      <w:rFonts w:ascii="Arial" w:hAnsi="Arial" w:cs="Arial"/>
      <w:b/>
      <w:bCs/>
      <w:color w:val="99660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7EEE"/>
    <w:pPr>
      <w:keepNext/>
      <w:keepLines/>
      <w:numPr>
        <w:ilvl w:val="2"/>
        <w:numId w:val="2"/>
      </w:numPr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EEE"/>
    <w:pPr>
      <w:keepNext/>
      <w:keepLines/>
      <w:numPr>
        <w:ilvl w:val="3"/>
        <w:numId w:val="2"/>
      </w:numPr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EEE"/>
    <w:pPr>
      <w:keepNext/>
      <w:keepLines/>
      <w:numPr>
        <w:ilvl w:val="4"/>
        <w:numId w:val="2"/>
      </w:numPr>
      <w:spacing w:before="200" w:line="276" w:lineRule="auto"/>
      <w:jc w:val="left"/>
      <w:outlineLvl w:val="4"/>
    </w:pPr>
    <w:rPr>
      <w:rFonts w:ascii="Cambria" w:hAnsi="Cambria"/>
      <w:color w:val="243F6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EEE"/>
    <w:pPr>
      <w:keepNext/>
      <w:keepLines/>
      <w:numPr>
        <w:ilvl w:val="5"/>
        <w:numId w:val="2"/>
      </w:numPr>
      <w:spacing w:before="200" w:line="276" w:lineRule="auto"/>
      <w:jc w:val="left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EEE"/>
    <w:pPr>
      <w:keepNext/>
      <w:keepLines/>
      <w:numPr>
        <w:ilvl w:val="6"/>
        <w:numId w:val="2"/>
      </w:numPr>
      <w:spacing w:before="200" w:line="276" w:lineRule="auto"/>
      <w:jc w:val="left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EEE"/>
    <w:pPr>
      <w:keepNext/>
      <w:keepLines/>
      <w:numPr>
        <w:ilvl w:val="7"/>
        <w:numId w:val="2"/>
      </w:numPr>
      <w:spacing w:before="200" w:line="276" w:lineRule="auto"/>
      <w:jc w:val="left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EEE"/>
    <w:pPr>
      <w:keepNext/>
      <w:keepLines/>
      <w:numPr>
        <w:ilvl w:val="8"/>
        <w:numId w:val="2"/>
      </w:numPr>
      <w:spacing w:before="200" w:line="276" w:lineRule="auto"/>
      <w:jc w:val="left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3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B363DC"/>
    <w:pPr>
      <w:ind w:left="567"/>
    </w:pPr>
  </w:style>
  <w:style w:type="paragraph" w:customStyle="1" w:styleId="bh1">
    <w:name w:val="_bh1"/>
    <w:basedOn w:val="Normln"/>
    <w:next w:val="bh2"/>
    <w:rsid w:val="00B363DC"/>
    <w:pPr>
      <w:numPr>
        <w:numId w:val="1"/>
      </w:numPr>
      <w:spacing w:before="60" w:after="120"/>
      <w:outlineLvl w:val="0"/>
    </w:pPr>
    <w:rPr>
      <w:b/>
      <w:caps/>
      <w:szCs w:val="24"/>
    </w:rPr>
  </w:style>
  <w:style w:type="paragraph" w:customStyle="1" w:styleId="bh2">
    <w:name w:val="_bh2"/>
    <w:basedOn w:val="Normln"/>
    <w:link w:val="bh2CharChar"/>
    <w:rsid w:val="00B363DC"/>
    <w:pPr>
      <w:numPr>
        <w:ilvl w:val="1"/>
        <w:numId w:val="1"/>
      </w:numPr>
      <w:spacing w:before="60" w:after="120"/>
      <w:outlineLvl w:val="1"/>
    </w:pPr>
    <w:rPr>
      <w:u w:val="single"/>
    </w:rPr>
  </w:style>
  <w:style w:type="paragraph" w:customStyle="1" w:styleId="bno">
    <w:name w:val="_bno"/>
    <w:basedOn w:val="Normln"/>
    <w:link w:val="bnoChar"/>
    <w:rsid w:val="00B363DC"/>
    <w:pPr>
      <w:spacing w:after="120"/>
      <w:ind w:left="720"/>
    </w:pPr>
  </w:style>
  <w:style w:type="paragraph" w:customStyle="1" w:styleId="bh3">
    <w:name w:val="_bh3"/>
    <w:basedOn w:val="Normln"/>
    <w:link w:val="bh3Char"/>
    <w:rsid w:val="00B363DC"/>
    <w:pPr>
      <w:numPr>
        <w:ilvl w:val="2"/>
        <w:numId w:val="1"/>
      </w:numPr>
      <w:spacing w:before="60" w:after="120"/>
      <w:outlineLvl w:val="2"/>
    </w:pPr>
  </w:style>
  <w:style w:type="paragraph" w:customStyle="1" w:styleId="Dl">
    <w:name w:val="Díl"/>
    <w:basedOn w:val="Normln"/>
    <w:rsid w:val="00B363DC"/>
    <w:pPr>
      <w:keepNext/>
      <w:jc w:val="center"/>
    </w:pPr>
    <w:rPr>
      <w:rFonts w:ascii="Tahoma" w:hAnsi="Tahoma"/>
      <w:lang w:eastAsia="en-US"/>
    </w:rPr>
  </w:style>
  <w:style w:type="character" w:customStyle="1" w:styleId="bnoChar">
    <w:name w:val="_bno Char"/>
    <w:link w:val="bno"/>
    <w:rsid w:val="00B363DC"/>
    <w:rPr>
      <w:sz w:val="24"/>
      <w:lang w:val="cs-CZ" w:eastAsia="cs-CZ" w:bidi="ar-SA"/>
    </w:rPr>
  </w:style>
  <w:style w:type="paragraph" w:customStyle="1" w:styleId="bh4">
    <w:name w:val="_bh4"/>
    <w:basedOn w:val="Normln"/>
    <w:rsid w:val="00B363DC"/>
    <w:pPr>
      <w:numPr>
        <w:ilvl w:val="3"/>
        <w:numId w:val="1"/>
      </w:numPr>
    </w:pPr>
  </w:style>
  <w:style w:type="character" w:customStyle="1" w:styleId="bh2CharChar">
    <w:name w:val="_bh2 Char Char"/>
    <w:link w:val="bh2"/>
    <w:rsid w:val="00B363DC"/>
    <w:rPr>
      <w:sz w:val="24"/>
      <w:u w:val="single"/>
    </w:rPr>
  </w:style>
  <w:style w:type="character" w:customStyle="1" w:styleId="bh3Char">
    <w:name w:val="_bh3 Char"/>
    <w:link w:val="bh3"/>
    <w:rsid w:val="00B363DC"/>
    <w:rPr>
      <w:sz w:val="24"/>
    </w:rPr>
  </w:style>
  <w:style w:type="paragraph" w:styleId="Obsah2">
    <w:name w:val="toc 2"/>
    <w:basedOn w:val="Normln"/>
    <w:next w:val="Normln"/>
    <w:autoRedefine/>
    <w:semiHidden/>
    <w:rsid w:val="00BD792D"/>
    <w:pPr>
      <w:tabs>
        <w:tab w:val="left" w:pos="720"/>
        <w:tab w:val="right" w:leader="dot" w:pos="9060"/>
      </w:tabs>
      <w:spacing w:line="240" w:lineRule="auto"/>
    </w:pPr>
  </w:style>
  <w:style w:type="character" w:styleId="slostrnky">
    <w:name w:val="page number"/>
    <w:basedOn w:val="Standardnpsmoodstavce"/>
    <w:rsid w:val="00BD792D"/>
  </w:style>
  <w:style w:type="paragraph" w:styleId="Zkladntext">
    <w:name w:val="Body Text"/>
    <w:basedOn w:val="Normln"/>
    <w:link w:val="ZkladntextChar"/>
    <w:rsid w:val="00C07EEE"/>
    <w:pPr>
      <w:spacing w:after="120"/>
    </w:pPr>
  </w:style>
  <w:style w:type="character" w:customStyle="1" w:styleId="ZkladntextChar">
    <w:name w:val="Základní text Char"/>
    <w:link w:val="Zkladntext"/>
    <w:rsid w:val="00C07EEE"/>
    <w:rPr>
      <w:sz w:val="24"/>
    </w:rPr>
  </w:style>
  <w:style w:type="character" w:customStyle="1" w:styleId="Nadpis1Char">
    <w:name w:val="Nadpis 1 Char"/>
    <w:link w:val="Nadpis1"/>
    <w:uiPriority w:val="9"/>
    <w:rsid w:val="00C07E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C07EEE"/>
    <w:rPr>
      <w:rFonts w:ascii="Arial" w:hAnsi="Arial" w:cs="Arial"/>
      <w:b/>
      <w:bCs/>
      <w:color w:val="996600"/>
      <w:sz w:val="26"/>
      <w:szCs w:val="26"/>
    </w:rPr>
  </w:style>
  <w:style w:type="character" w:customStyle="1" w:styleId="Nadpis3Char">
    <w:name w:val="Nadpis 3 Char"/>
    <w:link w:val="Nadpis3"/>
    <w:uiPriority w:val="9"/>
    <w:rsid w:val="00C07EE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C07EEE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C07EEE"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C07EEE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C07EEE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"/>
    <w:semiHidden/>
    <w:rsid w:val="00C07EEE"/>
    <w:rPr>
      <w:rFonts w:ascii="Cambria" w:eastAsia="Times New Roman" w:hAnsi="Cambria" w:cs="Times New Roman"/>
      <w:color w:val="404040"/>
    </w:rPr>
  </w:style>
  <w:style w:type="character" w:customStyle="1" w:styleId="Nadpis9Char">
    <w:name w:val="Nadpis 9 Char"/>
    <w:link w:val="Nadpis9"/>
    <w:uiPriority w:val="9"/>
    <w:semiHidden/>
    <w:rsid w:val="00C07EEE"/>
    <w:rPr>
      <w:rFonts w:ascii="Cambria" w:eastAsia="Times New Roman" w:hAnsi="Cambria" w:cs="Times New Roman"/>
      <w:i/>
      <w:iCs/>
      <w:color w:val="404040"/>
    </w:rPr>
  </w:style>
  <w:style w:type="paragraph" w:customStyle="1" w:styleId="Normlnodsazen1">
    <w:name w:val="Normální odsazený1"/>
    <w:basedOn w:val="Normln"/>
    <w:rsid w:val="001769CE"/>
    <w:pPr>
      <w:suppressAutoHyphens/>
      <w:spacing w:after="100" w:line="320" w:lineRule="exact"/>
      <w:ind w:left="170" w:firstLine="170"/>
      <w:jc w:val="left"/>
    </w:pPr>
    <w:rPr>
      <w:rFonts w:ascii="NovareseCE" w:hAnsi="NovareseCE" w:cs="Times"/>
      <w:sz w:val="20"/>
      <w:lang w:eastAsia="ar-SA"/>
    </w:rPr>
  </w:style>
  <w:style w:type="paragraph" w:styleId="Normlnodsazen">
    <w:name w:val="Normal Indent"/>
    <w:basedOn w:val="Normln"/>
    <w:rsid w:val="001769CE"/>
    <w:pPr>
      <w:spacing w:after="100" w:line="320" w:lineRule="exact"/>
      <w:ind w:left="170" w:firstLine="170"/>
      <w:jc w:val="left"/>
    </w:pPr>
    <w:rPr>
      <w:rFonts w:ascii="NovareseCE" w:hAnsi="NovareseCE"/>
      <w:sz w:val="20"/>
    </w:rPr>
  </w:style>
  <w:style w:type="paragraph" w:styleId="Zhlav">
    <w:name w:val="header"/>
    <w:basedOn w:val="Normln"/>
    <w:link w:val="ZhlavChar"/>
    <w:rsid w:val="00DB79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7947"/>
    <w:rPr>
      <w:sz w:val="24"/>
    </w:rPr>
  </w:style>
  <w:style w:type="paragraph" w:styleId="Zpat">
    <w:name w:val="footer"/>
    <w:basedOn w:val="Normln"/>
    <w:link w:val="ZpatChar"/>
    <w:uiPriority w:val="99"/>
    <w:rsid w:val="00DB79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7947"/>
    <w:rPr>
      <w:sz w:val="24"/>
    </w:rPr>
  </w:style>
  <w:style w:type="paragraph" w:styleId="Textbubliny">
    <w:name w:val="Balloon Text"/>
    <w:basedOn w:val="Normln"/>
    <w:link w:val="TextbublinyChar"/>
    <w:rsid w:val="0044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40C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0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1257-428/428-2021%20D2%20RS.docx</ZkracenyRetezec>
    <Smazat xmlns="acca34e4-9ecd-41c8-99eb-d6aa654aaa55">&lt;a href="/sites/evidencesmluv/_layouts/15/IniWrkflIP.aspx?List=%7b77659FB5-C430-479E-BF06-0B5A5E07A4EB%7d&amp;amp;ID=3351&amp;amp;ItemGuid=%7b355A5392-506F-4695-8B4F-E3C975658EFD%7d&amp;amp;TemplateID=%7bd3f8102e-f4a5-4901-b93c-fb146a9d820d%7d"&gt;&lt;img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7D9BA-F21D-4468-B095-C2039ECD7275}"/>
</file>

<file path=customXml/itemProps2.xml><?xml version="1.0" encoding="utf-8"?>
<ds:datastoreItem xmlns:ds="http://schemas.openxmlformats.org/officeDocument/2006/customXml" ds:itemID="{6D5C0DAA-142C-408E-B99A-629B6B833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A7268-FBB8-497F-B9E3-577F2F92705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6FFDB5BA-ABD1-4F82-8D1F-E20286434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2772</Characters>
  <Application>Microsoft Office Word</Application>
  <DocSecurity>0</DocSecurity>
  <Lines>23</Lines>
  <Paragraphs>6</Paragraphs>
  <ScaleCrop>false</ScaleCrop>
  <Company>HP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Marek Joch</dc:creator>
  <cp:keywords/>
  <cp:lastModifiedBy>Barátová Ivana, Mgr.</cp:lastModifiedBy>
  <cp:revision>4</cp:revision>
  <cp:lastPrinted>2021-09-15T09:45:00Z</cp:lastPrinted>
  <dcterms:created xsi:type="dcterms:W3CDTF">2023-02-08T11:09:00Z</dcterms:created>
  <dcterms:modified xsi:type="dcterms:W3CDTF">2023-02-08T11:10:00Z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6489bd42-8688-444a-9c70-18ee9fee845f</vt:lpwstr>
  </property>
  <property fmtid="{D5CDD505-2E9C-101B-9397-08002B2CF9AE}" pid="4" name="MediaServiceImageTags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2023-01-09T11:02:08Z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58476020-f5c4-4f54-a7f4-796cbaf66301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