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B06DAAE" w14:textId="77777777" w:rsidR="000E06C8" w:rsidRPr="003C26CA" w:rsidRDefault="000E06C8" w:rsidP="000E06C8">
      <w:pPr>
        <w:ind w:left="2124" w:hanging="2124"/>
        <w:rPr>
          <w:rFonts w:ascii="Arial" w:hAnsi="Arial" w:cs="Arial"/>
          <w:b/>
        </w:rPr>
      </w:pPr>
      <w:r w:rsidRPr="003C26CA">
        <w:rPr>
          <w:rFonts w:ascii="Arial" w:hAnsi="Arial" w:cs="Arial"/>
          <w:b/>
        </w:rPr>
        <w:t>Sociální a zdravotní centrum Letiny s.r.o.</w:t>
      </w:r>
    </w:p>
    <w:p w14:paraId="01002DAA" w14:textId="77777777" w:rsidR="000E06C8" w:rsidRPr="003C26CA" w:rsidRDefault="000E06C8" w:rsidP="000E06C8">
      <w:pPr>
        <w:tabs>
          <w:tab w:val="left" w:pos="3402"/>
        </w:tabs>
        <w:ind w:left="4245" w:hanging="4245"/>
        <w:rPr>
          <w:rFonts w:ascii="Arial" w:hAnsi="Arial" w:cs="Arial"/>
        </w:rPr>
      </w:pPr>
      <w:r w:rsidRPr="003C26CA">
        <w:rPr>
          <w:rFonts w:ascii="Arial" w:hAnsi="Arial" w:cs="Arial"/>
        </w:rPr>
        <w:t>Sídlo:</w:t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  <w:t xml:space="preserve">Zručská cesta 1949/8, </w:t>
      </w:r>
      <w:r>
        <w:rPr>
          <w:rFonts w:ascii="Arial" w:hAnsi="Arial" w:cs="Arial"/>
        </w:rPr>
        <w:t xml:space="preserve">Bolevec, </w:t>
      </w:r>
      <w:r w:rsidRPr="003C26CA">
        <w:rPr>
          <w:rFonts w:ascii="Arial" w:hAnsi="Arial" w:cs="Arial"/>
        </w:rPr>
        <w:t>301 00</w:t>
      </w:r>
      <w:r>
        <w:rPr>
          <w:rFonts w:ascii="Arial" w:hAnsi="Arial" w:cs="Arial"/>
        </w:rPr>
        <w:t xml:space="preserve"> </w:t>
      </w:r>
      <w:r w:rsidRPr="003C26CA">
        <w:rPr>
          <w:rFonts w:ascii="Arial" w:hAnsi="Arial" w:cs="Arial"/>
        </w:rPr>
        <w:t xml:space="preserve"> Plzeň</w:t>
      </w:r>
    </w:p>
    <w:p w14:paraId="7EE48E53" w14:textId="77777777" w:rsidR="000E06C8" w:rsidRPr="003C26CA" w:rsidRDefault="000E06C8" w:rsidP="000E06C8">
      <w:pPr>
        <w:tabs>
          <w:tab w:val="left" w:pos="1985"/>
        </w:tabs>
        <w:ind w:left="3402" w:hanging="3402"/>
        <w:rPr>
          <w:rFonts w:ascii="Arial" w:hAnsi="Arial" w:cs="Arial"/>
        </w:rPr>
      </w:pPr>
      <w:r w:rsidRPr="003C26CA">
        <w:rPr>
          <w:rFonts w:ascii="Arial" w:hAnsi="Arial" w:cs="Arial"/>
        </w:rPr>
        <w:t>Osoba oprávněná k po</w:t>
      </w:r>
      <w:r>
        <w:rPr>
          <w:rFonts w:ascii="Arial" w:hAnsi="Arial" w:cs="Arial"/>
        </w:rPr>
        <w:t>dpisu smlouvy:</w:t>
      </w:r>
      <w:r>
        <w:rPr>
          <w:rFonts w:ascii="Arial" w:hAnsi="Arial" w:cs="Arial"/>
        </w:rPr>
        <w:tab/>
        <w:t>Bc. Aleš Patera</w:t>
      </w:r>
      <w:r w:rsidRPr="003C26CA">
        <w:rPr>
          <w:rFonts w:ascii="Arial" w:hAnsi="Arial" w:cs="Arial"/>
        </w:rPr>
        <w:t>, prokurista</w:t>
      </w:r>
    </w:p>
    <w:p w14:paraId="2134EF81" w14:textId="77777777" w:rsidR="000E06C8" w:rsidRPr="003C26CA" w:rsidRDefault="000E06C8" w:rsidP="000E06C8">
      <w:pPr>
        <w:tabs>
          <w:tab w:val="left" w:pos="4253"/>
        </w:tabs>
        <w:ind w:left="3402" w:hanging="3402"/>
        <w:rPr>
          <w:rFonts w:ascii="Arial" w:hAnsi="Arial" w:cs="Arial"/>
        </w:rPr>
      </w:pPr>
      <w:r w:rsidRPr="003C26CA">
        <w:rPr>
          <w:rFonts w:ascii="Arial" w:hAnsi="Arial" w:cs="Arial"/>
        </w:rPr>
        <w:t>IČO:</w:t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  <w:t>63504502</w:t>
      </w:r>
    </w:p>
    <w:p w14:paraId="06D4F5B8" w14:textId="77777777" w:rsidR="000E06C8" w:rsidRPr="003C26CA" w:rsidRDefault="000E06C8" w:rsidP="000E06C8">
      <w:pPr>
        <w:ind w:left="3402" w:hanging="3402"/>
        <w:jc w:val="both"/>
        <w:rPr>
          <w:rFonts w:ascii="Arial" w:hAnsi="Arial" w:cs="Arial"/>
        </w:rPr>
      </w:pPr>
      <w:r w:rsidRPr="003C26CA">
        <w:rPr>
          <w:rFonts w:ascii="Arial" w:hAnsi="Arial" w:cs="Arial"/>
        </w:rPr>
        <w:t xml:space="preserve">Bankovní spojení: </w:t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  <w:t>Česká spořitelna, a.s.</w:t>
      </w:r>
    </w:p>
    <w:p w14:paraId="32E33CC1" w14:textId="77777777" w:rsidR="000E06C8" w:rsidRPr="003C26CA" w:rsidRDefault="000E06C8" w:rsidP="000E06C8">
      <w:pPr>
        <w:ind w:left="3402" w:hanging="3402"/>
        <w:jc w:val="both"/>
        <w:rPr>
          <w:rFonts w:ascii="Arial" w:hAnsi="Arial" w:cs="Arial"/>
        </w:rPr>
      </w:pPr>
      <w:r w:rsidRPr="003C26CA">
        <w:rPr>
          <w:rFonts w:ascii="Arial" w:hAnsi="Arial" w:cs="Arial"/>
        </w:rPr>
        <w:t>Číslo účtu:</w:t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</w:r>
      <w:r w:rsidRPr="003C26CA">
        <w:rPr>
          <w:rFonts w:ascii="Arial" w:hAnsi="Arial" w:cs="Arial"/>
        </w:rPr>
        <w:tab/>
        <w:t>727087389/0800</w:t>
      </w:r>
    </w:p>
    <w:p w14:paraId="529E98B2" w14:textId="77777777" w:rsidR="000E06C8" w:rsidRDefault="000E06C8" w:rsidP="000E06C8">
      <w:pPr>
        <w:jc w:val="both"/>
        <w:rPr>
          <w:rFonts w:ascii="Arial" w:hAnsi="Arial" w:cs="Arial"/>
        </w:rPr>
      </w:pPr>
    </w:p>
    <w:p w14:paraId="2954C3AD" w14:textId="77777777" w:rsidR="000E06C8" w:rsidRPr="003C26CA" w:rsidRDefault="000E06C8" w:rsidP="000E0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3C26CA">
        <w:rPr>
          <w:rFonts w:ascii="Arial" w:hAnsi="Arial" w:cs="Arial"/>
        </w:rPr>
        <w:t xml:space="preserve"> vedeném Krajským soudem v Plzni oddíl C, vložka 6429.</w:t>
      </w:r>
    </w:p>
    <w:p w14:paraId="6D2DE6FF" w14:textId="77777777" w:rsidR="00971CAF" w:rsidRPr="00035E67" w:rsidRDefault="006A3BD6" w:rsidP="00842695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 </w:t>
      </w: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6297BC03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DB39BE">
        <w:rPr>
          <w:rFonts w:ascii="Arial" w:hAnsi="Arial" w:cs="Arial"/>
          <w:b/>
          <w:bCs/>
        </w:rPr>
        <w:t xml:space="preserve"> </w:t>
      </w:r>
      <w:r w:rsidR="009552AC">
        <w:rPr>
          <w:rFonts w:ascii="Arial" w:hAnsi="Arial" w:cs="Arial"/>
          <w:b/>
          <w:bCs/>
        </w:rPr>
        <w:t>57632022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0B5544D9" w:rsidR="004E4091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613EFE24" w14:textId="77777777" w:rsidR="00414EC1" w:rsidRPr="00035E67" w:rsidRDefault="00414EC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0A3AAB07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 xml:space="preserve">, byl Příjemce Pověřením výkonem služby obecného hospodářského zájmu č. </w:t>
      </w:r>
      <w:r w:rsidR="00B91BCA">
        <w:rPr>
          <w:rFonts w:ascii="Arial" w:hAnsi="Arial" w:cs="Arial"/>
        </w:rPr>
        <w:t>58932022</w:t>
      </w:r>
      <w:r w:rsidRPr="00004CA6">
        <w:rPr>
          <w:rFonts w:ascii="Arial" w:hAnsi="Arial" w:cs="Arial"/>
        </w:rPr>
        <w:t xml:space="preserve"> vydaným Plzeňským krajem (dále jen </w:t>
      </w:r>
      <w:r w:rsidR="00BE2439">
        <w:rPr>
          <w:rFonts w:ascii="Arial" w:hAnsi="Arial" w:cs="Arial"/>
        </w:rPr>
        <w:lastRenderedPageBreak/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5D6CE6">
        <w:rPr>
          <w:rFonts w:ascii="Arial" w:hAnsi="Arial" w:cs="Arial"/>
        </w:rPr>
        <w:t>) pověřen poskytováním služby uvedené</w:t>
      </w:r>
      <w:r w:rsidRPr="00004CA6">
        <w:rPr>
          <w:rFonts w:ascii="Arial" w:hAnsi="Arial" w:cs="Arial"/>
        </w:rPr>
        <w:t xml:space="preserve"> v čl. II</w:t>
      </w:r>
      <w:r w:rsidR="005D6CE6">
        <w:rPr>
          <w:rFonts w:ascii="Arial" w:hAnsi="Arial" w:cs="Arial"/>
        </w:rPr>
        <w:t>. této smlouvy jako služby</w:t>
      </w:r>
      <w:r w:rsidR="00BE2439">
        <w:rPr>
          <w:rFonts w:ascii="Arial" w:hAnsi="Arial" w:cs="Arial"/>
        </w:rPr>
        <w:t xml:space="preserve">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4DABC5A6" w:rsidR="00833E6B" w:rsidRDefault="00F33A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Návratná finanční výpomoc</w:t>
      </w:r>
      <w:r w:rsidR="003C5793">
        <w:rPr>
          <w:rFonts w:ascii="Arial" w:hAnsi="Arial" w:cs="Arial"/>
        </w:rPr>
        <w:t xml:space="preserve"> uvedená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3C5793">
        <w:rPr>
          <w:rFonts w:ascii="Arial" w:hAnsi="Arial" w:cs="Arial"/>
        </w:rPr>
        <w:t>je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Rozhodnutím poskytována</w:t>
      </w:r>
      <w:r w:rsidR="00833E6B" w:rsidRPr="00004CA6">
        <w:rPr>
          <w:rFonts w:ascii="Arial" w:hAnsi="Arial" w:cs="Arial"/>
        </w:rPr>
        <w:t xml:space="preserve"> jako součást vyrovnávací platby za poskytování </w:t>
      </w:r>
      <w:r w:rsidR="005D6CE6">
        <w:rPr>
          <w:rFonts w:ascii="Arial" w:hAnsi="Arial" w:cs="Arial"/>
        </w:rPr>
        <w:t>služby</w:t>
      </w:r>
      <w:r w:rsidR="00833E6B" w:rsidRPr="00004CA6">
        <w:rPr>
          <w:rFonts w:ascii="Arial" w:hAnsi="Arial" w:cs="Arial"/>
        </w:rPr>
        <w:t xml:space="preserve">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424DFD74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5D6CE6">
        <w:rPr>
          <w:rFonts w:ascii="Arial" w:hAnsi="Arial" w:cs="Arial"/>
        </w:rPr>
        <w:t>za poskytování služby</w:t>
      </w:r>
      <w:r w:rsidR="001E5417">
        <w:rPr>
          <w:rFonts w:ascii="Arial" w:hAnsi="Arial" w:cs="Arial"/>
        </w:rPr>
        <w:t xml:space="preserve"> obecného hospodářského zájmu stanovené v Pověření.</w:t>
      </w:r>
    </w:p>
    <w:p w14:paraId="45F700A0" w14:textId="77777777" w:rsidR="00EB5E34" w:rsidRPr="00035E67" w:rsidRDefault="00EB5E34" w:rsidP="00EB5E34">
      <w:pPr>
        <w:jc w:val="both"/>
        <w:rPr>
          <w:highlight w:val="cyan"/>
          <w:lang w:eastAsia="x-none"/>
        </w:rPr>
      </w:pPr>
    </w:p>
    <w:p w14:paraId="2FDFD47D" w14:textId="77777777" w:rsidR="00EB5E34" w:rsidRPr="00733D7D" w:rsidRDefault="00EB5E34" w:rsidP="00DA1261">
      <w:pPr>
        <w:pStyle w:val="Nadpis2"/>
        <w:spacing w:after="120"/>
        <w:rPr>
          <w:rFonts w:ascii="Arial" w:hAnsi="Arial" w:cs="Arial"/>
          <w:bCs w:val="0"/>
          <w:lang w:val="cs-CZ"/>
        </w:rPr>
      </w:pPr>
    </w:p>
    <w:p w14:paraId="38E79B7F" w14:textId="77777777" w:rsidR="00971CAF" w:rsidRPr="00733D7D" w:rsidRDefault="00CA32DC" w:rsidP="00B80214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77A741EE" w14:textId="5CADBEED" w:rsidR="00196EC8" w:rsidRPr="008F4971" w:rsidRDefault="00971CAF" w:rsidP="008F4971">
      <w:pPr>
        <w:spacing w:after="120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Předmětem smlouvy je poskytnutí účelové </w:t>
      </w:r>
      <w:r w:rsidR="00A01543">
        <w:rPr>
          <w:rFonts w:ascii="Arial" w:hAnsi="Arial" w:cs="Arial"/>
        </w:rPr>
        <w:t xml:space="preserve">návratné </w:t>
      </w:r>
      <w:r w:rsidR="00605B92" w:rsidRPr="00004CA6">
        <w:rPr>
          <w:rFonts w:ascii="Arial" w:hAnsi="Arial" w:cs="Arial"/>
        </w:rPr>
        <w:t xml:space="preserve">finanční </w:t>
      </w:r>
      <w:r w:rsidR="00A01543">
        <w:rPr>
          <w:rFonts w:ascii="Arial" w:hAnsi="Arial" w:cs="Arial"/>
        </w:rPr>
        <w:t>výpomoci</w:t>
      </w:r>
      <w:r w:rsidRPr="00004CA6">
        <w:rPr>
          <w:rFonts w:ascii="Arial" w:hAnsi="Arial" w:cs="Arial"/>
        </w:rPr>
        <w:t xml:space="preserve"> </w:t>
      </w:r>
      <w:r w:rsidR="00144F68" w:rsidRPr="00004CA6">
        <w:rPr>
          <w:rFonts w:ascii="Arial" w:hAnsi="Arial" w:cs="Arial"/>
        </w:rPr>
        <w:t>(dále t</w:t>
      </w:r>
      <w:r w:rsidR="003D55A9" w:rsidRPr="00004CA6">
        <w:rPr>
          <w:rFonts w:ascii="Arial" w:hAnsi="Arial" w:cs="Arial"/>
        </w:rPr>
        <w:t>aké</w:t>
      </w:r>
      <w:r w:rsidR="0088202F" w:rsidRPr="00004CA6">
        <w:rPr>
          <w:rFonts w:ascii="Arial" w:hAnsi="Arial" w:cs="Arial"/>
        </w:rPr>
        <w:t xml:space="preserve"> </w:t>
      </w:r>
      <w:r w:rsidR="00A01543">
        <w:rPr>
          <w:rFonts w:ascii="Arial" w:hAnsi="Arial" w:cs="Arial"/>
        </w:rPr>
        <w:t>„NFV“</w:t>
      </w:r>
      <w:r w:rsidR="00144F68" w:rsidRPr="00004CA6">
        <w:rPr>
          <w:rFonts w:ascii="Arial" w:hAnsi="Arial" w:cs="Arial"/>
        </w:rPr>
        <w:t xml:space="preserve">) </w:t>
      </w:r>
      <w:r w:rsidRPr="00004CA6">
        <w:rPr>
          <w:rFonts w:ascii="Arial" w:hAnsi="Arial" w:cs="Arial"/>
        </w:rPr>
        <w:t xml:space="preserve">určené na </w:t>
      </w:r>
      <w:r w:rsidR="00EB5E34" w:rsidRPr="00004CA6">
        <w:rPr>
          <w:rFonts w:ascii="Arial" w:hAnsi="Arial" w:cs="Arial"/>
        </w:rPr>
        <w:t>poskytování</w:t>
      </w:r>
      <w:r w:rsidR="00D97209" w:rsidRPr="00004CA6">
        <w:rPr>
          <w:rFonts w:ascii="Arial" w:hAnsi="Arial" w:cs="Arial"/>
        </w:rPr>
        <w:t xml:space="preserve"> základních činností</w:t>
      </w:r>
      <w:r w:rsidR="00EB5E34" w:rsidRPr="00004CA6">
        <w:rPr>
          <w:rFonts w:ascii="Arial" w:hAnsi="Arial" w:cs="Arial"/>
        </w:rPr>
        <w:t xml:space="preserve"> sociální služby </w:t>
      </w:r>
      <w:r w:rsidR="000E06C8">
        <w:rPr>
          <w:rFonts w:ascii="Arial" w:hAnsi="Arial" w:cs="Arial"/>
          <w:b/>
        </w:rPr>
        <w:t>Domovy se zvláštním režimem</w:t>
      </w:r>
      <w:r w:rsidR="000E06C8">
        <w:rPr>
          <w:rFonts w:ascii="Arial" w:hAnsi="Arial" w:cs="Arial"/>
        </w:rPr>
        <w:t xml:space="preserve"> </w:t>
      </w:r>
      <w:r w:rsidR="00EB5E34" w:rsidRPr="00DB39BE">
        <w:rPr>
          <w:rFonts w:ascii="Arial" w:hAnsi="Arial" w:cs="Arial"/>
          <w:b/>
        </w:rPr>
        <w:t>(ID</w:t>
      </w:r>
      <w:r w:rsidR="00DB39BE" w:rsidRPr="00DB39BE">
        <w:rPr>
          <w:rFonts w:ascii="Arial" w:hAnsi="Arial" w:cs="Arial"/>
          <w:b/>
        </w:rPr>
        <w:t>:</w:t>
      </w:r>
      <w:r w:rsidR="00EB5E34" w:rsidRPr="00DB39BE">
        <w:rPr>
          <w:rFonts w:ascii="Arial" w:hAnsi="Arial" w:cs="Arial"/>
          <w:b/>
        </w:rPr>
        <w:t xml:space="preserve"> </w:t>
      </w:r>
      <w:r w:rsidR="000E06C8">
        <w:rPr>
          <w:rFonts w:ascii="Arial" w:hAnsi="Arial" w:cs="Arial"/>
          <w:b/>
        </w:rPr>
        <w:t>7503665</w:t>
      </w:r>
      <w:r w:rsidR="00196EC8" w:rsidRPr="00DB39BE">
        <w:rPr>
          <w:rFonts w:ascii="Arial" w:hAnsi="Arial" w:cs="Arial"/>
          <w:b/>
        </w:rPr>
        <w:t>)</w:t>
      </w:r>
      <w:r w:rsidRPr="00004CA6">
        <w:rPr>
          <w:rFonts w:ascii="Arial" w:hAnsi="Arial" w:cs="Arial"/>
        </w:rPr>
        <w:t xml:space="preserve"> </w:t>
      </w:r>
      <w:r w:rsidR="007A066E" w:rsidRPr="00004CA6">
        <w:rPr>
          <w:rFonts w:ascii="Arial" w:hAnsi="Arial" w:cs="Arial"/>
        </w:rPr>
        <w:t>v rozsahu stanoveném v</w:t>
      </w:r>
      <w:r w:rsidR="00635A65">
        <w:rPr>
          <w:rFonts w:ascii="Arial" w:hAnsi="Arial" w:cs="Arial"/>
        </w:rPr>
        <w:t> </w:t>
      </w:r>
      <w:r w:rsidR="007A066E" w:rsidRPr="00004CA6">
        <w:rPr>
          <w:rFonts w:ascii="Arial" w:hAnsi="Arial" w:cs="Arial"/>
        </w:rPr>
        <w:t>Pověření</w:t>
      </w:r>
      <w:r w:rsidR="007A066E" w:rsidRPr="00635A65">
        <w:rPr>
          <w:rFonts w:ascii="Arial" w:hAnsi="Arial" w:cs="Arial"/>
        </w:rPr>
        <w:t xml:space="preserve"> </w:t>
      </w:r>
      <w:r w:rsidR="008A5D8C" w:rsidRPr="00635A65">
        <w:rPr>
          <w:rFonts w:ascii="Arial" w:hAnsi="Arial" w:cs="Arial"/>
        </w:rPr>
        <w:t>(</w:t>
      </w:r>
      <w:r w:rsidR="008A5D8C" w:rsidRPr="00004CA6">
        <w:rPr>
          <w:rFonts w:ascii="Arial" w:hAnsi="Arial" w:cs="Arial"/>
        </w:rPr>
        <w:t xml:space="preserve">dále </w:t>
      </w:r>
      <w:r w:rsidR="00B82770" w:rsidRPr="00004CA6">
        <w:rPr>
          <w:rFonts w:ascii="Arial" w:hAnsi="Arial" w:cs="Arial"/>
        </w:rPr>
        <w:t>také</w:t>
      </w:r>
      <w:r w:rsidR="008A5D8C" w:rsidRPr="00004CA6">
        <w:rPr>
          <w:rFonts w:ascii="Arial" w:hAnsi="Arial" w:cs="Arial"/>
        </w:rPr>
        <w:t xml:space="preserve"> </w:t>
      </w:r>
      <w:r w:rsidR="00DA6F92">
        <w:rPr>
          <w:rFonts w:ascii="Arial" w:hAnsi="Arial" w:cs="Arial"/>
        </w:rPr>
        <w:t>„</w:t>
      </w:r>
      <w:r w:rsidR="008E74F6" w:rsidRPr="00004CA6">
        <w:rPr>
          <w:rFonts w:ascii="Arial" w:hAnsi="Arial" w:cs="Arial"/>
        </w:rPr>
        <w:t>Sociální služba</w:t>
      </w:r>
      <w:r w:rsidR="00DA6F92">
        <w:rPr>
          <w:rFonts w:ascii="Arial" w:hAnsi="Arial" w:cs="Arial"/>
        </w:rPr>
        <w:t>“</w:t>
      </w:r>
      <w:r w:rsidR="009156DA" w:rsidRPr="00004CA6">
        <w:rPr>
          <w:rFonts w:ascii="Arial" w:hAnsi="Arial" w:cs="Arial"/>
        </w:rPr>
        <w:t xml:space="preserve">). </w:t>
      </w:r>
      <w:r w:rsidRPr="00004CA6">
        <w:rPr>
          <w:rFonts w:ascii="Arial" w:hAnsi="Arial" w:cs="Arial"/>
        </w:rPr>
        <w:t xml:space="preserve">Podkladem pro poskytnutí účelové </w:t>
      </w:r>
      <w:r w:rsidR="00DA6F92">
        <w:rPr>
          <w:rFonts w:ascii="Arial" w:hAnsi="Arial" w:cs="Arial"/>
        </w:rPr>
        <w:t>NFV</w:t>
      </w:r>
      <w:r w:rsidR="008108F0">
        <w:rPr>
          <w:rFonts w:ascii="Arial" w:hAnsi="Arial" w:cs="Arial"/>
        </w:rPr>
        <w:t xml:space="preserve"> je</w:t>
      </w:r>
      <w:r w:rsidR="00230122" w:rsidRPr="00004CA6">
        <w:rPr>
          <w:rFonts w:ascii="Arial" w:hAnsi="Arial" w:cs="Arial"/>
        </w:rPr>
        <w:t xml:space="preserve"> </w:t>
      </w:r>
      <w:r w:rsidRPr="00004CA6">
        <w:rPr>
          <w:rFonts w:ascii="Arial" w:hAnsi="Arial" w:cs="Arial"/>
        </w:rPr>
        <w:t xml:space="preserve">žádost </w:t>
      </w:r>
      <w:r w:rsidR="003D55A9" w:rsidRPr="00004CA6">
        <w:rPr>
          <w:rFonts w:ascii="Arial" w:hAnsi="Arial" w:cs="Arial"/>
        </w:rPr>
        <w:t>P</w:t>
      </w:r>
      <w:r w:rsidRPr="00004CA6">
        <w:rPr>
          <w:rFonts w:ascii="Arial" w:hAnsi="Arial" w:cs="Arial"/>
        </w:rPr>
        <w:t xml:space="preserve">říjemce </w:t>
      </w:r>
      <w:r w:rsidR="000E06C8">
        <w:rPr>
          <w:rFonts w:ascii="Arial" w:hAnsi="Arial" w:cs="Arial"/>
        </w:rPr>
        <w:br/>
      </w:r>
      <w:r w:rsidRPr="00004CA6">
        <w:rPr>
          <w:rFonts w:ascii="Arial" w:hAnsi="Arial" w:cs="Arial"/>
        </w:rPr>
        <w:t xml:space="preserve">o poskytnutí </w:t>
      </w:r>
      <w:r w:rsidR="00231690">
        <w:rPr>
          <w:rFonts w:ascii="Arial" w:hAnsi="Arial" w:cs="Arial"/>
        </w:rPr>
        <w:t>NFV</w:t>
      </w:r>
      <w:r w:rsidR="002823EC" w:rsidRPr="00004CA6">
        <w:rPr>
          <w:rFonts w:ascii="Arial" w:hAnsi="Arial" w:cs="Arial"/>
        </w:rPr>
        <w:t>.</w:t>
      </w:r>
      <w:r w:rsidR="00196EC8" w:rsidRPr="00DB39BE">
        <w:rPr>
          <w:rFonts w:ascii="Arial" w:hAnsi="Arial" w:cs="Arial"/>
          <w:highlight w:val="yellow"/>
        </w:rPr>
        <w:t xml:space="preserve"> 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7D6580BD" w14:textId="77777777" w:rsidR="00196EC8" w:rsidRPr="00035E67" w:rsidRDefault="00196EC8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3A08BBA3" w14:textId="77777777" w:rsidR="00971CAF" w:rsidRPr="00924BCB" w:rsidRDefault="00CA32DC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185716D5" w14:textId="6DDAFDF3" w:rsidR="00FA76C9" w:rsidRPr="00FA76C9" w:rsidRDefault="004E755D" w:rsidP="000E06C8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Poskytovatel se zavazuje poskytnout účelovou </w:t>
      </w:r>
      <w:r w:rsidR="009D0C8A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ve výši </w:t>
      </w:r>
      <w:r w:rsidR="000E06C8">
        <w:rPr>
          <w:rFonts w:ascii="Arial" w:hAnsi="Arial" w:cs="Arial"/>
          <w:b/>
        </w:rPr>
        <w:t>15.000.000</w:t>
      </w:r>
      <w:r w:rsidRPr="00924BCB">
        <w:rPr>
          <w:rFonts w:ascii="Arial" w:hAnsi="Arial" w:cs="Arial"/>
          <w:b/>
        </w:rPr>
        <w:t xml:space="preserve"> Kč </w:t>
      </w:r>
      <w:r w:rsidRPr="00924BCB">
        <w:rPr>
          <w:rFonts w:ascii="Arial" w:hAnsi="Arial" w:cs="Arial"/>
        </w:rPr>
        <w:t xml:space="preserve">(slovy: </w:t>
      </w:r>
      <w:r w:rsidR="000E06C8" w:rsidRPr="000E06C8">
        <w:rPr>
          <w:rFonts w:ascii="Arial" w:hAnsi="Arial" w:cs="Arial"/>
        </w:rPr>
        <w:t>patnáct milionů korun českých</w:t>
      </w:r>
      <w:r w:rsidRPr="00924BCB">
        <w:rPr>
          <w:rFonts w:ascii="Arial" w:hAnsi="Arial" w:cs="Arial"/>
        </w:rPr>
        <w:t>)</w:t>
      </w:r>
      <w:r w:rsidR="004403AA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Příjemci pro účel uvedený v článku II. této smlouvy</w:t>
      </w:r>
      <w:r w:rsidR="006F7144" w:rsidRPr="00924BCB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za podmínek stanovených touto smlouvou</w:t>
      </w:r>
      <w:r w:rsidR="00D83FD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a</w:t>
      </w:r>
      <w:r w:rsidR="003D05D0" w:rsidRPr="00924BCB">
        <w:rPr>
          <w:rFonts w:ascii="Arial" w:hAnsi="Arial" w:cs="Arial"/>
        </w:rPr>
        <w:t> </w:t>
      </w:r>
      <w:r w:rsidR="000774C2" w:rsidRPr="00924BCB">
        <w:rPr>
          <w:rFonts w:ascii="Arial" w:hAnsi="Arial" w:cs="Arial"/>
        </w:rPr>
        <w:t> </w:t>
      </w:r>
      <w:r w:rsidR="002B72EA">
        <w:rPr>
          <w:rFonts w:ascii="Arial" w:hAnsi="Arial" w:cs="Arial"/>
        </w:rPr>
        <w:t>vyhlášeným</w:t>
      </w:r>
      <w:r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„P</w:t>
      </w:r>
      <w:r w:rsidR="005B1536">
        <w:rPr>
          <w:rFonts w:ascii="Arial" w:hAnsi="Arial" w:cs="Arial"/>
          <w:b/>
        </w:rPr>
        <w:t>rog</w:t>
      </w:r>
      <w:r w:rsidRPr="00924BCB">
        <w:rPr>
          <w:rFonts w:ascii="Arial" w:hAnsi="Arial" w:cs="Arial"/>
          <w:b/>
        </w:rPr>
        <w:t>ra</w:t>
      </w:r>
      <w:r w:rsidR="005B1536">
        <w:rPr>
          <w:rFonts w:ascii="Arial" w:hAnsi="Arial" w:cs="Arial"/>
          <w:b/>
        </w:rPr>
        <w:t>m</w:t>
      </w:r>
      <w:r w:rsidR="002B72EA">
        <w:rPr>
          <w:rFonts w:ascii="Arial" w:hAnsi="Arial" w:cs="Arial"/>
          <w:b/>
        </w:rPr>
        <w:t>em</w:t>
      </w:r>
      <w:r w:rsidR="005B1536">
        <w:rPr>
          <w:rFonts w:ascii="Arial" w:hAnsi="Arial" w:cs="Arial"/>
          <w:b/>
        </w:rPr>
        <w:t xml:space="preserve"> pro poskytování návratných finančních výpomocí na zajištění poskytování</w:t>
      </w:r>
      <w:r w:rsidRPr="00924BCB">
        <w:rPr>
          <w:rFonts w:ascii="Arial" w:hAnsi="Arial" w:cs="Arial"/>
          <w:b/>
        </w:rPr>
        <w:t xml:space="preserve"> sociálních služeb </w:t>
      </w:r>
      <w:r w:rsidR="00AE1031">
        <w:rPr>
          <w:rFonts w:ascii="Arial" w:hAnsi="Arial" w:cs="Arial"/>
          <w:b/>
        </w:rPr>
        <w:t>v roce 2023</w:t>
      </w:r>
      <w:r w:rsidRPr="00924BCB">
        <w:rPr>
          <w:rFonts w:ascii="Arial" w:hAnsi="Arial" w:cs="Arial"/>
          <w:b/>
        </w:rPr>
        <w:t>“</w:t>
      </w:r>
      <w:r w:rsidRPr="00924BCB">
        <w:rPr>
          <w:rFonts w:ascii="Arial" w:hAnsi="Arial" w:cs="Arial"/>
        </w:rPr>
        <w:t xml:space="preserve"> schváleným usnesením RPK č. </w:t>
      </w:r>
      <w:r w:rsidR="00AE1031">
        <w:rPr>
          <w:rFonts w:ascii="Arial" w:hAnsi="Arial" w:cs="Arial"/>
        </w:rPr>
        <w:t>26</w:t>
      </w:r>
      <w:r w:rsidR="00774E61">
        <w:rPr>
          <w:rFonts w:ascii="Arial" w:hAnsi="Arial" w:cs="Arial"/>
        </w:rPr>
        <w:t>0</w:t>
      </w:r>
      <w:r w:rsidR="00AE1031">
        <w:rPr>
          <w:rFonts w:ascii="Arial" w:hAnsi="Arial" w:cs="Arial"/>
        </w:rPr>
        <w:t>9</w:t>
      </w:r>
      <w:r w:rsidR="005E053E">
        <w:rPr>
          <w:rFonts w:ascii="Arial" w:hAnsi="Arial" w:cs="Arial"/>
        </w:rPr>
        <w:t>/</w:t>
      </w:r>
      <w:r w:rsidR="00AE1031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ze dne</w:t>
      </w:r>
      <w:r w:rsidR="002A7401" w:rsidRPr="00924BCB">
        <w:rPr>
          <w:rFonts w:ascii="Arial" w:hAnsi="Arial" w:cs="Arial"/>
        </w:rPr>
        <w:t xml:space="preserve"> </w:t>
      </w:r>
      <w:r w:rsidR="00AE1031">
        <w:rPr>
          <w:rFonts w:ascii="Arial" w:hAnsi="Arial" w:cs="Arial"/>
        </w:rPr>
        <w:t>3</w:t>
      </w:r>
      <w:r w:rsidR="0073609C" w:rsidRPr="00924BCB">
        <w:rPr>
          <w:rFonts w:ascii="Arial" w:hAnsi="Arial" w:cs="Arial"/>
        </w:rPr>
        <w:t>. </w:t>
      </w:r>
      <w:r w:rsidR="005B1536">
        <w:rPr>
          <w:rFonts w:ascii="Arial" w:hAnsi="Arial" w:cs="Arial"/>
        </w:rPr>
        <w:t>1</w:t>
      </w:r>
      <w:r w:rsidR="00AE1031">
        <w:rPr>
          <w:rFonts w:ascii="Arial" w:hAnsi="Arial" w:cs="Arial"/>
        </w:rPr>
        <w:t>0</w:t>
      </w:r>
      <w:r w:rsidR="00435670" w:rsidRPr="00924BCB">
        <w:rPr>
          <w:rFonts w:ascii="Arial" w:hAnsi="Arial" w:cs="Arial"/>
        </w:rPr>
        <w:t>.</w:t>
      </w:r>
      <w:r w:rsidR="008B58A5" w:rsidRPr="00924BCB">
        <w:rPr>
          <w:rFonts w:ascii="Arial" w:hAnsi="Arial" w:cs="Arial"/>
        </w:rPr>
        <w:t xml:space="preserve"> 20</w:t>
      </w:r>
      <w:r w:rsidR="00AE1031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(dále jen </w:t>
      </w:r>
      <w:r w:rsidR="005B1536">
        <w:rPr>
          <w:rFonts w:ascii="Arial" w:hAnsi="Arial" w:cs="Arial"/>
        </w:rPr>
        <w:t>„Program“</w:t>
      </w:r>
      <w:r w:rsidRPr="00924BCB">
        <w:rPr>
          <w:rFonts w:ascii="Arial" w:hAnsi="Arial" w:cs="Arial"/>
        </w:rPr>
        <w:t xml:space="preserve">). </w:t>
      </w:r>
      <w:r w:rsidR="005B1536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se poskytuje jako neinvestiční</w:t>
      </w:r>
      <w:r w:rsidR="009C5A0F">
        <w:rPr>
          <w:rFonts w:ascii="Arial" w:hAnsi="Arial" w:cs="Arial"/>
        </w:rPr>
        <w:t xml:space="preserve"> a bezúročná</w:t>
      </w:r>
      <w:r w:rsidRPr="00924BCB">
        <w:rPr>
          <w:rFonts w:ascii="Arial" w:hAnsi="Arial" w:cs="Arial"/>
        </w:rPr>
        <w:t xml:space="preserve">. </w:t>
      </w:r>
      <w:r w:rsidR="009C5A0F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poskytovaná touto smlouvou bu</w:t>
      </w:r>
      <w:r w:rsidR="009C5A0F">
        <w:rPr>
          <w:rFonts w:ascii="Arial" w:hAnsi="Arial" w:cs="Arial"/>
        </w:rPr>
        <w:t>de v plné výši kryta z </w:t>
      </w:r>
      <w:r w:rsidRPr="00924BCB">
        <w:rPr>
          <w:rFonts w:ascii="Arial" w:hAnsi="Arial" w:cs="Arial"/>
        </w:rPr>
        <w:t>rozpočtu</w:t>
      </w:r>
      <w:r w:rsidR="009C5A0F">
        <w:rPr>
          <w:rFonts w:ascii="Arial" w:hAnsi="Arial" w:cs="Arial"/>
        </w:rPr>
        <w:t xml:space="preserve"> Poskytovatele</w:t>
      </w:r>
      <w:r w:rsidR="002A7401" w:rsidRPr="00924BCB">
        <w:rPr>
          <w:rFonts w:ascii="Arial" w:hAnsi="Arial" w:cs="Arial"/>
        </w:rPr>
        <w:t>.</w:t>
      </w:r>
    </w:p>
    <w:p w14:paraId="51F2C541" w14:textId="77777777" w:rsidR="00FE5A99" w:rsidRPr="00FE5A99" w:rsidRDefault="00971CAF" w:rsidP="00FE5A99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</w:rPr>
      </w:pPr>
      <w:r w:rsidRPr="0082217E">
        <w:rPr>
          <w:rFonts w:ascii="Arial" w:hAnsi="Arial" w:cs="Arial"/>
        </w:rPr>
        <w:t xml:space="preserve">Příjemce </w:t>
      </w:r>
      <w:r w:rsidR="008A5D8C" w:rsidRPr="0082217E">
        <w:rPr>
          <w:rFonts w:ascii="Arial" w:hAnsi="Arial" w:cs="Arial"/>
        </w:rPr>
        <w:t>s</w:t>
      </w:r>
      <w:r w:rsidRPr="0082217E">
        <w:rPr>
          <w:rFonts w:ascii="Arial" w:hAnsi="Arial" w:cs="Arial"/>
        </w:rPr>
        <w:t xml:space="preserve">e </w:t>
      </w:r>
      <w:r w:rsidR="008A5D8C" w:rsidRPr="0082217E">
        <w:rPr>
          <w:rFonts w:ascii="Arial" w:hAnsi="Arial" w:cs="Arial"/>
        </w:rPr>
        <w:t xml:space="preserve">zavazuje </w:t>
      </w:r>
      <w:r w:rsidRPr="0082217E">
        <w:rPr>
          <w:rFonts w:ascii="Arial" w:hAnsi="Arial" w:cs="Arial"/>
        </w:rPr>
        <w:t xml:space="preserve">tuto </w:t>
      </w:r>
      <w:r w:rsidR="0088202F" w:rsidRPr="0082217E">
        <w:rPr>
          <w:rFonts w:ascii="Arial" w:hAnsi="Arial" w:cs="Arial"/>
        </w:rPr>
        <w:t xml:space="preserve">účelovou </w:t>
      </w:r>
      <w:r w:rsidR="0057473B" w:rsidRPr="0082217E">
        <w:rPr>
          <w:rFonts w:ascii="Arial" w:hAnsi="Arial" w:cs="Arial"/>
        </w:rPr>
        <w:t>NFV</w:t>
      </w:r>
      <w:r w:rsidRPr="0082217E">
        <w:rPr>
          <w:rFonts w:ascii="Arial" w:hAnsi="Arial" w:cs="Arial"/>
        </w:rPr>
        <w:t xml:space="preserve"> </w:t>
      </w:r>
      <w:r w:rsidR="008A5D8C" w:rsidRPr="0082217E">
        <w:rPr>
          <w:rFonts w:ascii="Arial" w:hAnsi="Arial" w:cs="Arial"/>
        </w:rPr>
        <w:t>přijmout</w:t>
      </w:r>
      <w:r w:rsidR="00951276" w:rsidRPr="0082217E">
        <w:rPr>
          <w:rFonts w:ascii="Arial" w:hAnsi="Arial" w:cs="Arial"/>
        </w:rPr>
        <w:t>,</w:t>
      </w:r>
      <w:r w:rsidR="008A5D8C" w:rsidRPr="0082217E">
        <w:rPr>
          <w:rFonts w:ascii="Arial" w:hAnsi="Arial" w:cs="Arial"/>
        </w:rPr>
        <w:t xml:space="preserve"> </w:t>
      </w:r>
      <w:r w:rsidR="004E00DE" w:rsidRPr="0082217E">
        <w:rPr>
          <w:rFonts w:ascii="Arial" w:hAnsi="Arial" w:cs="Arial"/>
        </w:rPr>
        <w:t>využít j</w:t>
      </w:r>
      <w:r w:rsidR="00951276" w:rsidRPr="0082217E">
        <w:rPr>
          <w:rFonts w:ascii="Arial" w:hAnsi="Arial" w:cs="Arial"/>
        </w:rPr>
        <w:t>i</w:t>
      </w:r>
      <w:r w:rsidR="003D55A9" w:rsidRPr="0082217E">
        <w:rPr>
          <w:rFonts w:ascii="Arial" w:hAnsi="Arial" w:cs="Arial"/>
        </w:rPr>
        <w:t xml:space="preserve"> pouze</w:t>
      </w:r>
      <w:r w:rsidR="004E00DE" w:rsidRPr="0082217E">
        <w:rPr>
          <w:rFonts w:ascii="Arial" w:hAnsi="Arial" w:cs="Arial"/>
        </w:rPr>
        <w:t xml:space="preserve"> k výše uvedenému účelu a splnit podmínky stanovené touto smlouvou</w:t>
      </w:r>
      <w:r w:rsidR="00A43118">
        <w:rPr>
          <w:rFonts w:ascii="Arial" w:hAnsi="Arial" w:cs="Arial"/>
        </w:rPr>
        <w:t>,</w:t>
      </w:r>
      <w:r w:rsidR="008E4447" w:rsidRPr="0082217E">
        <w:rPr>
          <w:rFonts w:ascii="Arial" w:hAnsi="Arial" w:cs="Arial"/>
        </w:rPr>
        <w:t xml:space="preserve"> vyhlášeným P</w:t>
      </w:r>
      <w:r w:rsidR="008551D1" w:rsidRPr="0082217E">
        <w:rPr>
          <w:rFonts w:ascii="Arial" w:hAnsi="Arial" w:cs="Arial"/>
        </w:rPr>
        <w:t>rogramem</w:t>
      </w:r>
      <w:r w:rsidR="00A43118">
        <w:rPr>
          <w:rFonts w:ascii="Arial" w:hAnsi="Arial" w:cs="Arial"/>
        </w:rPr>
        <w:t xml:space="preserve"> a Pověřením</w:t>
      </w:r>
      <w:r w:rsidR="008551D1" w:rsidRPr="0082217E">
        <w:rPr>
          <w:rFonts w:ascii="Arial" w:hAnsi="Arial" w:cs="Arial"/>
        </w:rPr>
        <w:t>.</w:t>
      </w:r>
      <w:r w:rsidR="007A066E" w:rsidRPr="0082217E">
        <w:rPr>
          <w:rFonts w:ascii="Arial" w:hAnsi="Arial" w:cs="Arial"/>
        </w:rPr>
        <w:t xml:space="preserve"> </w:t>
      </w:r>
      <w:r w:rsidR="004D2201" w:rsidRPr="0082217E">
        <w:rPr>
          <w:rFonts w:ascii="Arial" w:hAnsi="Arial" w:cs="Arial"/>
        </w:rPr>
        <w:t xml:space="preserve">Příjemce se dále zavazuje </w:t>
      </w:r>
      <w:r w:rsidR="00726A8F" w:rsidRPr="0082217E">
        <w:rPr>
          <w:rFonts w:ascii="Arial" w:hAnsi="Arial" w:cs="Arial"/>
        </w:rPr>
        <w:t xml:space="preserve">při použití </w:t>
      </w:r>
      <w:r w:rsidR="001E4E0A" w:rsidRPr="0082217E">
        <w:rPr>
          <w:rFonts w:ascii="Arial" w:hAnsi="Arial" w:cs="Arial"/>
        </w:rPr>
        <w:t xml:space="preserve">finančních prostředků poskytnutých jako </w:t>
      </w:r>
      <w:r w:rsidR="00726A8F" w:rsidRPr="0082217E">
        <w:rPr>
          <w:rFonts w:ascii="Arial" w:hAnsi="Arial" w:cs="Arial"/>
        </w:rPr>
        <w:t xml:space="preserve">NFV </w:t>
      </w:r>
      <w:r w:rsidR="0082217E">
        <w:rPr>
          <w:rFonts w:ascii="Arial" w:hAnsi="Arial" w:cs="Arial"/>
        </w:rPr>
        <w:t>dodržovat</w:t>
      </w:r>
      <w:r w:rsidR="00970C9E">
        <w:rPr>
          <w:rFonts w:ascii="Arial" w:hAnsi="Arial" w:cs="Arial"/>
        </w:rPr>
        <w:t xml:space="preserve"> příslušná</w:t>
      </w:r>
      <w:r w:rsidR="0082217E">
        <w:rPr>
          <w:rFonts w:ascii="Arial" w:hAnsi="Arial" w:cs="Arial"/>
        </w:rPr>
        <w:t xml:space="preserve"> pravidla</w:t>
      </w:r>
      <w:r w:rsidR="006765C2">
        <w:rPr>
          <w:rFonts w:ascii="Arial" w:hAnsi="Arial" w:cs="Arial"/>
        </w:rPr>
        <w:t xml:space="preserve"> (týkající se použití poskytnutých finančních prostředků)</w:t>
      </w:r>
      <w:r w:rsidR="0082217E">
        <w:rPr>
          <w:rFonts w:ascii="Arial" w:hAnsi="Arial" w:cs="Arial"/>
        </w:rPr>
        <w:t xml:space="preserve"> uvedená v „</w:t>
      </w:r>
      <w:r w:rsidR="002C5830" w:rsidRPr="00632DB1">
        <w:rPr>
          <w:rFonts w:ascii="Arial" w:hAnsi="Arial" w:cs="Arial"/>
        </w:rPr>
        <w:t>Metodi</w:t>
      </w:r>
      <w:r w:rsidR="002C5830">
        <w:rPr>
          <w:rFonts w:ascii="Arial" w:hAnsi="Arial" w:cs="Arial"/>
        </w:rPr>
        <w:t>ce</w:t>
      </w:r>
      <w:r w:rsidR="002C5830" w:rsidRPr="00632DB1">
        <w:rPr>
          <w:rFonts w:ascii="Arial" w:hAnsi="Arial" w:cs="Arial"/>
        </w:rPr>
        <w:t xml:space="preserve"> pro poskytování dotací v rámci dotačního programu „Podpora sociálních služeb dle § 101a zákona o sociálních službách, Plzeňský kraj“ </w:t>
      </w:r>
      <w:r w:rsidR="002C5830">
        <w:rPr>
          <w:rFonts w:ascii="Arial" w:hAnsi="Arial" w:cs="Arial"/>
        </w:rPr>
        <w:t xml:space="preserve">schválené usnesením </w:t>
      </w:r>
      <w:r w:rsidR="002C5830">
        <w:rPr>
          <w:rFonts w:ascii="Arial" w:hAnsi="Arial" w:cs="Arial"/>
        </w:rPr>
        <w:lastRenderedPageBreak/>
        <w:t xml:space="preserve">Zastupitelstva Plzeňského kraje č. </w:t>
      </w:r>
      <w:r w:rsidR="00137B70">
        <w:rPr>
          <w:rFonts w:ascii="Arial" w:hAnsi="Arial" w:cs="Arial"/>
        </w:rPr>
        <w:t>776/22 ze dne 13</w:t>
      </w:r>
      <w:r w:rsidR="002C5830">
        <w:rPr>
          <w:rFonts w:ascii="Arial" w:hAnsi="Arial" w:cs="Arial"/>
        </w:rPr>
        <w:t>. 6. 20</w:t>
      </w:r>
      <w:r w:rsidR="00137B70">
        <w:rPr>
          <w:rFonts w:ascii="Arial" w:hAnsi="Arial" w:cs="Arial"/>
        </w:rPr>
        <w:t>22</w:t>
      </w:r>
      <w:r w:rsidR="00B96E91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BA138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054B2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43A6F4C" w14:textId="45DE9DA6" w:rsidR="00054B2B" w:rsidRDefault="00054B2B" w:rsidP="00054B2B">
      <w:pPr>
        <w:spacing w:after="120"/>
        <w:ind w:left="567"/>
        <w:jc w:val="both"/>
        <w:rPr>
          <w:rFonts w:ascii="Arial" w:hAnsi="Arial" w:cs="Arial"/>
        </w:rPr>
      </w:pPr>
    </w:p>
    <w:p w14:paraId="0852CE9D" w14:textId="77777777" w:rsidR="00414EC1" w:rsidRPr="00054B2B" w:rsidRDefault="00414EC1" w:rsidP="00054B2B">
      <w:pPr>
        <w:spacing w:after="120"/>
        <w:ind w:left="567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49DE57EE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8E74F6" w:rsidRPr="00924BCB">
        <w:rPr>
          <w:rFonts w:ascii="Arial" w:hAnsi="Arial" w:cs="Arial"/>
        </w:rPr>
        <w:t xml:space="preserve">Sociální služby </w:t>
      </w:r>
      <w:r w:rsidRPr="00924BCB">
        <w:rPr>
          <w:rFonts w:ascii="Arial" w:hAnsi="Arial" w:cs="Arial"/>
        </w:rPr>
        <w:t>uvádět, že byl</w:t>
      </w:r>
      <w:r w:rsidR="008E74F6" w:rsidRPr="00924BCB">
        <w:rPr>
          <w:rFonts w:ascii="Arial" w:hAnsi="Arial" w:cs="Arial"/>
        </w:rPr>
        <w:t>a poskytována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0E918E1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8E74F6" w:rsidRPr="00924BCB">
        <w:rPr>
          <w:rFonts w:ascii="Arial" w:hAnsi="Arial" w:cs="Arial"/>
        </w:rPr>
        <w:t> poskytováním Sociální služby</w:t>
      </w:r>
      <w:r w:rsidR="005D6CE6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5926F452" w14:textId="77777777" w:rsidR="001252F8" w:rsidRPr="00924BCB" w:rsidRDefault="002C6096" w:rsidP="0073609C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4677D9E9" w14:textId="276FF3E8" w:rsidR="0077449B" w:rsidRDefault="0077449B" w:rsidP="00DA1261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</w:p>
    <w:p w14:paraId="0CECE3C6" w14:textId="77777777" w:rsidR="00414EC1" w:rsidRPr="00414EC1" w:rsidRDefault="00414EC1" w:rsidP="00414EC1">
      <w:pPr>
        <w:rPr>
          <w:lang w:eastAsia="x-none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97E149B" w14:textId="5CDCDDCE" w:rsidR="00662AB8" w:rsidRPr="00924BCB" w:rsidRDefault="003D7ECB" w:rsidP="001252F8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 xml:space="preserve">v souladu </w:t>
      </w:r>
      <w:r w:rsidR="00414EC1">
        <w:rPr>
          <w:rFonts w:ascii="Arial" w:hAnsi="Arial" w:cs="Arial"/>
        </w:rPr>
        <w:br/>
      </w:r>
      <w:r w:rsidRPr="00924BCB">
        <w:rPr>
          <w:rFonts w:ascii="Arial" w:hAnsi="Arial" w:cs="Arial"/>
        </w:rPr>
        <w:t>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 xml:space="preserve">schváleno usnesením Zastupitelstva Plzeňského kraje č. </w:t>
      </w:r>
      <w:r w:rsidR="00CE0CB0">
        <w:rPr>
          <w:rFonts w:ascii="Arial" w:hAnsi="Arial"/>
        </w:rPr>
        <w:t>1004/22</w:t>
      </w:r>
      <w:bookmarkStart w:id="0" w:name="_GoBack"/>
      <w:bookmarkEnd w:id="0"/>
      <w:r w:rsidRPr="00C64462">
        <w:rPr>
          <w:rFonts w:ascii="Arial" w:hAnsi="Arial"/>
        </w:rPr>
        <w:t xml:space="preserve"> ze dne </w:t>
      </w:r>
      <w:r w:rsidR="00D12181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04E95B4C" w14:textId="0FEBB51C" w:rsidR="007E559C" w:rsidRDefault="007E559C" w:rsidP="005B7382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608FAA51" w14:textId="77777777" w:rsidR="00414EC1" w:rsidRPr="00414EC1" w:rsidRDefault="00414EC1" w:rsidP="00414EC1">
      <w:pPr>
        <w:rPr>
          <w:lang w:val="x-none" w:eastAsia="x-none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5E461606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5D236B">
        <w:rPr>
          <w:rFonts w:ascii="Arial" w:hAnsi="Arial" w:cs="Arial"/>
        </w:rPr>
        <w:t xml:space="preserve"> </w:t>
      </w:r>
      <w:r w:rsidR="00951721" w:rsidRPr="00E42D47">
        <w:rPr>
          <w:rFonts w:ascii="Arial" w:hAnsi="Arial" w:cs="Arial"/>
        </w:rPr>
        <w:t>poskytovanou</w:t>
      </w:r>
      <w:r w:rsidR="000821AB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S</w:t>
      </w:r>
      <w:r w:rsidR="0067781C" w:rsidRPr="00E42D47">
        <w:rPr>
          <w:rFonts w:ascii="Arial" w:hAnsi="Arial" w:cs="Arial"/>
        </w:rPr>
        <w:t>ociální</w:t>
      </w:r>
      <w:r w:rsidR="000821AB">
        <w:rPr>
          <w:rFonts w:ascii="Arial" w:hAnsi="Arial" w:cs="Arial"/>
        </w:rPr>
        <w:t> </w:t>
      </w:r>
      <w:r w:rsidR="0067781C" w:rsidRPr="00E42D47">
        <w:rPr>
          <w:rFonts w:ascii="Arial" w:hAnsi="Arial" w:cs="Arial"/>
        </w:rPr>
        <w:t>službou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12F0B2DB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 xml:space="preserve">je povinen řádně uchovávat veškeré dokumenty související s poskytováním </w:t>
      </w:r>
      <w:r>
        <w:rPr>
          <w:rFonts w:ascii="Arial" w:hAnsi="Arial" w:cs="Arial"/>
        </w:rPr>
        <w:t xml:space="preserve">Sociální </w:t>
      </w:r>
      <w:r w:rsidRPr="00F504A7">
        <w:rPr>
          <w:rFonts w:ascii="Arial" w:hAnsi="Arial" w:cs="Arial"/>
        </w:rPr>
        <w:t xml:space="preserve">služby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realizaci této</w:t>
      </w:r>
      <w:r w:rsidRPr="00F504A7">
        <w:rPr>
          <w:rFonts w:ascii="Arial" w:hAnsi="Arial" w:cs="Arial"/>
        </w:rPr>
        <w:t xml:space="preserve"> služby po dobu 10 let od ukončení financování této služby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338FE4B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70643" w:rsidRPr="004A783C">
        <w:rPr>
          <w:rFonts w:ascii="Arial" w:hAnsi="Arial" w:cs="Arial"/>
          <w:color w:val="auto"/>
        </w:rPr>
        <w:t>Sociální služby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0F4ED42" w14:textId="77777777" w:rsidR="00873C8B" w:rsidRPr="004A783C" w:rsidRDefault="006E78F2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7F3EFB9A" w14:textId="73D21F70" w:rsidR="001674F3" w:rsidRDefault="001674F3" w:rsidP="00DA1261">
      <w:pPr>
        <w:pStyle w:val="Nadpis2"/>
        <w:spacing w:after="120"/>
        <w:rPr>
          <w:rFonts w:ascii="Arial" w:hAnsi="Arial" w:cs="Arial"/>
          <w:bCs w:val="0"/>
        </w:rPr>
      </w:pPr>
    </w:p>
    <w:p w14:paraId="5F0CF81B" w14:textId="77777777" w:rsidR="00414EC1" w:rsidRPr="00414EC1" w:rsidRDefault="00414EC1" w:rsidP="00414EC1">
      <w:pPr>
        <w:rPr>
          <w:lang w:val="x-none" w:eastAsia="x-none"/>
        </w:rPr>
      </w:pP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7489C189" w14:textId="0795191C" w:rsidR="00971CAF" w:rsidRPr="00A07393" w:rsidRDefault="000542E9" w:rsidP="00A07393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77777777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5EBE5C07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7DD60FE" w14:textId="46FEA478" w:rsidR="00A07393" w:rsidRDefault="00A0739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31F87593" w14:textId="77777777" w:rsidR="00A07393" w:rsidRPr="00370EC1" w:rsidRDefault="00A0739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21DED91B" w:rsidR="00341B8B" w:rsidRPr="00496A5B" w:rsidRDefault="00A07393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47C9EB46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B27E88" w:rsidRPr="003D05D0">
        <w:rPr>
          <w:rFonts w:ascii="Arial" w:hAnsi="Arial" w:cs="Arial"/>
          <w:color w:val="FF0000"/>
          <w:lang w:val="cs-CZ" w:eastAsia="cs-CZ"/>
        </w:rPr>
        <w:t xml:space="preserve">          </w:t>
      </w:r>
      <w:r w:rsidR="000E06C8">
        <w:rPr>
          <w:rFonts w:ascii="Arial" w:hAnsi="Arial" w:cs="Arial"/>
        </w:rPr>
        <w:t>Bc. Aleš Patera</w:t>
      </w:r>
      <w:r w:rsidR="00A07393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190B6323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    </w:t>
      </w:r>
      <w:r w:rsidR="000E06C8">
        <w:rPr>
          <w:rFonts w:ascii="Arial" w:hAnsi="Arial" w:cs="Arial"/>
          <w:lang w:val="cs-CZ" w:eastAsia="cs-CZ"/>
        </w:rPr>
        <w:t xml:space="preserve">      </w:t>
      </w:r>
      <w:r w:rsidR="000E06C8" w:rsidRPr="003C26CA">
        <w:rPr>
          <w:rFonts w:ascii="Arial" w:hAnsi="Arial" w:cs="Arial"/>
        </w:rPr>
        <w:t>prokurista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67987703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CB0">
      <w:rPr>
        <w:noProof/>
      </w:rPr>
      <w:t>6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2747401"/>
    <w:multiLevelType w:val="hybridMultilevel"/>
    <w:tmpl w:val="58728F20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27"/>
  </w:num>
  <w:num w:numId="5">
    <w:abstractNumId w:val="21"/>
  </w:num>
  <w:num w:numId="6">
    <w:abstractNumId w:val="24"/>
  </w:num>
  <w:num w:numId="7">
    <w:abstractNumId w:val="6"/>
  </w:num>
  <w:num w:numId="8">
    <w:abstractNumId w:val="26"/>
  </w:num>
  <w:num w:numId="9">
    <w:abstractNumId w:val="20"/>
  </w:num>
  <w:num w:numId="10">
    <w:abstractNumId w:val="2"/>
  </w:num>
  <w:num w:numId="11">
    <w:abstractNumId w:val="31"/>
  </w:num>
  <w:num w:numId="12">
    <w:abstractNumId w:val="29"/>
  </w:num>
  <w:num w:numId="13">
    <w:abstractNumId w:val="16"/>
  </w:num>
  <w:num w:numId="14">
    <w:abstractNumId w:val="1"/>
  </w:num>
  <w:num w:numId="15">
    <w:abstractNumId w:val="11"/>
  </w:num>
  <w:num w:numId="16">
    <w:abstractNumId w:val="13"/>
  </w:num>
  <w:num w:numId="17">
    <w:abstractNumId w:val="3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10"/>
  </w:num>
  <w:num w:numId="23">
    <w:abstractNumId w:val="23"/>
  </w:num>
  <w:num w:numId="24">
    <w:abstractNumId w:val="8"/>
  </w:num>
  <w:num w:numId="25">
    <w:abstractNumId w:val="0"/>
  </w:num>
  <w:num w:numId="26">
    <w:abstractNumId w:val="3"/>
  </w:num>
  <w:num w:numId="27">
    <w:abstractNumId w:val="14"/>
  </w:num>
  <w:num w:numId="28">
    <w:abstractNumId w:val="25"/>
  </w:num>
  <w:num w:numId="29">
    <w:abstractNumId w:val="18"/>
  </w:num>
  <w:num w:numId="30">
    <w:abstractNumId w:val="12"/>
  </w:num>
  <w:num w:numId="31">
    <w:abstractNumId w:val="19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6C8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4AF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8BA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C1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D6CE6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4971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2AC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39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BCA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6F6"/>
    <w:rsid w:val="00CD077A"/>
    <w:rsid w:val="00CD1220"/>
    <w:rsid w:val="00CD2B5E"/>
    <w:rsid w:val="00CD352D"/>
    <w:rsid w:val="00CD5785"/>
    <w:rsid w:val="00CD6D7F"/>
    <w:rsid w:val="00CE0019"/>
    <w:rsid w:val="00CE01FF"/>
    <w:rsid w:val="00CE0A3F"/>
    <w:rsid w:val="00CE0AC1"/>
    <w:rsid w:val="00CE0CB0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181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F92"/>
    <w:rsid w:val="00DA7230"/>
    <w:rsid w:val="00DA783C"/>
    <w:rsid w:val="00DA7A65"/>
    <w:rsid w:val="00DB0275"/>
    <w:rsid w:val="00DB0E86"/>
    <w:rsid w:val="00DB2C12"/>
    <w:rsid w:val="00DB39BE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FAB"/>
    <w:rsid w:val="00E945F0"/>
    <w:rsid w:val="00E94B60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6C9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667E-B025-4F31-AA4A-54B4CBC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2293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16078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5</cp:revision>
  <cp:lastPrinted>2014-02-17T07:55:00Z</cp:lastPrinted>
  <dcterms:created xsi:type="dcterms:W3CDTF">2022-12-12T13:17:00Z</dcterms:created>
  <dcterms:modified xsi:type="dcterms:W3CDTF">2022-12-21T09:56:00Z</dcterms:modified>
</cp:coreProperties>
</file>