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D5" w:rsidRDefault="00932BD5">
      <w:pPr>
        <w:pStyle w:val="Nadpis1"/>
        <w:spacing w:before="0" w:after="0"/>
      </w:pPr>
    </w:p>
    <w:p w:rsidR="00607339" w:rsidRPr="00607339" w:rsidRDefault="00607339" w:rsidP="00607339"/>
    <w:p w:rsidR="00A03601" w:rsidRPr="00A03601" w:rsidRDefault="00A03601" w:rsidP="0030438E">
      <w:pPr>
        <w:widowControl w:val="0"/>
        <w:spacing w:before="220" w:after="220"/>
        <w:contextualSpacing/>
        <w:rPr>
          <w:rFonts w:ascii="Arial" w:hAnsi="Arial" w:cs="Arial"/>
          <w:b/>
          <w:color w:val="C21B17"/>
          <w:sz w:val="32"/>
          <w:szCs w:val="32"/>
          <w:lang w:val="it-IT" w:eastAsia="it-IT"/>
        </w:rPr>
      </w:pPr>
      <w:r>
        <w:rPr>
          <w:rFonts w:ascii="Arial" w:hAnsi="Arial" w:cs="Arial"/>
          <w:noProof/>
          <w:color w:val="C21B17"/>
          <w:sz w:val="32"/>
          <w:szCs w:val="32"/>
        </w:rPr>
        <w:t xml:space="preserve">Dodatek č. </w:t>
      </w:r>
      <w:r w:rsidR="00E86257">
        <w:rPr>
          <w:rFonts w:ascii="Arial" w:hAnsi="Arial" w:cs="Arial"/>
          <w:noProof/>
          <w:color w:val="C21B17"/>
          <w:sz w:val="32"/>
          <w:szCs w:val="32"/>
        </w:rPr>
        <w:t>3</w:t>
      </w:r>
      <w:r>
        <w:rPr>
          <w:rFonts w:ascii="Arial" w:hAnsi="Arial" w:cs="Arial"/>
          <w:noProof/>
          <w:color w:val="C21B17"/>
          <w:sz w:val="32"/>
          <w:szCs w:val="32"/>
        </w:rPr>
        <w:t xml:space="preserve"> k pojistné smlouvě</w:t>
      </w:r>
      <w:r w:rsidRPr="00A03601">
        <w:rPr>
          <w:rFonts w:ascii="Arial" w:hAnsi="Arial" w:cs="Arial"/>
          <w:noProof/>
          <w:color w:val="C21B17"/>
          <w:sz w:val="32"/>
          <w:szCs w:val="32"/>
        </w:rPr>
        <w:t xml:space="preserve"> č.: </w:t>
      </w:r>
      <w:r w:rsidR="00E86257">
        <w:rPr>
          <w:rFonts w:ascii="Arial" w:hAnsi="Arial" w:cs="Arial"/>
          <w:noProof/>
          <w:color w:val="C21B17"/>
          <w:sz w:val="32"/>
          <w:szCs w:val="32"/>
        </w:rPr>
        <w:t>2152366239</w:t>
      </w:r>
    </w:p>
    <w:p w:rsidR="005A5D57" w:rsidRDefault="005A5D57" w:rsidP="005A5D57"/>
    <w:p w:rsidR="005B2654" w:rsidRDefault="005B2654" w:rsidP="005A5D57"/>
    <w:p w:rsidR="004F2D0F" w:rsidRPr="004F2D0F" w:rsidRDefault="004F2D0F" w:rsidP="004F2D0F"/>
    <w:p w:rsidR="0030438E" w:rsidRPr="0088464E" w:rsidRDefault="0030438E" w:rsidP="0030438E">
      <w:pPr>
        <w:widowControl w:val="0"/>
        <w:autoSpaceDE w:val="0"/>
        <w:autoSpaceDN w:val="0"/>
        <w:adjustRightInd w:val="0"/>
        <w:spacing w:before="220" w:after="40" w:line="312" w:lineRule="exact"/>
        <w:contextualSpacing/>
        <w:rPr>
          <w:rFonts w:ascii="Arial" w:hAnsi="Arial" w:cs="Arial"/>
          <w:b/>
          <w:bCs/>
          <w:sz w:val="22"/>
          <w:szCs w:val="22"/>
          <w:lang w:val="it-IT" w:eastAsia="it-IT"/>
        </w:rPr>
      </w:pPr>
      <w:r w:rsidRPr="0088464E">
        <w:rPr>
          <w:rFonts w:ascii="Arial" w:hAnsi="Arial" w:cs="Arial"/>
          <w:b/>
          <w:bCs/>
          <w:lang w:val="it-IT" w:eastAsia="it-IT"/>
        </w:rPr>
        <w:t>Generali Česká pojišťovna a.s</w:t>
      </w:r>
      <w:r w:rsidRPr="0088464E">
        <w:rPr>
          <w:rFonts w:ascii="Arial" w:hAnsi="Arial" w:cs="Arial"/>
          <w:b/>
          <w:bCs/>
          <w:sz w:val="22"/>
          <w:szCs w:val="22"/>
          <w:lang w:val="it-IT" w:eastAsia="it-IT"/>
        </w:rPr>
        <w:t>.</w:t>
      </w:r>
    </w:p>
    <w:p w:rsidR="0030438E" w:rsidRPr="0088464E" w:rsidRDefault="0030438E" w:rsidP="0030438E">
      <w:pPr>
        <w:widowControl w:val="0"/>
        <w:autoSpaceDE w:val="0"/>
        <w:autoSpaceDN w:val="0"/>
        <w:adjustRightInd w:val="0"/>
        <w:spacing w:before="220" w:after="220" w:line="240" w:lineRule="exact"/>
        <w:contextualSpacing/>
        <w:rPr>
          <w:rFonts w:ascii="Arial" w:hAnsi="Arial"/>
        </w:rPr>
      </w:pPr>
      <w:r w:rsidRPr="0088464E">
        <w:rPr>
          <w:rFonts w:ascii="Arial" w:hAnsi="Arial"/>
        </w:rPr>
        <w:t>Spálená 75/16, Nové Město, 110 00 Praha 1, Česká republika, IČO 45272956</w:t>
      </w:r>
    </w:p>
    <w:p w:rsidR="0030438E" w:rsidRPr="0088464E" w:rsidRDefault="0030438E" w:rsidP="0030438E">
      <w:pPr>
        <w:rPr>
          <w:rFonts w:ascii="Arial" w:hAnsi="Arial"/>
        </w:rPr>
      </w:pPr>
      <w:r w:rsidRPr="0088464E">
        <w:rPr>
          <w:rFonts w:ascii="Arial" w:hAnsi="Arial"/>
        </w:rPr>
        <w:t xml:space="preserve">zastoupená </w:t>
      </w:r>
      <w:r w:rsidR="00A85FF7">
        <w:rPr>
          <w:rFonts w:ascii="Arial" w:hAnsi="Arial"/>
        </w:rPr>
        <w:t>Mgr. Jiřím Pavlasem</w:t>
      </w:r>
      <w:r w:rsidRPr="0088464E">
        <w:rPr>
          <w:rFonts w:ascii="Arial" w:hAnsi="Arial"/>
        </w:rPr>
        <w:t xml:space="preserve">, </w:t>
      </w:r>
      <w:r w:rsidR="00295017">
        <w:rPr>
          <w:rFonts w:ascii="Arial" w:hAnsi="Arial"/>
        </w:rPr>
        <w:t>u</w:t>
      </w:r>
      <w:r w:rsidRPr="0088464E">
        <w:rPr>
          <w:rFonts w:ascii="Arial" w:hAnsi="Arial"/>
        </w:rPr>
        <w:t>pisovatelem</w:t>
      </w:r>
      <w:r w:rsidR="00805C56">
        <w:rPr>
          <w:rFonts w:ascii="Arial" w:hAnsi="Arial"/>
        </w:rPr>
        <w:t xml:space="preserve"> seniorem</w:t>
      </w:r>
      <w:r w:rsidRPr="0088464E">
        <w:rPr>
          <w:rFonts w:ascii="Arial" w:hAnsi="Arial"/>
        </w:rPr>
        <w:t xml:space="preserve">, Korporátní a průmyslové pojištění a </w:t>
      </w:r>
    </w:p>
    <w:p w:rsidR="0030438E" w:rsidRPr="0088464E" w:rsidRDefault="00A85FF7" w:rsidP="0030438E">
      <w:pPr>
        <w:rPr>
          <w:rFonts w:ascii="Arial" w:hAnsi="Arial"/>
        </w:rPr>
      </w:pPr>
      <w:r>
        <w:rPr>
          <w:rFonts w:ascii="Arial" w:hAnsi="Arial"/>
        </w:rPr>
        <w:t>Martinem Peroutkou</w:t>
      </w:r>
      <w:r w:rsidR="0030438E" w:rsidRPr="0088464E">
        <w:rPr>
          <w:rFonts w:ascii="Arial" w:hAnsi="Arial"/>
        </w:rPr>
        <w:t>, upisovatelem seniorem, Korporátní a průmyslové pojištění</w:t>
      </w:r>
    </w:p>
    <w:p w:rsidR="0030438E" w:rsidRPr="0088464E" w:rsidRDefault="0030438E" w:rsidP="0030438E">
      <w:pPr>
        <w:rPr>
          <w:rFonts w:ascii="Arial" w:hAnsi="Arial"/>
        </w:rPr>
      </w:pPr>
      <w:r w:rsidRPr="0088464E">
        <w:rPr>
          <w:rFonts w:ascii="Arial" w:hAnsi="Arial"/>
        </w:rPr>
        <w:t>Společnost je zapsaná v obchodním rejstříku u Městského soudu v Praze, spisová značka B 1464</w:t>
      </w:r>
    </w:p>
    <w:p w:rsidR="0030438E" w:rsidRPr="0088464E" w:rsidRDefault="0030438E" w:rsidP="0030438E">
      <w:pPr>
        <w:autoSpaceDE w:val="0"/>
        <w:autoSpaceDN w:val="0"/>
        <w:adjustRightInd w:val="0"/>
        <w:spacing w:line="0" w:lineRule="atLeast"/>
        <w:rPr>
          <w:rFonts w:ascii="Arial" w:hAnsi="Arial"/>
        </w:rPr>
      </w:pPr>
      <w:r w:rsidRPr="0088464E">
        <w:rPr>
          <w:rFonts w:ascii="Arial" w:hAnsi="Arial"/>
        </w:rPr>
        <w:t xml:space="preserve">člen Skupiny </w:t>
      </w:r>
      <w:proofErr w:type="spellStart"/>
      <w:r w:rsidRPr="0088464E">
        <w:rPr>
          <w:rFonts w:ascii="Arial" w:hAnsi="Arial"/>
        </w:rPr>
        <w:t>Generali</w:t>
      </w:r>
      <w:proofErr w:type="spellEnd"/>
      <w:r w:rsidRPr="0088464E">
        <w:rPr>
          <w:rFonts w:ascii="Arial" w:hAnsi="Arial"/>
        </w:rPr>
        <w:t xml:space="preserve">, zapsané v italském registru pojišťovacích skupin, vedeném IVASS </w:t>
      </w:r>
    </w:p>
    <w:p w:rsidR="0030438E" w:rsidRPr="0088464E" w:rsidRDefault="0030438E" w:rsidP="0030438E">
      <w:pPr>
        <w:rPr>
          <w:rFonts w:ascii="Arial" w:hAnsi="Arial"/>
        </w:rPr>
      </w:pPr>
      <w:r w:rsidRPr="0088464E">
        <w:rPr>
          <w:rFonts w:ascii="Arial" w:hAnsi="Arial"/>
        </w:rPr>
        <w:t>(dále jen „pojistitel”)</w:t>
      </w:r>
    </w:p>
    <w:p w:rsidR="00932BD5" w:rsidRDefault="00932BD5">
      <w:pPr>
        <w:pStyle w:val="Zhlav"/>
        <w:tabs>
          <w:tab w:val="clear" w:pos="4536"/>
          <w:tab w:val="clear" w:pos="9072"/>
        </w:tabs>
        <w:spacing w:before="240" w:after="240"/>
        <w:rPr>
          <w:rFonts w:ascii="Arial" w:hAnsi="Arial" w:cs="Arial"/>
        </w:rPr>
      </w:pPr>
      <w:r>
        <w:rPr>
          <w:rFonts w:ascii="Arial" w:hAnsi="Arial" w:cs="Arial"/>
        </w:rPr>
        <w:t>a</w:t>
      </w:r>
    </w:p>
    <w:p w:rsidR="00D815AE" w:rsidRPr="00D14438" w:rsidRDefault="00B464FA">
      <w:pPr>
        <w:rPr>
          <w:rFonts w:ascii="Arial" w:hAnsi="Arial" w:cs="Arial"/>
          <w:b/>
        </w:rPr>
      </w:pPr>
      <w:r w:rsidRPr="00D14438">
        <w:rPr>
          <w:rFonts w:ascii="Arial" w:hAnsi="Arial" w:cs="Arial"/>
          <w:b/>
        </w:rPr>
        <w:t xml:space="preserve">Mikrobiologický ústav AV ČR, </w:t>
      </w:r>
      <w:proofErr w:type="spellStart"/>
      <w:proofErr w:type="gramStart"/>
      <w:r w:rsidRPr="00D14438">
        <w:rPr>
          <w:rFonts w:ascii="Arial" w:hAnsi="Arial" w:cs="Arial"/>
          <w:b/>
        </w:rPr>
        <w:t>v.v.</w:t>
      </w:r>
      <w:proofErr w:type="gramEnd"/>
      <w:r w:rsidRPr="00D14438">
        <w:rPr>
          <w:rFonts w:ascii="Arial" w:hAnsi="Arial" w:cs="Arial"/>
          <w:b/>
        </w:rPr>
        <w:t>i</w:t>
      </w:r>
      <w:proofErr w:type="spellEnd"/>
      <w:r w:rsidRPr="00D14438">
        <w:rPr>
          <w:rFonts w:ascii="Arial" w:hAnsi="Arial" w:cs="Arial"/>
          <w:b/>
        </w:rPr>
        <w:t>.</w:t>
      </w:r>
    </w:p>
    <w:p w:rsidR="00932BD5" w:rsidRPr="00AC3AE0" w:rsidRDefault="00B464FA">
      <w:pPr>
        <w:rPr>
          <w:rFonts w:ascii="Arial" w:hAnsi="Arial" w:cs="Arial"/>
        </w:rPr>
      </w:pPr>
      <w:r>
        <w:rPr>
          <w:rFonts w:ascii="Arial" w:hAnsi="Arial" w:cs="Arial"/>
          <w:bCs/>
        </w:rPr>
        <w:t>Vídeňská 1083</w:t>
      </w:r>
      <w:r w:rsidR="00932BD5" w:rsidRPr="00AC3AE0">
        <w:rPr>
          <w:rFonts w:ascii="Arial" w:hAnsi="Arial" w:cs="Arial"/>
          <w:bCs/>
        </w:rPr>
        <w:t xml:space="preserve">, </w:t>
      </w:r>
      <w:r w:rsidR="00785DB9" w:rsidRPr="00AC3AE0">
        <w:rPr>
          <w:rFonts w:ascii="Arial" w:hAnsi="Arial" w:cs="Arial"/>
          <w:bCs/>
        </w:rPr>
        <w:t>1</w:t>
      </w:r>
      <w:r>
        <w:rPr>
          <w:rFonts w:ascii="Arial" w:hAnsi="Arial" w:cs="Arial"/>
          <w:bCs/>
        </w:rPr>
        <w:t>4</w:t>
      </w:r>
      <w:r w:rsidR="00C666E1">
        <w:rPr>
          <w:rFonts w:ascii="Arial" w:hAnsi="Arial" w:cs="Arial"/>
          <w:bCs/>
        </w:rPr>
        <w:t xml:space="preserve">2 </w:t>
      </w:r>
      <w:r w:rsidR="00F53E72">
        <w:rPr>
          <w:rFonts w:ascii="Arial" w:hAnsi="Arial" w:cs="Arial"/>
          <w:bCs/>
        </w:rPr>
        <w:t>2</w:t>
      </w:r>
      <w:r w:rsidR="00C666E1">
        <w:rPr>
          <w:rFonts w:ascii="Arial" w:hAnsi="Arial" w:cs="Arial"/>
          <w:bCs/>
        </w:rPr>
        <w:t>0</w:t>
      </w:r>
      <w:r>
        <w:rPr>
          <w:rFonts w:ascii="Arial" w:hAnsi="Arial" w:cs="Arial"/>
          <w:bCs/>
        </w:rPr>
        <w:t xml:space="preserve"> Praha </w:t>
      </w:r>
      <w:r w:rsidR="00C666E1">
        <w:rPr>
          <w:rFonts w:ascii="Arial" w:hAnsi="Arial" w:cs="Arial"/>
          <w:bCs/>
        </w:rPr>
        <w:t>4</w:t>
      </w:r>
      <w:r w:rsidR="00932BD5" w:rsidRPr="00AC3AE0">
        <w:rPr>
          <w:rFonts w:ascii="Arial" w:hAnsi="Arial" w:cs="Arial"/>
        </w:rPr>
        <w:t xml:space="preserve">, </w:t>
      </w:r>
      <w:r w:rsidR="00D815AE">
        <w:rPr>
          <w:rFonts w:ascii="Arial" w:hAnsi="Arial" w:cs="Arial"/>
        </w:rPr>
        <w:t>Česká republika,</w:t>
      </w:r>
      <w:r w:rsidR="00932BD5" w:rsidRPr="00AC3AE0">
        <w:rPr>
          <w:rFonts w:ascii="Arial" w:hAnsi="Arial" w:cs="Arial"/>
        </w:rPr>
        <w:t xml:space="preserve"> IČ: </w:t>
      </w:r>
      <w:r>
        <w:rPr>
          <w:rFonts w:ascii="Arial" w:hAnsi="Arial" w:cs="Arial"/>
        </w:rPr>
        <w:t>61388971</w:t>
      </w:r>
    </w:p>
    <w:p w:rsidR="00932BD5" w:rsidRDefault="005A49BA">
      <w:pPr>
        <w:pStyle w:val="Zhlav"/>
        <w:tabs>
          <w:tab w:val="clear" w:pos="4536"/>
          <w:tab w:val="clear" w:pos="9072"/>
        </w:tabs>
        <w:rPr>
          <w:rFonts w:ascii="Arial" w:hAnsi="Arial" w:cs="Arial"/>
        </w:rPr>
      </w:pPr>
      <w:r>
        <w:rPr>
          <w:rFonts w:ascii="Arial" w:hAnsi="Arial" w:cs="Arial"/>
        </w:rPr>
        <w:t>z</w:t>
      </w:r>
      <w:r w:rsidR="00652047">
        <w:rPr>
          <w:rFonts w:ascii="Arial" w:hAnsi="Arial" w:cs="Arial"/>
        </w:rPr>
        <w:t>astoupen</w:t>
      </w:r>
      <w:r w:rsidR="00F22617" w:rsidRPr="00AC3AE0">
        <w:rPr>
          <w:rFonts w:ascii="Arial" w:hAnsi="Arial" w:cs="Arial"/>
        </w:rPr>
        <w:t xml:space="preserve"> </w:t>
      </w:r>
      <w:r w:rsidR="009C1067">
        <w:rPr>
          <w:rFonts w:ascii="Arial" w:hAnsi="Arial" w:cs="Arial"/>
        </w:rPr>
        <w:t>Ing. Jiřím Haškem, CSc., ředitelem ústavu</w:t>
      </w:r>
    </w:p>
    <w:p w:rsidR="00131EC3" w:rsidRPr="00AC3AE0" w:rsidRDefault="00131EC3">
      <w:pPr>
        <w:pStyle w:val="Zhlav"/>
        <w:tabs>
          <w:tab w:val="clear" w:pos="4536"/>
          <w:tab w:val="clear" w:pos="9072"/>
        </w:tabs>
        <w:rPr>
          <w:rFonts w:ascii="Arial" w:hAnsi="Arial" w:cs="Arial"/>
        </w:rPr>
      </w:pPr>
      <w:r>
        <w:rPr>
          <w:rFonts w:ascii="Arial" w:hAnsi="Arial" w:cs="Arial"/>
        </w:rPr>
        <w:t>Společnost je zapsána v rejstříku veřejných výzkumných institucí vedeném Ministerstvem školství, mládeže a tělovýchovy</w:t>
      </w:r>
    </w:p>
    <w:p w:rsidR="00932BD5" w:rsidRDefault="00932BD5">
      <w:pPr>
        <w:rPr>
          <w:rFonts w:ascii="Arial" w:hAnsi="Arial" w:cs="Arial"/>
        </w:rPr>
      </w:pPr>
      <w:r>
        <w:rPr>
          <w:rFonts w:ascii="Arial" w:hAnsi="Arial" w:cs="Arial"/>
        </w:rPr>
        <w:t>(dále jen „pojistník / pojištěný“)</w:t>
      </w:r>
    </w:p>
    <w:p w:rsidR="00932BD5" w:rsidRDefault="00932BD5">
      <w:pPr>
        <w:spacing w:before="120"/>
        <w:rPr>
          <w:rFonts w:ascii="Arial" w:hAnsi="Arial"/>
          <w:sz w:val="22"/>
          <w:szCs w:val="22"/>
        </w:rPr>
      </w:pPr>
    </w:p>
    <w:p w:rsidR="00E92174" w:rsidRPr="004F2D0F" w:rsidRDefault="00E92174" w:rsidP="0041705C">
      <w:pPr>
        <w:pStyle w:val="Nadpis3"/>
      </w:pPr>
      <w:r w:rsidRPr="004F2D0F">
        <w:t xml:space="preserve">uzavírají </w:t>
      </w:r>
      <w:r w:rsidRPr="005B2654">
        <w:t xml:space="preserve">dodatek č. </w:t>
      </w:r>
      <w:r w:rsidR="00E86257">
        <w:t>3</w:t>
      </w:r>
      <w:r w:rsidR="00652047" w:rsidRPr="005B2654">
        <w:t xml:space="preserve"> </w:t>
      </w:r>
      <w:r w:rsidRPr="005B2654">
        <w:t xml:space="preserve">k pojistné smlouvě č. </w:t>
      </w:r>
      <w:r w:rsidR="00E86257">
        <w:t>2152366239</w:t>
      </w:r>
    </w:p>
    <w:p w:rsidR="00E92174" w:rsidRDefault="00E92174" w:rsidP="00EF7CB1">
      <w:pPr>
        <w:pStyle w:val="Zhlav"/>
        <w:tabs>
          <w:tab w:val="clear" w:pos="4536"/>
        </w:tabs>
        <w:rPr>
          <w:rFonts w:ascii="Arial" w:hAnsi="Arial"/>
        </w:rPr>
      </w:pPr>
    </w:p>
    <w:p w:rsidR="0030438E" w:rsidRPr="0030438E" w:rsidRDefault="0030438E" w:rsidP="0030438E">
      <w:pPr>
        <w:pStyle w:val="Odstavecseseznamem"/>
        <w:numPr>
          <w:ilvl w:val="0"/>
          <w:numId w:val="39"/>
        </w:numPr>
        <w:ind w:left="426" w:hanging="426"/>
        <w:rPr>
          <w:rFonts w:ascii="Arial" w:hAnsi="Arial" w:cs="Arial"/>
        </w:rPr>
      </w:pPr>
      <w:r w:rsidRPr="0030438E">
        <w:rPr>
          <w:rFonts w:ascii="Arial" w:hAnsi="Arial" w:cs="Arial"/>
        </w:rPr>
        <w:t xml:space="preserve">Pojistná smlouva je sjednána podle pojistných podmínek společnosti </w:t>
      </w:r>
      <w:proofErr w:type="spellStart"/>
      <w:r w:rsidRPr="0030438E">
        <w:rPr>
          <w:rFonts w:ascii="Arial" w:hAnsi="Arial" w:cs="Arial"/>
        </w:rPr>
        <w:t>Generali</w:t>
      </w:r>
      <w:proofErr w:type="spellEnd"/>
      <w:r w:rsidRPr="0030438E">
        <w:rPr>
          <w:rFonts w:ascii="Arial" w:hAnsi="Arial" w:cs="Arial"/>
        </w:rPr>
        <w:t xml:space="preserve"> Pojišťovna a.s. </w:t>
      </w:r>
      <w:proofErr w:type="gramStart"/>
      <w:r w:rsidRPr="0030438E">
        <w:rPr>
          <w:rFonts w:ascii="Arial" w:hAnsi="Arial" w:cs="Arial"/>
        </w:rPr>
        <w:t>Po</w:t>
      </w:r>
      <w:proofErr w:type="gramEnd"/>
    </w:p>
    <w:p w:rsidR="0030438E" w:rsidRPr="00A10E4D" w:rsidRDefault="0030438E" w:rsidP="0030438E">
      <w:pPr>
        <w:pStyle w:val="Odstavecseseznamem"/>
        <w:ind w:left="426"/>
        <w:rPr>
          <w:rFonts w:ascii="Arial" w:hAnsi="Arial" w:cs="Arial"/>
        </w:rPr>
      </w:pPr>
      <w:r w:rsidRPr="0030438E">
        <w:rPr>
          <w:rFonts w:ascii="Arial" w:hAnsi="Arial" w:cs="Arial"/>
        </w:rPr>
        <w:t xml:space="preserve">spojení aktivit společností </w:t>
      </w:r>
      <w:proofErr w:type="spellStart"/>
      <w:r w:rsidRPr="0030438E">
        <w:rPr>
          <w:rFonts w:ascii="Arial" w:hAnsi="Arial" w:cs="Arial"/>
        </w:rPr>
        <w:t>Generali</w:t>
      </w:r>
      <w:proofErr w:type="spellEnd"/>
      <w:r w:rsidRPr="0030438E">
        <w:rPr>
          <w:rFonts w:ascii="Arial" w:hAnsi="Arial" w:cs="Arial"/>
        </w:rPr>
        <w:t xml:space="preserve"> Pojišťovna a.s. a Česká pojišťovna a.s. k datu </w:t>
      </w:r>
      <w:proofErr w:type="gramStart"/>
      <w:r w:rsidRPr="0030438E">
        <w:rPr>
          <w:rFonts w:ascii="Arial" w:hAnsi="Arial" w:cs="Arial"/>
        </w:rPr>
        <w:t>21.12.2019</w:t>
      </w:r>
      <w:proofErr w:type="gramEnd"/>
      <w:r w:rsidRPr="0030438E">
        <w:rPr>
          <w:rFonts w:ascii="Arial" w:hAnsi="Arial" w:cs="Arial"/>
        </w:rPr>
        <w:t xml:space="preserve"> je pojistitelem dle tohoto dodatku pojistné smlouvy </w:t>
      </w:r>
      <w:proofErr w:type="spellStart"/>
      <w:r w:rsidRPr="0030438E">
        <w:rPr>
          <w:rFonts w:ascii="Arial" w:hAnsi="Arial" w:cs="Arial"/>
        </w:rPr>
        <w:t>Generali</w:t>
      </w:r>
      <w:proofErr w:type="spellEnd"/>
      <w:r w:rsidRPr="0030438E">
        <w:rPr>
          <w:rFonts w:ascii="Arial" w:hAnsi="Arial" w:cs="Arial"/>
        </w:rPr>
        <w:t xml:space="preserve"> Česká pojišťovna a.s., IČO: 45272956, sídlo Spálená 75/16, Praha 1, 110 00. Tam, kde je v pojistných podmínkách, pojistné smlouvě nebo jiné smluvní dokumentaci zmíněna </w:t>
      </w:r>
      <w:proofErr w:type="spellStart"/>
      <w:r w:rsidRPr="0030438E">
        <w:rPr>
          <w:rFonts w:ascii="Arial" w:hAnsi="Arial" w:cs="Arial"/>
        </w:rPr>
        <w:t>Generali</w:t>
      </w:r>
      <w:proofErr w:type="spellEnd"/>
      <w:r w:rsidRPr="0030438E">
        <w:rPr>
          <w:rFonts w:ascii="Arial" w:hAnsi="Arial" w:cs="Arial"/>
        </w:rPr>
        <w:t xml:space="preserve"> Pojišťovna a.s., myslí se tím </w:t>
      </w:r>
      <w:proofErr w:type="spellStart"/>
      <w:r w:rsidRPr="0030438E">
        <w:rPr>
          <w:rFonts w:ascii="Arial" w:hAnsi="Arial" w:cs="Arial"/>
        </w:rPr>
        <w:t>Generali</w:t>
      </w:r>
      <w:proofErr w:type="spellEnd"/>
      <w:r w:rsidRPr="0030438E">
        <w:rPr>
          <w:rFonts w:ascii="Arial" w:hAnsi="Arial" w:cs="Arial"/>
        </w:rPr>
        <w:t xml:space="preserve"> Česká pojišťovna a.s. Kontakt na pověřence pro ochranu osobních údajů (DPO) je: </w:t>
      </w:r>
      <w:hyperlink r:id="rId7" w:history="1">
        <w:r w:rsidRPr="0030438E">
          <w:rPr>
            <w:rFonts w:ascii="Arial" w:hAnsi="Arial"/>
          </w:rPr>
          <w:t>dpo@generaliceska.cz</w:t>
        </w:r>
      </w:hyperlink>
      <w:r w:rsidRPr="0030438E">
        <w:rPr>
          <w:rFonts w:ascii="Arial" w:hAnsi="Arial" w:cs="Arial"/>
        </w:rPr>
        <w:t xml:space="preserve">,  a kontakt na </w:t>
      </w:r>
      <w:r w:rsidRPr="00A10E4D">
        <w:rPr>
          <w:rFonts w:ascii="Arial" w:hAnsi="Arial" w:cs="Arial"/>
        </w:rPr>
        <w:t xml:space="preserve">stížnosti je: </w:t>
      </w:r>
      <w:hyperlink r:id="rId8" w:history="1">
        <w:r w:rsidRPr="00A10E4D">
          <w:rPr>
            <w:rFonts w:ascii="Arial" w:hAnsi="Arial"/>
          </w:rPr>
          <w:t>stiznosti@generaliceska.cz</w:t>
        </w:r>
      </w:hyperlink>
      <w:r w:rsidRPr="00A10E4D">
        <w:rPr>
          <w:rFonts w:ascii="Arial" w:hAnsi="Arial" w:cs="Arial"/>
        </w:rPr>
        <w:t>.</w:t>
      </w:r>
    </w:p>
    <w:p w:rsidR="0030438E" w:rsidRPr="00A10E4D" w:rsidRDefault="0030438E" w:rsidP="0030438E">
      <w:pPr>
        <w:pStyle w:val="Odstavecseseznamem"/>
        <w:ind w:left="426"/>
        <w:rPr>
          <w:rFonts w:ascii="Arial" w:hAnsi="Arial" w:cs="Arial"/>
        </w:rPr>
      </w:pPr>
    </w:p>
    <w:p w:rsidR="00DB0BE4" w:rsidRPr="00A10E4D" w:rsidRDefault="009D087B" w:rsidP="00D10256">
      <w:pPr>
        <w:pStyle w:val="Odstavecseseznamem"/>
        <w:numPr>
          <w:ilvl w:val="0"/>
          <w:numId w:val="39"/>
        </w:numPr>
        <w:ind w:left="426" w:hanging="426"/>
        <w:rPr>
          <w:rFonts w:ascii="Arial" w:hAnsi="Arial" w:cs="Arial"/>
        </w:rPr>
      </w:pPr>
      <w:r w:rsidRPr="00A10E4D">
        <w:rPr>
          <w:rFonts w:ascii="Arial" w:hAnsi="Arial" w:cs="Arial"/>
        </w:rPr>
        <w:t xml:space="preserve">Tímto dodatkem se </w:t>
      </w:r>
      <w:r w:rsidR="00131EC3" w:rsidRPr="00A10E4D">
        <w:rPr>
          <w:rFonts w:ascii="Arial" w:hAnsi="Arial" w:cs="Arial"/>
        </w:rPr>
        <w:t>dohodou pojistníka a pojist</w:t>
      </w:r>
      <w:r w:rsidR="002B75FE" w:rsidRPr="00A10E4D">
        <w:rPr>
          <w:rFonts w:ascii="Arial" w:hAnsi="Arial" w:cs="Arial"/>
        </w:rPr>
        <w:t>i</w:t>
      </w:r>
      <w:r w:rsidR="00131EC3" w:rsidRPr="00A10E4D">
        <w:rPr>
          <w:rFonts w:ascii="Arial" w:hAnsi="Arial" w:cs="Arial"/>
        </w:rPr>
        <w:t>tele ukončuje tato pojistná smlouva k 30.</w:t>
      </w:r>
      <w:r w:rsidR="00744918" w:rsidRPr="00A10E4D">
        <w:rPr>
          <w:rFonts w:ascii="Arial" w:hAnsi="Arial" w:cs="Arial"/>
        </w:rPr>
        <w:t xml:space="preserve"> </w:t>
      </w:r>
      <w:r w:rsidR="00131EC3" w:rsidRPr="00A10E4D">
        <w:rPr>
          <w:rFonts w:ascii="Arial" w:hAnsi="Arial" w:cs="Arial"/>
        </w:rPr>
        <w:t>06.2023</w:t>
      </w:r>
    </w:p>
    <w:p w:rsidR="00131EC3" w:rsidRPr="00A10E4D" w:rsidRDefault="00131EC3" w:rsidP="00131EC3">
      <w:pPr>
        <w:pStyle w:val="Odstavecseseznamem"/>
        <w:ind w:left="426"/>
        <w:rPr>
          <w:rFonts w:ascii="Arial" w:hAnsi="Arial" w:cs="Arial"/>
        </w:rPr>
      </w:pPr>
      <w:r w:rsidRPr="00A10E4D">
        <w:rPr>
          <w:rFonts w:ascii="Arial" w:hAnsi="Arial" w:cs="Arial"/>
        </w:rPr>
        <w:t xml:space="preserve">V souvislosti s touto </w:t>
      </w:r>
      <w:r w:rsidR="00744918" w:rsidRPr="00A10E4D">
        <w:rPr>
          <w:rFonts w:ascii="Arial" w:hAnsi="Arial" w:cs="Arial"/>
        </w:rPr>
        <w:t>dohodou je vyčíslena výše pojistného za období 01. 02. 2023 do 30. 06. 2023</w:t>
      </w:r>
    </w:p>
    <w:p w:rsidR="002B75FE" w:rsidRPr="00A10E4D" w:rsidRDefault="002B75FE" w:rsidP="00131EC3">
      <w:pPr>
        <w:pStyle w:val="Odstavecseseznamem"/>
        <w:ind w:left="426"/>
        <w:rPr>
          <w:rFonts w:ascii="Arial" w:hAnsi="Arial" w:cs="Arial"/>
        </w:rPr>
      </w:pPr>
    </w:p>
    <w:p w:rsidR="002B75FE" w:rsidRPr="00A10E4D" w:rsidRDefault="002B75FE" w:rsidP="00131EC3">
      <w:pPr>
        <w:pStyle w:val="Odstavecseseznamem"/>
        <w:ind w:left="426"/>
        <w:rPr>
          <w:rFonts w:ascii="Arial" w:hAnsi="Arial" w:cs="Arial"/>
        </w:rPr>
      </w:pPr>
      <w:r w:rsidRPr="00A10E4D">
        <w:rPr>
          <w:rFonts w:ascii="Arial" w:hAnsi="Arial" w:cs="Arial"/>
        </w:rPr>
        <w:t>Dále se tímto dodatkem doplňují doložky Výluka nakažlivých nemocí (ekvivalent LMA 5503) a Elektronická data (ekvivalent NMA 2915)</w:t>
      </w:r>
    </w:p>
    <w:p w:rsidR="00A85FF7" w:rsidRPr="00A10E4D" w:rsidRDefault="00A85FF7" w:rsidP="00A85FF7">
      <w:pPr>
        <w:pStyle w:val="Odstavecseseznamem"/>
        <w:ind w:left="426"/>
        <w:rPr>
          <w:rFonts w:ascii="Arial" w:hAnsi="Arial" w:cs="Arial"/>
        </w:rPr>
      </w:pPr>
    </w:p>
    <w:p w:rsidR="00A85FF7" w:rsidRPr="00A10E4D" w:rsidRDefault="00744918" w:rsidP="00744918">
      <w:pPr>
        <w:pStyle w:val="Odstavecseseznamem"/>
        <w:ind w:left="426"/>
        <w:rPr>
          <w:rFonts w:ascii="Arial" w:hAnsi="Arial" w:cs="Arial"/>
        </w:rPr>
      </w:pPr>
      <w:r w:rsidRPr="00A10E4D">
        <w:rPr>
          <w:rFonts w:ascii="Arial" w:hAnsi="Arial" w:cs="Arial"/>
        </w:rPr>
        <w:t xml:space="preserve">Vzhledem k této skutečnosti se následující články pojistné smlouvy nahrazují takto: </w:t>
      </w:r>
    </w:p>
    <w:p w:rsidR="00744918" w:rsidRPr="00A10E4D" w:rsidRDefault="00744918" w:rsidP="00744918">
      <w:pPr>
        <w:pStyle w:val="Odstavecseseznamem"/>
        <w:ind w:left="426"/>
        <w:rPr>
          <w:rFonts w:ascii="Arial" w:hAnsi="Arial" w:cs="Arial"/>
        </w:rPr>
      </w:pPr>
    </w:p>
    <w:p w:rsidR="00744918" w:rsidRPr="00A10E4D" w:rsidRDefault="00744918" w:rsidP="00744918">
      <w:pPr>
        <w:pStyle w:val="Odstavecseseznamem"/>
        <w:ind w:left="426"/>
        <w:rPr>
          <w:rFonts w:ascii="Arial" w:hAnsi="Arial" w:cs="Arial"/>
        </w:rPr>
      </w:pPr>
      <w:r w:rsidRPr="00A10E4D">
        <w:rPr>
          <w:rFonts w:ascii="Arial" w:hAnsi="Arial" w:cs="Arial"/>
        </w:rPr>
        <w:t>Počátek a doba trvání pojištění</w:t>
      </w:r>
    </w:p>
    <w:p w:rsidR="00744918" w:rsidRPr="00A10E4D" w:rsidRDefault="00744918" w:rsidP="00744918">
      <w:pPr>
        <w:pStyle w:val="Odstavecseseznamem"/>
        <w:ind w:left="426"/>
        <w:rPr>
          <w:rFonts w:ascii="Arial" w:hAnsi="Arial" w:cs="Arial"/>
        </w:rPr>
      </w:pPr>
      <w:r w:rsidRPr="00A10E4D">
        <w:rPr>
          <w:rFonts w:ascii="Arial" w:hAnsi="Arial" w:cs="Arial"/>
        </w:rPr>
        <w:t xml:space="preserve">Pojištění se sjednává dobu určitou s počátkem pojištění 01. 02. 2016, 00:00 hod. a koncem pojištění dne 30. 06. 2023, 24:00 hod. Uplynutím sjednané doby pojištění zaniká. </w:t>
      </w:r>
    </w:p>
    <w:p w:rsidR="00337224" w:rsidRPr="00830B32" w:rsidRDefault="00337224" w:rsidP="00337224">
      <w:pPr>
        <w:ind w:left="426"/>
        <w:rPr>
          <w:rFonts w:ascii="Arial" w:hAnsi="Arial" w:cs="Arial"/>
        </w:rPr>
      </w:pPr>
      <w:bookmarkStart w:id="0" w:name="_GoBack"/>
      <w:bookmarkEnd w:id="0"/>
    </w:p>
    <w:p w:rsidR="00E86257" w:rsidRPr="00D81FCF" w:rsidRDefault="00E86257" w:rsidP="00E86257">
      <w:pPr>
        <w:jc w:val="both"/>
        <w:rPr>
          <w:rFonts w:cs="Arial"/>
        </w:rPr>
      </w:pPr>
    </w:p>
    <w:p w:rsidR="001943EA" w:rsidRPr="00C66DF9" w:rsidRDefault="001943EA" w:rsidP="001943EA">
      <w:pPr>
        <w:rPr>
          <w:rFonts w:cs="Arial"/>
          <w:b/>
        </w:rPr>
      </w:pPr>
    </w:p>
    <w:p w:rsidR="001943EA" w:rsidRPr="00111C26" w:rsidRDefault="001943EA" w:rsidP="001943EA">
      <w:pPr>
        <w:pStyle w:val="Zkladntext"/>
        <w:spacing w:after="120"/>
        <w:rPr>
          <w:rFonts w:cs="Arial"/>
          <w:b/>
          <w:color w:val="C21B17"/>
        </w:rPr>
      </w:pPr>
      <w:r w:rsidRPr="00111C26">
        <w:rPr>
          <w:rFonts w:cs="Arial"/>
          <w:b/>
          <w:color w:val="C21B17"/>
        </w:rPr>
        <w:t>Vyúčtování pojistného v souvislosti s ukončením pojistné smlouvy</w:t>
      </w:r>
    </w:p>
    <w:tbl>
      <w:tblPr>
        <w:tblStyle w:val="Mkatabulky2"/>
        <w:tblW w:w="9673"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7"/>
        <w:gridCol w:w="1449"/>
        <w:gridCol w:w="2412"/>
        <w:gridCol w:w="1985"/>
      </w:tblGrid>
      <w:tr w:rsidR="001943EA" w:rsidRPr="00111C26" w:rsidTr="009A5CE3">
        <w:trPr>
          <w:trHeight w:val="397"/>
        </w:trPr>
        <w:tc>
          <w:tcPr>
            <w:tcW w:w="3827" w:type="dxa"/>
            <w:tcBorders>
              <w:top w:val="single" w:sz="12" w:space="0" w:color="C21B17"/>
              <w:bottom w:val="single" w:sz="4" w:space="0" w:color="000000" w:themeColor="text1"/>
            </w:tcBorders>
            <w:shd w:val="clear" w:color="auto" w:fill="auto"/>
            <w:vAlign w:val="center"/>
          </w:tcPr>
          <w:p w:rsidR="001943EA" w:rsidRPr="000160EE" w:rsidRDefault="001943EA" w:rsidP="009A5CE3">
            <w:pPr>
              <w:rPr>
                <w:rFonts w:ascii="Arial" w:hAnsi="Arial" w:cs="Arial"/>
                <w:color w:val="C21B17"/>
                <w:sz w:val="20"/>
                <w:szCs w:val="20"/>
              </w:rPr>
            </w:pPr>
            <w:proofErr w:type="spellStart"/>
            <w:r w:rsidRPr="000160EE">
              <w:rPr>
                <w:rFonts w:ascii="Arial" w:hAnsi="Arial" w:cs="Arial"/>
                <w:sz w:val="20"/>
                <w:szCs w:val="20"/>
              </w:rPr>
              <w:t>Roční</w:t>
            </w:r>
            <w:proofErr w:type="spellEnd"/>
            <w:r w:rsidRPr="000160EE">
              <w:rPr>
                <w:rFonts w:ascii="Arial" w:hAnsi="Arial" w:cs="Arial"/>
                <w:sz w:val="20"/>
                <w:szCs w:val="20"/>
              </w:rPr>
              <w:t xml:space="preserve"> </w:t>
            </w:r>
            <w:proofErr w:type="spellStart"/>
            <w:r w:rsidRPr="000160EE">
              <w:rPr>
                <w:rFonts w:ascii="Arial" w:hAnsi="Arial" w:cs="Arial"/>
                <w:sz w:val="20"/>
                <w:szCs w:val="20"/>
              </w:rPr>
              <w:t>pojistné</w:t>
            </w:r>
            <w:proofErr w:type="spellEnd"/>
            <w:r w:rsidRPr="000160EE">
              <w:rPr>
                <w:rFonts w:ascii="Arial" w:hAnsi="Arial" w:cs="Arial"/>
                <w:sz w:val="20"/>
                <w:szCs w:val="20"/>
              </w:rPr>
              <w:t xml:space="preserve"> </w:t>
            </w:r>
            <w:proofErr w:type="spellStart"/>
            <w:r w:rsidRPr="000160EE">
              <w:rPr>
                <w:rFonts w:ascii="Arial" w:hAnsi="Arial" w:cs="Arial"/>
                <w:sz w:val="20"/>
                <w:szCs w:val="20"/>
              </w:rPr>
              <w:t>po</w:t>
            </w:r>
            <w:proofErr w:type="spellEnd"/>
            <w:r w:rsidRPr="000160EE">
              <w:rPr>
                <w:rFonts w:ascii="Arial" w:hAnsi="Arial" w:cs="Arial"/>
                <w:sz w:val="20"/>
                <w:szCs w:val="20"/>
              </w:rPr>
              <w:t xml:space="preserve"> </w:t>
            </w:r>
            <w:proofErr w:type="spellStart"/>
            <w:r w:rsidRPr="000160EE">
              <w:rPr>
                <w:rFonts w:ascii="Arial" w:hAnsi="Arial" w:cs="Arial"/>
                <w:sz w:val="20"/>
                <w:szCs w:val="20"/>
              </w:rPr>
              <w:t>slev</w:t>
            </w:r>
            <w:r w:rsidR="00C14678">
              <w:rPr>
                <w:rFonts w:ascii="Arial" w:hAnsi="Arial" w:cs="Arial"/>
                <w:sz w:val="20"/>
                <w:szCs w:val="20"/>
              </w:rPr>
              <w:t>ách</w:t>
            </w:r>
            <w:proofErr w:type="spellEnd"/>
          </w:p>
        </w:tc>
        <w:tc>
          <w:tcPr>
            <w:tcW w:w="1449" w:type="dxa"/>
            <w:tcBorders>
              <w:top w:val="single" w:sz="12" w:space="0" w:color="C21B17"/>
              <w:bottom w:val="single" w:sz="4" w:space="0" w:color="000000" w:themeColor="text1"/>
            </w:tcBorders>
            <w:shd w:val="clear" w:color="auto" w:fill="auto"/>
            <w:vAlign w:val="center"/>
          </w:tcPr>
          <w:p w:rsidR="001943EA" w:rsidRPr="000160EE" w:rsidRDefault="001943EA" w:rsidP="009A5CE3">
            <w:pPr>
              <w:rPr>
                <w:rFonts w:ascii="Arial" w:hAnsi="Arial" w:cs="Arial"/>
                <w:b/>
                <w:sz w:val="20"/>
                <w:szCs w:val="20"/>
              </w:rPr>
            </w:pPr>
          </w:p>
        </w:tc>
        <w:tc>
          <w:tcPr>
            <w:tcW w:w="2412" w:type="dxa"/>
            <w:tcBorders>
              <w:top w:val="single" w:sz="12" w:space="0" w:color="C21B17"/>
              <w:bottom w:val="single" w:sz="4" w:space="0" w:color="000000" w:themeColor="text1"/>
            </w:tcBorders>
            <w:shd w:val="clear" w:color="auto" w:fill="auto"/>
            <w:vAlign w:val="center"/>
          </w:tcPr>
          <w:p w:rsidR="001943EA" w:rsidRPr="000160EE" w:rsidRDefault="001943EA" w:rsidP="009A5CE3">
            <w:pPr>
              <w:rPr>
                <w:rFonts w:ascii="Arial" w:hAnsi="Arial" w:cs="Arial"/>
                <w:color w:val="FF0000"/>
                <w:sz w:val="20"/>
                <w:szCs w:val="20"/>
              </w:rPr>
            </w:pPr>
          </w:p>
        </w:tc>
        <w:tc>
          <w:tcPr>
            <w:tcW w:w="1985" w:type="dxa"/>
            <w:tcBorders>
              <w:top w:val="single" w:sz="12" w:space="0" w:color="C21B17"/>
              <w:bottom w:val="single" w:sz="4" w:space="0" w:color="000000" w:themeColor="text1"/>
            </w:tcBorders>
            <w:shd w:val="clear" w:color="auto" w:fill="auto"/>
            <w:vAlign w:val="center"/>
          </w:tcPr>
          <w:p w:rsidR="001943EA" w:rsidRPr="000160EE" w:rsidRDefault="000160EE" w:rsidP="009A5CE3">
            <w:pPr>
              <w:keepNext/>
              <w:tabs>
                <w:tab w:val="left" w:pos="852"/>
                <w:tab w:val="right" w:pos="8222"/>
                <w:tab w:val="right" w:pos="9639"/>
              </w:tabs>
              <w:outlineLvl w:val="3"/>
              <w:rPr>
                <w:rFonts w:ascii="Arial" w:hAnsi="Arial" w:cs="Arial"/>
                <w:color w:val="FF0000"/>
                <w:sz w:val="20"/>
                <w:szCs w:val="20"/>
              </w:rPr>
            </w:pPr>
            <w:r>
              <w:rPr>
                <w:rFonts w:ascii="Arial" w:hAnsi="Arial" w:cs="Arial"/>
                <w:color w:val="FF0000"/>
                <w:sz w:val="20"/>
                <w:szCs w:val="20"/>
              </w:rPr>
              <w:t>189 651</w:t>
            </w:r>
            <w:r w:rsidR="001943EA" w:rsidRPr="000160EE">
              <w:rPr>
                <w:rFonts w:ascii="Arial" w:hAnsi="Arial" w:cs="Arial"/>
                <w:color w:val="FF0000"/>
                <w:sz w:val="20"/>
                <w:szCs w:val="20"/>
              </w:rPr>
              <w:t xml:space="preserve">,- </w:t>
            </w:r>
            <w:proofErr w:type="spellStart"/>
            <w:r w:rsidR="001943EA" w:rsidRPr="000160EE">
              <w:rPr>
                <w:rFonts w:ascii="Arial" w:hAnsi="Arial" w:cs="Arial"/>
                <w:color w:val="FF0000"/>
                <w:sz w:val="20"/>
                <w:szCs w:val="20"/>
              </w:rPr>
              <w:t>Kč</w:t>
            </w:r>
            <w:proofErr w:type="spellEnd"/>
            <w:r w:rsidR="001943EA" w:rsidRPr="000160EE">
              <w:rPr>
                <w:rFonts w:ascii="Arial" w:hAnsi="Arial" w:cs="Arial"/>
                <w:color w:val="FF0000"/>
                <w:sz w:val="20"/>
                <w:szCs w:val="20"/>
              </w:rPr>
              <w:t xml:space="preserve">                                  </w:t>
            </w:r>
          </w:p>
        </w:tc>
      </w:tr>
      <w:tr w:rsidR="001943EA" w:rsidRPr="00111C26" w:rsidTr="009A5CE3">
        <w:trPr>
          <w:trHeight w:val="407"/>
        </w:trPr>
        <w:tc>
          <w:tcPr>
            <w:tcW w:w="7688" w:type="dxa"/>
            <w:gridSpan w:val="3"/>
            <w:tcBorders>
              <w:top w:val="nil"/>
              <w:bottom w:val="single" w:sz="12" w:space="0" w:color="C21B17"/>
            </w:tcBorders>
            <w:shd w:val="clear" w:color="auto" w:fill="auto"/>
            <w:vAlign w:val="center"/>
          </w:tcPr>
          <w:p w:rsidR="001943EA" w:rsidRPr="000160EE" w:rsidRDefault="001943EA" w:rsidP="000160EE">
            <w:pPr>
              <w:rPr>
                <w:rFonts w:ascii="Arial" w:hAnsi="Arial" w:cs="Arial"/>
                <w:sz w:val="20"/>
                <w:szCs w:val="20"/>
              </w:rPr>
            </w:pPr>
            <w:proofErr w:type="spellStart"/>
            <w:r w:rsidRPr="000160EE">
              <w:rPr>
                <w:rFonts w:ascii="Arial" w:hAnsi="Arial" w:cs="Arial"/>
                <w:sz w:val="20"/>
                <w:szCs w:val="20"/>
              </w:rPr>
              <w:t>Pojistné</w:t>
            </w:r>
            <w:proofErr w:type="spellEnd"/>
            <w:r w:rsidRPr="000160EE">
              <w:rPr>
                <w:rFonts w:ascii="Arial" w:hAnsi="Arial" w:cs="Arial"/>
                <w:sz w:val="20"/>
                <w:szCs w:val="20"/>
              </w:rPr>
              <w:t xml:space="preserve"> </w:t>
            </w:r>
            <w:proofErr w:type="spellStart"/>
            <w:r w:rsidRPr="000160EE">
              <w:rPr>
                <w:rFonts w:ascii="Arial" w:hAnsi="Arial" w:cs="Arial"/>
                <w:sz w:val="20"/>
                <w:szCs w:val="20"/>
              </w:rPr>
              <w:t>za</w:t>
            </w:r>
            <w:proofErr w:type="spellEnd"/>
            <w:r w:rsidRPr="000160EE">
              <w:rPr>
                <w:rFonts w:ascii="Arial" w:hAnsi="Arial" w:cs="Arial"/>
                <w:sz w:val="20"/>
                <w:szCs w:val="20"/>
              </w:rPr>
              <w:t xml:space="preserve"> </w:t>
            </w:r>
            <w:proofErr w:type="spellStart"/>
            <w:r w:rsidRPr="000160EE">
              <w:rPr>
                <w:rFonts w:ascii="Arial" w:hAnsi="Arial" w:cs="Arial"/>
                <w:sz w:val="20"/>
                <w:szCs w:val="20"/>
              </w:rPr>
              <w:t>pojistné</w:t>
            </w:r>
            <w:proofErr w:type="spellEnd"/>
            <w:r w:rsidRPr="000160EE">
              <w:rPr>
                <w:rFonts w:ascii="Arial" w:hAnsi="Arial" w:cs="Arial"/>
                <w:sz w:val="20"/>
                <w:szCs w:val="20"/>
              </w:rPr>
              <w:t xml:space="preserve"> </w:t>
            </w:r>
            <w:proofErr w:type="spellStart"/>
            <w:r w:rsidRPr="000160EE">
              <w:rPr>
                <w:rFonts w:ascii="Arial" w:hAnsi="Arial" w:cs="Arial"/>
                <w:sz w:val="20"/>
                <w:szCs w:val="20"/>
              </w:rPr>
              <w:t>období</w:t>
            </w:r>
            <w:proofErr w:type="spellEnd"/>
            <w:r w:rsidRPr="000160EE">
              <w:rPr>
                <w:rFonts w:ascii="Arial" w:hAnsi="Arial" w:cs="Arial"/>
                <w:sz w:val="20"/>
                <w:szCs w:val="20"/>
              </w:rPr>
              <w:t xml:space="preserve"> od 01. 0</w:t>
            </w:r>
            <w:r w:rsidR="000160EE">
              <w:rPr>
                <w:rFonts w:ascii="Arial" w:hAnsi="Arial" w:cs="Arial"/>
                <w:sz w:val="20"/>
                <w:szCs w:val="20"/>
              </w:rPr>
              <w:t>2</w:t>
            </w:r>
            <w:r w:rsidRPr="000160EE">
              <w:rPr>
                <w:rFonts w:ascii="Arial" w:hAnsi="Arial" w:cs="Arial"/>
                <w:sz w:val="20"/>
                <w:szCs w:val="20"/>
              </w:rPr>
              <w:t xml:space="preserve">. 2023 do </w:t>
            </w:r>
            <w:r w:rsidR="000160EE">
              <w:rPr>
                <w:rFonts w:ascii="Arial" w:hAnsi="Arial" w:cs="Arial"/>
                <w:sz w:val="20"/>
                <w:szCs w:val="20"/>
              </w:rPr>
              <w:t>30. 06</w:t>
            </w:r>
            <w:r w:rsidRPr="000160EE">
              <w:rPr>
                <w:rFonts w:ascii="Arial" w:hAnsi="Arial" w:cs="Arial"/>
                <w:sz w:val="20"/>
                <w:szCs w:val="20"/>
              </w:rPr>
              <w:t>. 2023</w:t>
            </w:r>
            <w:r w:rsidRPr="000160EE">
              <w:rPr>
                <w:rFonts w:ascii="Arial" w:hAnsi="Arial" w:cs="Arial"/>
                <w:b/>
                <w:bCs/>
                <w:color w:val="C00000"/>
                <w:sz w:val="20"/>
                <w:szCs w:val="20"/>
              </w:rPr>
              <w:t xml:space="preserve">     </w:t>
            </w:r>
          </w:p>
        </w:tc>
        <w:tc>
          <w:tcPr>
            <w:tcW w:w="1985" w:type="dxa"/>
            <w:tcBorders>
              <w:top w:val="nil"/>
              <w:bottom w:val="single" w:sz="12" w:space="0" w:color="C21B17"/>
            </w:tcBorders>
            <w:shd w:val="clear" w:color="auto" w:fill="auto"/>
            <w:vAlign w:val="center"/>
          </w:tcPr>
          <w:p w:rsidR="001943EA" w:rsidRPr="000160EE" w:rsidRDefault="001943EA" w:rsidP="0039167C">
            <w:pPr>
              <w:jc w:val="both"/>
              <w:rPr>
                <w:rFonts w:ascii="Arial" w:hAnsi="Arial" w:cs="Arial"/>
                <w:sz w:val="20"/>
                <w:szCs w:val="20"/>
              </w:rPr>
            </w:pPr>
            <w:r w:rsidRPr="000160EE">
              <w:rPr>
                <w:rFonts w:ascii="Arial" w:hAnsi="Arial" w:cs="Arial"/>
                <w:sz w:val="20"/>
                <w:szCs w:val="20"/>
              </w:rPr>
              <w:t xml:space="preserve">  </w:t>
            </w:r>
            <w:r w:rsidR="0039167C">
              <w:rPr>
                <w:rFonts w:ascii="Arial" w:hAnsi="Arial" w:cs="Arial"/>
                <w:color w:val="FF0000"/>
                <w:sz w:val="20"/>
                <w:szCs w:val="20"/>
              </w:rPr>
              <w:t>79 021</w:t>
            </w:r>
            <w:r w:rsidRPr="000160EE">
              <w:rPr>
                <w:rFonts w:ascii="Arial" w:hAnsi="Arial" w:cs="Arial"/>
                <w:color w:val="FF0000"/>
                <w:sz w:val="20"/>
                <w:szCs w:val="20"/>
              </w:rPr>
              <w:t xml:space="preserve">,- </w:t>
            </w:r>
            <w:proofErr w:type="spellStart"/>
            <w:r w:rsidRPr="000160EE">
              <w:rPr>
                <w:rFonts w:ascii="Arial" w:hAnsi="Arial" w:cs="Arial"/>
                <w:color w:val="FF0000"/>
                <w:sz w:val="20"/>
                <w:szCs w:val="20"/>
              </w:rPr>
              <w:t>Kč</w:t>
            </w:r>
            <w:proofErr w:type="spellEnd"/>
          </w:p>
        </w:tc>
      </w:tr>
    </w:tbl>
    <w:p w:rsidR="001943EA" w:rsidRPr="00111C26" w:rsidRDefault="001943EA" w:rsidP="001943EA">
      <w:pPr>
        <w:tabs>
          <w:tab w:val="right" w:pos="2268"/>
          <w:tab w:val="left" w:pos="2410"/>
          <w:tab w:val="left" w:pos="2694"/>
          <w:tab w:val="left" w:pos="3969"/>
          <w:tab w:val="right" w:pos="5670"/>
          <w:tab w:val="left" w:pos="6663"/>
          <w:tab w:val="right" w:pos="9072"/>
        </w:tabs>
        <w:rPr>
          <w:rFonts w:ascii="Arial_CE" w:hAnsi="Arial_CE"/>
        </w:rPr>
      </w:pPr>
    </w:p>
    <w:p w:rsidR="00E86257" w:rsidRPr="00D81FCF" w:rsidRDefault="00E86257" w:rsidP="00E86257">
      <w:pPr>
        <w:keepNext/>
        <w:tabs>
          <w:tab w:val="center" w:pos="4536"/>
          <w:tab w:val="right" w:pos="9072"/>
        </w:tabs>
        <w:jc w:val="both"/>
        <w:outlineLvl w:val="2"/>
        <w:rPr>
          <w:b/>
        </w:rPr>
      </w:pPr>
    </w:p>
    <w:p w:rsidR="00E86257" w:rsidRDefault="00E86257"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1943EA" w:rsidRDefault="001943EA" w:rsidP="00E86257">
      <w:pPr>
        <w:tabs>
          <w:tab w:val="right" w:pos="2268"/>
          <w:tab w:val="left" w:pos="2410"/>
          <w:tab w:val="left" w:pos="2694"/>
          <w:tab w:val="left" w:pos="3969"/>
          <w:tab w:val="right" w:pos="5670"/>
          <w:tab w:val="left" w:pos="6663"/>
          <w:tab w:val="right" w:pos="9072"/>
        </w:tabs>
        <w:rPr>
          <w:rFonts w:ascii="Arial" w:hAnsi="Arial" w:cs="Arial"/>
        </w:rPr>
      </w:pPr>
    </w:p>
    <w:p w:rsidR="000160EE" w:rsidRPr="000160EE" w:rsidRDefault="000160EE" w:rsidP="000160EE">
      <w:pPr>
        <w:tabs>
          <w:tab w:val="right" w:pos="2268"/>
          <w:tab w:val="left" w:pos="2410"/>
          <w:tab w:val="left" w:pos="2694"/>
          <w:tab w:val="left" w:pos="3969"/>
          <w:tab w:val="right" w:pos="5670"/>
          <w:tab w:val="left" w:pos="6663"/>
          <w:tab w:val="right" w:pos="9072"/>
        </w:tabs>
        <w:rPr>
          <w:rFonts w:ascii="Arial" w:hAnsi="Arial" w:cs="Arial"/>
        </w:rPr>
      </w:pPr>
      <w:r w:rsidRPr="000160EE">
        <w:rPr>
          <w:rFonts w:ascii="Arial" w:hAnsi="Arial" w:cs="Arial"/>
        </w:rPr>
        <w:t xml:space="preserve">Pojistné za pojistné období od 01. 01. 2023 do 28. 02. 2023 ve výši 22 041,-Kč je splatné k 01. 01. 2023 </w:t>
      </w:r>
      <w:proofErr w:type="gramStart"/>
      <w:r w:rsidRPr="000160EE">
        <w:rPr>
          <w:rFonts w:ascii="Arial" w:hAnsi="Arial" w:cs="Arial"/>
        </w:rPr>
        <w:t>na</w:t>
      </w:r>
      <w:proofErr w:type="gramEnd"/>
    </w:p>
    <w:p w:rsidR="000160EE" w:rsidRPr="000160EE" w:rsidRDefault="000160EE" w:rsidP="000160EE">
      <w:pPr>
        <w:tabs>
          <w:tab w:val="right" w:pos="2268"/>
          <w:tab w:val="left" w:pos="2410"/>
          <w:tab w:val="left" w:pos="2694"/>
          <w:tab w:val="left" w:pos="3969"/>
          <w:tab w:val="right" w:pos="5670"/>
          <w:tab w:val="left" w:pos="6663"/>
          <w:tab w:val="right" w:pos="9072"/>
        </w:tabs>
        <w:rPr>
          <w:rFonts w:ascii="Arial" w:hAnsi="Arial" w:cs="Arial"/>
        </w:rPr>
      </w:pPr>
      <w:r w:rsidRPr="000160EE">
        <w:rPr>
          <w:rFonts w:ascii="Arial" w:hAnsi="Arial" w:cs="Arial"/>
        </w:rPr>
        <w:t>účet zplnomocněného makléře.</w:t>
      </w:r>
    </w:p>
    <w:p w:rsidR="00E86257" w:rsidRDefault="00E86257" w:rsidP="00E86257">
      <w:pPr>
        <w:tabs>
          <w:tab w:val="right" w:pos="2268"/>
          <w:tab w:val="left" w:pos="2410"/>
          <w:tab w:val="left" w:pos="2694"/>
          <w:tab w:val="left" w:pos="3969"/>
          <w:tab w:val="right" w:pos="5670"/>
          <w:tab w:val="left" w:pos="6663"/>
          <w:tab w:val="right" w:pos="9072"/>
        </w:tabs>
        <w:rPr>
          <w:rFonts w:ascii="Arial_CE" w:hAnsi="Arial_CE"/>
        </w:rPr>
      </w:pPr>
    </w:p>
    <w:p w:rsidR="00337224" w:rsidRPr="00805C56"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A85FF7" w:rsidRPr="00A10E4D" w:rsidRDefault="00A85FF7" w:rsidP="00A85FF7">
      <w:pPr>
        <w:tabs>
          <w:tab w:val="right" w:pos="7088"/>
        </w:tabs>
        <w:rPr>
          <w:rFonts w:ascii="Arial" w:hAnsi="Arial" w:cs="Arial"/>
          <w:b/>
        </w:rPr>
      </w:pPr>
      <w:r w:rsidRPr="00A10E4D">
        <w:rPr>
          <w:rFonts w:ascii="Arial" w:hAnsi="Arial" w:cs="Arial"/>
          <w:b/>
        </w:rPr>
        <w:t>Výluka nakažlivých nemocí</w:t>
      </w:r>
    </w:p>
    <w:p w:rsidR="00A85FF7" w:rsidRPr="00A10E4D" w:rsidRDefault="00A85FF7" w:rsidP="00A85FF7">
      <w:pPr>
        <w:rPr>
          <w:rFonts w:ascii="Arial" w:hAnsi="Arial" w:cs="Arial"/>
        </w:rPr>
      </w:pPr>
      <w:r w:rsidRPr="00A10E4D">
        <w:rPr>
          <w:rFonts w:ascii="Arial" w:hAnsi="Arial" w:cs="Arial"/>
        </w:rPr>
        <w:t>Z pojištění sjednaného touto pojistnou smlouvou je vyloučena jakákoli přímá i nepřímá škoda, poškození, odpovědnost, nárok, náklad nebo výdaj jakéhokoli druhu nebo škoda s časovým prvkem způsobená</w:t>
      </w:r>
    </w:p>
    <w:p w:rsidR="00A85FF7" w:rsidRPr="00A10E4D" w:rsidRDefault="00A85FF7" w:rsidP="00A85FF7">
      <w:pPr>
        <w:pStyle w:val="Text11"/>
        <w:keepNext/>
        <w:numPr>
          <w:ilvl w:val="0"/>
          <w:numId w:val="42"/>
        </w:numPr>
        <w:spacing w:before="0" w:after="0"/>
        <w:ind w:left="142" w:right="284" w:firstLine="142"/>
        <w:rPr>
          <w:rFonts w:cs="Arial"/>
          <w:sz w:val="20"/>
          <w:szCs w:val="24"/>
          <w:lang w:val="it-IT" w:eastAsia="it-IT"/>
        </w:rPr>
      </w:pPr>
      <w:r w:rsidRPr="00A10E4D">
        <w:rPr>
          <w:rFonts w:cs="Arial"/>
          <w:sz w:val="20"/>
          <w:szCs w:val="24"/>
          <w:lang w:val="it-IT" w:eastAsia="it-IT"/>
        </w:rPr>
        <w:t>nakažlivou nemocí nebo skutečnou či domnělou hrozbou či strachem z ní, nebo</w:t>
      </w:r>
    </w:p>
    <w:p w:rsidR="00A85FF7" w:rsidRPr="00A10E4D" w:rsidRDefault="00A85FF7" w:rsidP="00A85FF7">
      <w:pPr>
        <w:pStyle w:val="Text11"/>
        <w:keepNext/>
        <w:numPr>
          <w:ilvl w:val="0"/>
          <w:numId w:val="42"/>
        </w:numPr>
        <w:spacing w:before="0" w:after="0"/>
        <w:ind w:left="709" w:right="284" w:hanging="425"/>
        <w:rPr>
          <w:rFonts w:cs="Arial"/>
          <w:sz w:val="20"/>
          <w:szCs w:val="24"/>
          <w:lang w:val="it-IT" w:eastAsia="it-IT"/>
        </w:rPr>
      </w:pPr>
      <w:r w:rsidRPr="00A10E4D">
        <w:rPr>
          <w:rFonts w:cs="Arial"/>
          <w:sz w:val="20"/>
          <w:szCs w:val="24"/>
          <w:lang w:val="it-IT" w:eastAsia="it-IT"/>
        </w:rPr>
        <w:t>nařízením zavřít provozy a provozovny z důvodu omezení nebo zastavení šíření takové nakažlivé   nemoci, nebo</w:t>
      </w:r>
    </w:p>
    <w:p w:rsidR="00A85FF7" w:rsidRPr="00A10E4D" w:rsidRDefault="00A85FF7" w:rsidP="00A85FF7">
      <w:pPr>
        <w:pStyle w:val="Text11"/>
        <w:keepNext/>
        <w:numPr>
          <w:ilvl w:val="0"/>
          <w:numId w:val="42"/>
        </w:numPr>
        <w:spacing w:before="0" w:after="0"/>
        <w:ind w:left="142" w:right="284" w:firstLine="142"/>
        <w:rPr>
          <w:rFonts w:cs="Arial"/>
          <w:sz w:val="20"/>
          <w:szCs w:val="24"/>
          <w:lang w:val="it-IT" w:eastAsia="it-IT"/>
        </w:rPr>
      </w:pPr>
      <w:r w:rsidRPr="00A10E4D">
        <w:rPr>
          <w:rFonts w:cs="Arial"/>
          <w:sz w:val="20"/>
          <w:szCs w:val="24"/>
          <w:lang w:val="it-IT" w:eastAsia="it-IT"/>
        </w:rPr>
        <w:t>kombinací výše uvedených příčin.</w:t>
      </w:r>
    </w:p>
    <w:p w:rsidR="00A85FF7" w:rsidRPr="00A10E4D" w:rsidRDefault="00A85FF7" w:rsidP="00A85FF7">
      <w:pPr>
        <w:rPr>
          <w:rFonts w:ascii="Arial" w:hAnsi="Arial" w:cs="Arial"/>
        </w:rPr>
      </w:pPr>
      <w:r w:rsidRPr="00A10E4D">
        <w:rPr>
          <w:rFonts w:ascii="Arial" w:hAnsi="Arial" w:cs="Arial"/>
        </w:rPr>
        <w:t xml:space="preserve">V 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pojistné smlouvy jinak vyloučena. </w:t>
      </w:r>
    </w:p>
    <w:p w:rsidR="00A85FF7" w:rsidRPr="00A10E4D" w:rsidRDefault="00A85FF7" w:rsidP="00A85FF7">
      <w:pPr>
        <w:rPr>
          <w:rFonts w:ascii="Arial" w:hAnsi="Arial" w:cs="Arial"/>
        </w:rPr>
      </w:pPr>
      <w:r w:rsidRPr="00A10E4D">
        <w:rPr>
          <w:rFonts w:ascii="Arial" w:hAnsi="Arial" w:cs="Arial"/>
        </w:rPr>
        <w:t>Pro vyloučení veškerých pochybností se ujednává, že: (i) nakažlivá nemoc a mezi jiným také úřední zásah proti této nemoci není příčinou pojištěnou z této pojistné smlouvy, a (</w:t>
      </w:r>
      <w:proofErr w:type="spellStart"/>
      <w:r w:rsidRPr="00A10E4D">
        <w:rPr>
          <w:rFonts w:ascii="Arial" w:hAnsi="Arial" w:cs="Arial"/>
        </w:rPr>
        <w:t>ii</w:t>
      </w:r>
      <w:proofErr w:type="spellEnd"/>
      <w:r w:rsidRPr="00A10E4D">
        <w:rPr>
          <w:rFonts w:ascii="Arial" w:hAnsi="Arial" w:cs="Arial"/>
        </w:rP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 V případě rozporu s jinými ustanoveními v této pojistné smlouvě má vždy přednost ujednání v této doložce.</w:t>
      </w:r>
    </w:p>
    <w:p w:rsidR="00A85FF7" w:rsidRPr="00A10E4D" w:rsidRDefault="00A85FF7" w:rsidP="00A85FF7">
      <w:pPr>
        <w:jc w:val="both"/>
        <w:rPr>
          <w:rFonts w:ascii="Arial" w:hAnsi="Arial" w:cs="Arial"/>
          <w:color w:val="000000"/>
        </w:rPr>
      </w:pPr>
    </w:p>
    <w:p w:rsidR="00A85FF7" w:rsidRPr="00A10E4D" w:rsidRDefault="00A85FF7" w:rsidP="00A85FF7">
      <w:pPr>
        <w:rPr>
          <w:rFonts w:ascii="Arial" w:hAnsi="Arial" w:cs="Arial"/>
          <w:u w:val="single"/>
        </w:rPr>
      </w:pPr>
      <w:r w:rsidRPr="00A10E4D">
        <w:rPr>
          <w:rFonts w:ascii="Arial" w:hAnsi="Arial" w:cs="Arial"/>
          <w:u w:val="single"/>
        </w:rPr>
        <w:t>Vysvětlení pojmů</w:t>
      </w:r>
    </w:p>
    <w:p w:rsidR="00A85FF7" w:rsidRPr="00A10E4D" w:rsidRDefault="00A85FF7" w:rsidP="00A85FF7">
      <w:pPr>
        <w:rPr>
          <w:rFonts w:ascii="Arial" w:hAnsi="Arial" w:cs="Arial"/>
        </w:rPr>
      </w:pPr>
      <w:r w:rsidRPr="00A10E4D">
        <w:rPr>
          <w:rFonts w:ascii="Arial" w:hAnsi="Arial" w:cs="Arial"/>
          <w:b/>
        </w:rPr>
        <w:t>Nakažlivá nemoc</w:t>
      </w:r>
      <w:r w:rsidRPr="00A10E4D">
        <w:rPr>
          <w:rFonts w:ascii="Arial" w:hAnsi="Arial" w:cs="Arial"/>
        </w:rPr>
        <w:t xml:space="preserve"> je jakákoli nemoc, která se může přenášet jakoukoli látkou nebo činidlem z organismu na organismus, kde:</w:t>
      </w:r>
    </w:p>
    <w:p w:rsidR="00A85FF7" w:rsidRPr="00A10E4D" w:rsidRDefault="00A85FF7" w:rsidP="00A85FF7">
      <w:pPr>
        <w:pStyle w:val="Text11"/>
        <w:keepNext/>
        <w:numPr>
          <w:ilvl w:val="0"/>
          <w:numId w:val="42"/>
        </w:numPr>
        <w:spacing w:before="0" w:after="0"/>
        <w:ind w:left="709" w:right="284" w:hanging="425"/>
        <w:rPr>
          <w:rFonts w:cs="Arial"/>
          <w:sz w:val="20"/>
          <w:szCs w:val="24"/>
          <w:lang w:val="it-IT" w:eastAsia="it-IT"/>
        </w:rPr>
      </w:pPr>
      <w:r w:rsidRPr="00A10E4D">
        <w:rPr>
          <w:rFonts w:cs="Arial"/>
          <w:sz w:val="20"/>
          <w:szCs w:val="24"/>
          <w:lang w:val="it-IT" w:eastAsia="it-IT"/>
        </w:rPr>
        <w:t>látka nebo činidlo zahrnují mimo jiné viry, bakterie, parazity, nebo jiný organismus nebo jeho variaci, živou i neživou,</w:t>
      </w:r>
    </w:p>
    <w:p w:rsidR="00A85FF7" w:rsidRPr="00A10E4D" w:rsidRDefault="00A85FF7" w:rsidP="00A85FF7">
      <w:pPr>
        <w:pStyle w:val="Text11"/>
        <w:keepNext/>
        <w:numPr>
          <w:ilvl w:val="0"/>
          <w:numId w:val="42"/>
        </w:numPr>
        <w:spacing w:before="0" w:after="0"/>
        <w:ind w:left="709" w:right="284" w:hanging="425"/>
        <w:rPr>
          <w:rFonts w:cs="Arial"/>
          <w:sz w:val="20"/>
          <w:szCs w:val="24"/>
          <w:lang w:val="it-IT" w:eastAsia="it-IT"/>
        </w:rPr>
      </w:pPr>
      <w:r w:rsidRPr="00A10E4D">
        <w:rPr>
          <w:rFonts w:cs="Arial"/>
          <w:sz w:val="20"/>
          <w:szCs w:val="24"/>
          <w:lang w:val="it-IT" w:eastAsia="it-IT"/>
        </w:rPr>
        <w:t>přímý i nepřímý způsob přenosu zahrnuje mimo jiné přenos vzduchem, tělními tekutinami, přenos přes různé povrchy nebo předměty, přenos pevným, kapalným nebo plynným skupenstvím nebo přenos mezi organismy,</w:t>
      </w:r>
    </w:p>
    <w:p w:rsidR="00A85FF7" w:rsidRPr="00A10E4D" w:rsidRDefault="00A85FF7" w:rsidP="00A85FF7">
      <w:pPr>
        <w:pStyle w:val="Text11"/>
        <w:keepNext/>
        <w:numPr>
          <w:ilvl w:val="0"/>
          <w:numId w:val="42"/>
        </w:numPr>
        <w:spacing w:before="0" w:after="0"/>
        <w:ind w:left="709" w:right="284" w:hanging="425"/>
        <w:rPr>
          <w:rFonts w:cs="Arial"/>
          <w:sz w:val="20"/>
          <w:szCs w:val="24"/>
          <w:lang w:val="it-IT" w:eastAsia="it-IT"/>
        </w:rPr>
      </w:pPr>
      <w:r w:rsidRPr="00A10E4D">
        <w:rPr>
          <w:rFonts w:cs="Arial"/>
          <w:sz w:val="20"/>
          <w:szCs w:val="24"/>
          <w:lang w:val="it-IT" w:eastAsia="it-IT"/>
        </w:rP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rsidR="00A85FF7" w:rsidRPr="00A10E4D" w:rsidRDefault="00A85FF7" w:rsidP="00A85FF7">
      <w:pPr>
        <w:pStyle w:val="Zkladntext"/>
        <w:rPr>
          <w:rFonts w:cs="Arial"/>
          <w:lang w:val="it-IT" w:eastAsia="it-IT"/>
        </w:rPr>
      </w:pPr>
    </w:p>
    <w:p w:rsidR="00A85FF7" w:rsidRPr="00A10E4D" w:rsidRDefault="00A85FF7" w:rsidP="00A85FF7">
      <w:pPr>
        <w:rPr>
          <w:rFonts w:ascii="Arial" w:hAnsi="Arial" w:cs="Arial"/>
        </w:rPr>
      </w:pPr>
      <w:r w:rsidRPr="00A10E4D">
        <w:rPr>
          <w:rFonts w:ascii="Arial" w:hAnsi="Arial" w:cs="Arial"/>
          <w:b/>
        </w:rPr>
        <w:t>Škoda s časovým prvkem</w:t>
      </w:r>
      <w:r w:rsidRPr="00A10E4D">
        <w:rPr>
          <w:rFonts w:ascii="Arial" w:hAnsi="Arial" w:cs="Arial"/>
        </w:rPr>
        <w:t xml:space="preserve"> je škoda z přerušení provozu, následného přerušení provozu nebo jakákoli následná škoda.</w:t>
      </w:r>
    </w:p>
    <w:p w:rsidR="00A3559A" w:rsidRPr="00A10E4D" w:rsidRDefault="00A3559A" w:rsidP="00A85FF7">
      <w:pPr>
        <w:tabs>
          <w:tab w:val="right" w:pos="7088"/>
        </w:tabs>
        <w:rPr>
          <w:rFonts w:ascii="Arial" w:hAnsi="Arial" w:cs="Arial"/>
          <w:b/>
        </w:rPr>
      </w:pPr>
    </w:p>
    <w:p w:rsidR="00923837" w:rsidRPr="00A10E4D" w:rsidRDefault="00923837" w:rsidP="00923837">
      <w:pPr>
        <w:pStyle w:val="GPodstavec"/>
      </w:pPr>
      <w:r w:rsidRPr="00A10E4D">
        <w:rPr>
          <w:b/>
          <w:bCs/>
          <w:lang w:val="it-IT"/>
        </w:rPr>
        <w:t>Částečná výluka škod z kybernetických rizik</w:t>
      </w:r>
    </w:p>
    <w:p w:rsidR="00923837" w:rsidRPr="00A10E4D" w:rsidRDefault="00923837" w:rsidP="00923837">
      <w:pPr>
        <w:pStyle w:val="Text11"/>
        <w:spacing w:before="120" w:after="0"/>
        <w:ind w:left="709" w:firstLine="0"/>
        <w:jc w:val="left"/>
        <w:rPr>
          <w:sz w:val="20"/>
        </w:rPr>
      </w:pPr>
      <w:r w:rsidRPr="00A10E4D">
        <w:rPr>
          <w:sz w:val="20"/>
          <w:lang w:val="it-IT" w:eastAsia="it-IT"/>
        </w:rPr>
        <w:t>Z pojištění sjednaného touto pojistnou smlouvou je vyloučena jakákoli přímá i nepřímá škoda, poškození, odpovědnost, nárok, náklad nebo výdaj jakéhokoli druhu nebo škoda s časovým prvkem způsobená výhradně kybernetickým incidentem.</w:t>
      </w:r>
    </w:p>
    <w:p w:rsidR="00923837" w:rsidRPr="00A10E4D" w:rsidRDefault="00923837" w:rsidP="00923837">
      <w:pPr>
        <w:pStyle w:val="Text11"/>
        <w:spacing w:before="120" w:after="0"/>
        <w:ind w:left="709" w:firstLine="0"/>
        <w:jc w:val="left"/>
        <w:rPr>
          <w:sz w:val="20"/>
        </w:rPr>
      </w:pPr>
      <w:r w:rsidRPr="00A10E4D">
        <w:rPr>
          <w:sz w:val="20"/>
          <w:lang w:val="it-IT" w:eastAsia="it-IT"/>
        </w:rPr>
        <w:t>V souladu s ostatními podmínkami, ujednáními a výlukami ale tato pojistná smlouva kryje materiální škody na majetku nebo ztrátu majetku nebo škodu s časovým prvkem, které jsou přímo způsobeny pojištěným rizikem, a to i v případě, že přímou, nepřímou, společnou nebo souběžnou příčinou škody byl kybernetický incident.</w:t>
      </w:r>
    </w:p>
    <w:p w:rsidR="00923837" w:rsidRPr="00A10E4D" w:rsidRDefault="00923837" w:rsidP="00923837">
      <w:pPr>
        <w:pStyle w:val="Text11"/>
        <w:spacing w:before="120" w:after="0"/>
        <w:ind w:left="709" w:firstLine="0"/>
        <w:jc w:val="left"/>
        <w:rPr>
          <w:sz w:val="20"/>
        </w:rPr>
      </w:pPr>
      <w:r w:rsidRPr="00A10E4D">
        <w:rPr>
          <w:sz w:val="20"/>
          <w:lang w:val="it-IT" w:eastAsia="it-IT"/>
        </w:rPr>
        <w:t>V žádném případě nemůže být za hmotnou škodu ani škodu na majetku považována a z této pojistné smlouvy hrazena ztráta užití, snížení funkčnosti, oprava, náhrada, obnovení nebo znovuvytvoření jakýchkoli dat, a to včetně částky týkající se hodnoty dat, pokud byla přímo způsobena kybernetickým incidentem.</w:t>
      </w:r>
    </w:p>
    <w:p w:rsidR="000160EE" w:rsidRPr="00A10E4D" w:rsidRDefault="000160EE" w:rsidP="00923837">
      <w:pPr>
        <w:pStyle w:val="Text11"/>
        <w:spacing w:before="120" w:after="0"/>
        <w:ind w:left="709" w:firstLine="0"/>
        <w:jc w:val="left"/>
        <w:rPr>
          <w:sz w:val="20"/>
          <w:u w:val="single"/>
          <w:lang w:val="it-IT" w:eastAsia="it-IT"/>
        </w:rPr>
      </w:pPr>
    </w:p>
    <w:p w:rsidR="00923837" w:rsidRPr="00A10E4D" w:rsidRDefault="00923837" w:rsidP="00923837">
      <w:pPr>
        <w:pStyle w:val="Text11"/>
        <w:spacing w:before="120" w:after="0"/>
        <w:ind w:left="709" w:firstLine="0"/>
        <w:jc w:val="left"/>
        <w:rPr>
          <w:sz w:val="20"/>
        </w:rPr>
      </w:pPr>
      <w:r w:rsidRPr="00A10E4D">
        <w:rPr>
          <w:sz w:val="20"/>
          <w:u w:val="single"/>
          <w:lang w:val="it-IT" w:eastAsia="it-IT"/>
        </w:rPr>
        <w:t>Vysvětlení pojmů</w:t>
      </w:r>
    </w:p>
    <w:p w:rsidR="00923837" w:rsidRPr="00A10E4D" w:rsidRDefault="00923837" w:rsidP="00923837">
      <w:pPr>
        <w:pStyle w:val="Text11"/>
        <w:spacing w:before="120" w:after="0"/>
        <w:ind w:left="709" w:firstLine="0"/>
        <w:jc w:val="left"/>
        <w:rPr>
          <w:sz w:val="20"/>
        </w:rPr>
      </w:pPr>
      <w:r w:rsidRPr="00A10E4D">
        <w:rPr>
          <w:b/>
          <w:bCs/>
          <w:sz w:val="20"/>
          <w:lang w:val="it-IT" w:eastAsia="it-IT"/>
        </w:rPr>
        <w:t>Škoda s časovým prvkem</w:t>
      </w:r>
      <w:r w:rsidRPr="00A10E4D">
        <w:rPr>
          <w:sz w:val="20"/>
          <w:lang w:val="it-IT" w:eastAsia="it-IT"/>
        </w:rPr>
        <w:t xml:space="preserve"> je škoda z přerušení provozu, následného přerušení provozu nebo jakákoli následná škoda.</w:t>
      </w:r>
    </w:p>
    <w:p w:rsidR="00923837" w:rsidRPr="00A10E4D" w:rsidRDefault="00923837" w:rsidP="00923837">
      <w:pPr>
        <w:pStyle w:val="Text11"/>
        <w:spacing w:before="120" w:after="0"/>
        <w:ind w:left="709" w:firstLine="0"/>
        <w:jc w:val="left"/>
        <w:rPr>
          <w:sz w:val="20"/>
        </w:rPr>
      </w:pPr>
      <w:r w:rsidRPr="00A10E4D">
        <w:rPr>
          <w:b/>
          <w:bCs/>
          <w:sz w:val="20"/>
          <w:lang w:val="it-IT" w:eastAsia="it-IT"/>
        </w:rPr>
        <w:lastRenderedPageBreak/>
        <w:t>Kybernetický incident</w:t>
      </w:r>
      <w:r w:rsidRPr="00A10E4D">
        <w:rPr>
          <w:sz w:val="20"/>
          <w:lang w:val="it-IT" w:eastAsia="it-IT"/>
        </w:rPr>
        <w:t xml:space="preserve"> zahrnuje: </w:t>
      </w:r>
    </w:p>
    <w:p w:rsidR="00923837" w:rsidRPr="00A10E4D" w:rsidRDefault="00923837" w:rsidP="00923837">
      <w:pPr>
        <w:pStyle w:val="Text11"/>
        <w:keepNext/>
        <w:widowControl/>
        <w:numPr>
          <w:ilvl w:val="0"/>
          <w:numId w:val="43"/>
        </w:numPr>
        <w:snapToGrid w:val="0"/>
        <w:spacing w:before="0" w:after="0"/>
        <w:ind w:left="1134" w:right="284" w:hanging="425"/>
        <w:rPr>
          <w:sz w:val="20"/>
        </w:rPr>
      </w:pPr>
      <w:r w:rsidRPr="00A10E4D">
        <w:rPr>
          <w:sz w:val="20"/>
          <w:lang w:val="it-IT" w:eastAsia="it-IT"/>
        </w:rPr>
        <w:t xml:space="preserve">kybernetický útok, </w:t>
      </w:r>
    </w:p>
    <w:p w:rsidR="00923837" w:rsidRPr="00A10E4D" w:rsidRDefault="00923837" w:rsidP="00923837">
      <w:pPr>
        <w:pStyle w:val="Text11"/>
        <w:keepNext/>
        <w:widowControl/>
        <w:numPr>
          <w:ilvl w:val="0"/>
          <w:numId w:val="43"/>
        </w:numPr>
        <w:snapToGrid w:val="0"/>
        <w:spacing w:before="0" w:after="0"/>
        <w:ind w:left="1134" w:right="284" w:hanging="425"/>
        <w:rPr>
          <w:sz w:val="20"/>
        </w:rPr>
      </w:pPr>
      <w:r w:rsidRPr="00A10E4D">
        <w:rPr>
          <w:sz w:val="20"/>
          <w:lang w:val="it-IT" w:eastAsia="it-IT"/>
        </w:rPr>
        <w:t>změnu, modifikaci, deformaci, zhroucení, zneužití, krádež, ztrátu nebo poškození informačního systému, nebo snížení funkčnosti, dostupnosti nebo činnosti informačního systému,</w:t>
      </w:r>
    </w:p>
    <w:p w:rsidR="00923837" w:rsidRPr="00A10E4D" w:rsidRDefault="00923837" w:rsidP="00923837">
      <w:pPr>
        <w:pStyle w:val="Text11"/>
        <w:keepNext/>
        <w:widowControl/>
        <w:numPr>
          <w:ilvl w:val="0"/>
          <w:numId w:val="43"/>
        </w:numPr>
        <w:snapToGrid w:val="0"/>
        <w:spacing w:before="0" w:after="0"/>
        <w:ind w:left="1134" w:right="284" w:hanging="425"/>
        <w:rPr>
          <w:sz w:val="20"/>
        </w:rPr>
      </w:pPr>
      <w:r w:rsidRPr="00A10E4D">
        <w:rPr>
          <w:sz w:val="20"/>
          <w:lang w:val="it-IT" w:eastAsia="it-IT"/>
        </w:rPr>
        <w:t xml:space="preserve">proniknutí viru do informačního systému. </w:t>
      </w:r>
    </w:p>
    <w:p w:rsidR="00923837" w:rsidRPr="00A10E4D" w:rsidRDefault="00923837" w:rsidP="00923837">
      <w:pPr>
        <w:pStyle w:val="Text11"/>
        <w:spacing w:before="120" w:after="0"/>
        <w:ind w:left="709" w:firstLine="0"/>
        <w:jc w:val="left"/>
        <w:rPr>
          <w:sz w:val="20"/>
        </w:rPr>
      </w:pPr>
      <w:r w:rsidRPr="00A10E4D">
        <w:rPr>
          <w:b/>
          <w:bCs/>
          <w:sz w:val="20"/>
          <w:lang w:val="it-IT" w:eastAsia="it-IT"/>
        </w:rPr>
        <w:t>Kybernetický útok</w:t>
      </w:r>
      <w:r w:rsidRPr="00A10E4D">
        <w:rPr>
          <w:sz w:val="20"/>
          <w:lang w:val="it-IT" w:eastAsia="it-IT"/>
        </w:rPr>
        <w:t xml:space="preserve"> je neoprávněný, záměrný či svévolný čin za účelem vstoupit, změnit, kompromitovat, ovládnout, zbortit, vydírat, poškodit, smazat, zničit, narušit nebo ukrást informační systém, nebo dočasně zamezit informačnímu systému vykonávat původní účel nebo dočasně zamezit přístup jeho původním uživatelům, mimo jiné vytvářením nadměrného provozu v síťových adresách, zneužitím systému nebo síťových slabin, a vytvářením nadměrného a nepřirozeného provozu mezi sítěmi. </w:t>
      </w:r>
    </w:p>
    <w:p w:rsidR="00923837" w:rsidRPr="00A10E4D" w:rsidRDefault="00923837" w:rsidP="00923837">
      <w:pPr>
        <w:pStyle w:val="Text11"/>
        <w:spacing w:before="120" w:after="0"/>
        <w:ind w:left="709" w:firstLine="0"/>
        <w:jc w:val="left"/>
        <w:rPr>
          <w:sz w:val="20"/>
        </w:rPr>
      </w:pPr>
      <w:r w:rsidRPr="00A10E4D">
        <w:rPr>
          <w:b/>
          <w:bCs/>
          <w:sz w:val="20"/>
          <w:lang w:val="it-IT" w:eastAsia="it-IT"/>
        </w:rPr>
        <w:t>Informační systémy</w:t>
      </w:r>
      <w:r w:rsidRPr="00A10E4D">
        <w:rPr>
          <w:sz w:val="20"/>
          <w:lang w:val="it-IT" w:eastAsia="it-IT"/>
        </w:rPr>
        <w:t xml:space="preserve"> jsou jakékoli sítě, data, internetové a počítačové systémy používané ke sdílení, ukládání, zpracování nebo dalšímu komunikování informací. Informační systémy zahrnují mimo jiné internet, počítačové systémy, hardware, mobilní zařízení, počítačové programy, počítačové softwary, data, informační úložiště, cloudové počítačové systémy a datová úložiště, mikročipy, integrované okruhy, nebo podobná zařízení v počítačovém i nepočítačovém vybavení.</w:t>
      </w:r>
    </w:p>
    <w:p w:rsidR="00923837" w:rsidRPr="00A10E4D" w:rsidRDefault="00923837" w:rsidP="00923837">
      <w:pPr>
        <w:pStyle w:val="Text11"/>
        <w:spacing w:before="120" w:after="0"/>
        <w:ind w:left="709" w:firstLine="0"/>
        <w:jc w:val="left"/>
        <w:rPr>
          <w:sz w:val="20"/>
        </w:rPr>
      </w:pPr>
      <w:r w:rsidRPr="00A10E4D">
        <w:rPr>
          <w:b/>
          <w:bCs/>
          <w:sz w:val="20"/>
          <w:lang w:val="it-IT" w:eastAsia="it-IT"/>
        </w:rPr>
        <w:t>Vir</w:t>
      </w:r>
      <w:r w:rsidRPr="00A10E4D">
        <w:rPr>
          <w:sz w:val="20"/>
          <w:lang w:val="it-IT" w:eastAsia="it-IT"/>
        </w:rPr>
        <w:t xml:space="preserve"> je záměrně vytvořený programový kód, programovací instrukce nebo sada instrukcí se schopností poškodit, zasáhnout a jinak nepříznivě ovlivnit počítačové programy, datové soubory nebo operace, a to včetně možnosti replikovat se. Mezi viry patří počítačoví červi, trojští koně, ransomware, spyware, adware, rootkit a jakýkoli další škodlivý typ počítačové kódu nebo počítačového programu. </w:t>
      </w:r>
    </w:p>
    <w:p w:rsidR="0039167C" w:rsidRPr="00A10E4D" w:rsidRDefault="00923837" w:rsidP="0039167C">
      <w:pPr>
        <w:pStyle w:val="Text11"/>
        <w:spacing w:before="120" w:after="0"/>
        <w:ind w:left="709" w:firstLine="0"/>
        <w:jc w:val="left"/>
        <w:rPr>
          <w:sz w:val="20"/>
          <w:lang w:val="it-IT" w:eastAsia="it-IT"/>
        </w:rPr>
      </w:pPr>
      <w:r w:rsidRPr="00A10E4D">
        <w:rPr>
          <w:b/>
          <w:bCs/>
          <w:sz w:val="20"/>
          <w:lang w:val="it-IT" w:eastAsia="it-IT"/>
        </w:rPr>
        <w:t>Data</w:t>
      </w:r>
      <w:r w:rsidRPr="00A10E4D">
        <w:rPr>
          <w:sz w:val="20"/>
          <w:lang w:val="it-IT" w:eastAsia="it-IT"/>
        </w:rPr>
        <w:t xml:space="preserve"> jsou informace, fakta, koncepty, kódy nebo informace jiného druhu, která jsou nahrávána nebo přenášena v takové formě, aby mohla být použita, zpřístupněna, zpracována, přenesena nebo uložena v informačním systému.</w:t>
      </w:r>
    </w:p>
    <w:p w:rsidR="0039167C" w:rsidRPr="00A10E4D" w:rsidRDefault="0039167C" w:rsidP="0039167C">
      <w:pPr>
        <w:pStyle w:val="Text11"/>
        <w:spacing w:before="120" w:after="0"/>
        <w:ind w:left="709" w:firstLine="0"/>
        <w:jc w:val="left"/>
        <w:rPr>
          <w:rFonts w:cs="Arial"/>
        </w:rPr>
      </w:pPr>
    </w:p>
    <w:p w:rsidR="000160EE" w:rsidRPr="00A10E4D" w:rsidRDefault="000160EE" w:rsidP="0039167C">
      <w:pPr>
        <w:pStyle w:val="Text11"/>
        <w:spacing w:before="120" w:after="0"/>
        <w:ind w:left="709" w:firstLine="0"/>
        <w:jc w:val="left"/>
        <w:rPr>
          <w:sz w:val="20"/>
        </w:rPr>
      </w:pPr>
      <w:r w:rsidRPr="00A10E4D">
        <w:rPr>
          <w:rFonts w:cs="Arial"/>
          <w:sz w:val="20"/>
        </w:rPr>
        <w:t xml:space="preserve">Pojistné za pojistné období od 01. 02. 2023 do 30. 06. 2023 ve výši </w:t>
      </w:r>
      <w:r w:rsidR="002B75FE" w:rsidRPr="00A10E4D">
        <w:rPr>
          <w:rFonts w:cs="Arial"/>
          <w:sz w:val="20"/>
        </w:rPr>
        <w:t>79 021</w:t>
      </w:r>
      <w:r w:rsidRPr="00A10E4D">
        <w:rPr>
          <w:rFonts w:cs="Arial"/>
          <w:sz w:val="20"/>
        </w:rPr>
        <w:t>,-Kč je splatné k 01. 02. 2023 na</w:t>
      </w:r>
      <w:r w:rsidR="0039167C" w:rsidRPr="00A10E4D">
        <w:rPr>
          <w:rFonts w:cs="Arial"/>
          <w:sz w:val="20"/>
        </w:rPr>
        <w:t xml:space="preserve"> </w:t>
      </w:r>
      <w:r w:rsidRPr="00A10E4D">
        <w:rPr>
          <w:rFonts w:cs="Arial"/>
          <w:sz w:val="20"/>
        </w:rPr>
        <w:t>účet zplnomocněného makléře.</w:t>
      </w:r>
    </w:p>
    <w:p w:rsidR="000160EE" w:rsidRPr="00A10E4D" w:rsidRDefault="000160EE" w:rsidP="000160EE">
      <w:pPr>
        <w:tabs>
          <w:tab w:val="right" w:pos="2268"/>
          <w:tab w:val="left" w:pos="2410"/>
          <w:tab w:val="left" w:pos="2694"/>
          <w:tab w:val="left" w:pos="3969"/>
          <w:tab w:val="right" w:pos="5670"/>
          <w:tab w:val="left" w:pos="6663"/>
          <w:tab w:val="right" w:pos="9072"/>
        </w:tabs>
        <w:rPr>
          <w:rFonts w:ascii="Arial" w:hAnsi="Arial" w:cs="Arial"/>
        </w:rPr>
      </w:pPr>
    </w:p>
    <w:p w:rsidR="000160EE" w:rsidRPr="00A10E4D" w:rsidRDefault="000160E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A10E4D">
        <w:rPr>
          <w:rFonts w:ascii="Arial" w:hAnsi="Arial" w:cs="Arial"/>
        </w:rPr>
        <w:t>Ostatní články pojistné smlouvy se nemění.</w:t>
      </w:r>
    </w:p>
    <w:p w:rsidR="000160EE" w:rsidRPr="00A10E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p>
    <w:p w:rsidR="000160EE" w:rsidRPr="00A10E4D" w:rsidRDefault="000160E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A10E4D">
        <w:rPr>
          <w:rFonts w:ascii="Arial" w:hAnsi="Arial" w:cs="Arial"/>
        </w:rPr>
        <w:t>Tento dodatek vstupuje v účinnost dne 01. 01. 2023 a je platný dnem podpisu obou smluvních stran.</w:t>
      </w:r>
    </w:p>
    <w:p w:rsidR="000160EE" w:rsidRPr="00A10E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p>
    <w:p w:rsidR="000160EE" w:rsidRPr="00A10E4D" w:rsidRDefault="002B75F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A10E4D">
        <w:rPr>
          <w:rFonts w:ascii="Arial" w:hAnsi="Arial" w:cs="Arial"/>
        </w:rPr>
        <w:t>Tento dodatek obsahuje 3</w:t>
      </w:r>
      <w:r w:rsidR="000160EE" w:rsidRPr="00A10E4D">
        <w:rPr>
          <w:rFonts w:ascii="Arial" w:hAnsi="Arial" w:cs="Arial"/>
        </w:rPr>
        <w:t xml:space="preserve"> strany a je vystaven v elektronické podobě v </w:t>
      </w:r>
      <w:proofErr w:type="spellStart"/>
      <w:r w:rsidR="000160EE" w:rsidRPr="00A10E4D">
        <w:rPr>
          <w:rFonts w:ascii="Arial" w:hAnsi="Arial" w:cs="Arial"/>
        </w:rPr>
        <w:t>pdf</w:t>
      </w:r>
      <w:proofErr w:type="spellEnd"/>
      <w:r w:rsidR="000160EE" w:rsidRPr="00A10E4D">
        <w:rPr>
          <w:rFonts w:ascii="Arial" w:hAnsi="Arial" w:cs="Arial"/>
        </w:rPr>
        <w:t xml:space="preserve"> formátu, podepsaný nejdříve pojišťovnou a následně pojistníkem zaručeným elektronickým podpisem. </w:t>
      </w:r>
    </w:p>
    <w:p w:rsidR="000160EE" w:rsidRPr="00A10E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r w:rsidRPr="00A10E4D">
        <w:rPr>
          <w:rFonts w:ascii="Arial" w:hAnsi="Arial" w:cs="Arial"/>
        </w:rPr>
        <w:t>Pojistník po svém podpisu odešle pojišťovně dodatek podepsaný všemi smluvními stranami e-mailem, případně prostřednictvím pojišťovacího zprostředkovatele, na adresu petra.pospisilova2@generaliceska.cz</w:t>
      </w:r>
    </w:p>
    <w:p w:rsidR="00731726" w:rsidRPr="00A10E4D" w:rsidRDefault="00731726" w:rsidP="009D087B">
      <w:pPr>
        <w:tabs>
          <w:tab w:val="left" w:pos="3119"/>
          <w:tab w:val="right" w:pos="6237"/>
        </w:tabs>
        <w:rPr>
          <w:rFonts w:ascii="Arial" w:hAnsi="Arial"/>
        </w:rPr>
      </w:pPr>
    </w:p>
    <w:p w:rsidR="0039167C" w:rsidRPr="00A10E4D" w:rsidRDefault="0039167C" w:rsidP="009D087B">
      <w:pPr>
        <w:tabs>
          <w:tab w:val="left" w:pos="3119"/>
          <w:tab w:val="right" w:pos="6237"/>
        </w:tabs>
        <w:rPr>
          <w:rFonts w:ascii="Arial" w:hAnsi="Arial"/>
        </w:rPr>
      </w:pPr>
    </w:p>
    <w:p w:rsidR="009D087B" w:rsidRPr="00A10E4D" w:rsidRDefault="009D087B" w:rsidP="009D087B">
      <w:pPr>
        <w:outlineLvl w:val="0"/>
        <w:rPr>
          <w:rFonts w:ascii="Arial" w:hAnsi="Arial"/>
        </w:rPr>
      </w:pPr>
      <w:r w:rsidRPr="00A10E4D">
        <w:rPr>
          <w:rFonts w:ascii="Arial" w:hAnsi="Arial"/>
        </w:rPr>
        <w:t>V Praze</w:t>
      </w:r>
      <w:r w:rsidRPr="00A10E4D">
        <w:rPr>
          <w:rFonts w:ascii="Arial" w:hAnsi="Arial"/>
          <w:color w:val="FF0000"/>
        </w:rPr>
        <w:tab/>
      </w:r>
      <w:r w:rsidRPr="00A10E4D">
        <w:rPr>
          <w:rFonts w:ascii="Arial" w:hAnsi="Arial"/>
          <w:color w:val="FF0000"/>
        </w:rPr>
        <w:tab/>
      </w:r>
      <w:r w:rsidRPr="00A10E4D">
        <w:rPr>
          <w:rFonts w:ascii="Arial" w:hAnsi="Arial"/>
          <w:color w:val="FF0000"/>
        </w:rPr>
        <w:tab/>
      </w:r>
      <w:r w:rsidRPr="00A10E4D">
        <w:rPr>
          <w:rFonts w:ascii="Arial" w:hAnsi="Arial"/>
          <w:color w:val="FF0000"/>
        </w:rPr>
        <w:tab/>
      </w:r>
      <w:r w:rsidRPr="00A10E4D">
        <w:rPr>
          <w:rFonts w:ascii="Arial" w:hAnsi="Arial"/>
        </w:rPr>
        <w:tab/>
      </w:r>
      <w:r w:rsidRPr="00A10E4D">
        <w:rPr>
          <w:rFonts w:ascii="Arial" w:hAnsi="Arial"/>
        </w:rPr>
        <w:tab/>
      </w:r>
      <w:r w:rsidRPr="00A10E4D">
        <w:rPr>
          <w:rFonts w:ascii="Arial" w:hAnsi="Arial"/>
        </w:rPr>
        <w:tab/>
      </w:r>
    </w:p>
    <w:p w:rsidR="009D087B" w:rsidRPr="00A10E4D" w:rsidRDefault="009D087B" w:rsidP="009D087B">
      <w:pPr>
        <w:outlineLvl w:val="0"/>
        <w:rPr>
          <w:rFonts w:ascii="Arial" w:hAnsi="Arial"/>
        </w:rPr>
      </w:pPr>
    </w:p>
    <w:p w:rsidR="00A03601" w:rsidRPr="00A10E4D" w:rsidRDefault="00A03601" w:rsidP="009D087B">
      <w:pPr>
        <w:tabs>
          <w:tab w:val="left" w:pos="3119"/>
          <w:tab w:val="right" w:pos="6237"/>
        </w:tabs>
        <w:rPr>
          <w:rFonts w:ascii="Arial" w:hAnsi="Arial"/>
        </w:rPr>
      </w:pPr>
    </w:p>
    <w:p w:rsidR="0039167C" w:rsidRPr="00A10E4D" w:rsidRDefault="0039167C" w:rsidP="009D087B">
      <w:pPr>
        <w:tabs>
          <w:tab w:val="left" w:pos="3119"/>
          <w:tab w:val="right" w:pos="6237"/>
        </w:tabs>
        <w:rPr>
          <w:rFonts w:ascii="Arial" w:hAnsi="Arial"/>
        </w:rPr>
      </w:pPr>
    </w:p>
    <w:p w:rsidR="0039167C" w:rsidRPr="00A10E4D" w:rsidRDefault="0039167C" w:rsidP="009D087B">
      <w:pPr>
        <w:tabs>
          <w:tab w:val="left" w:pos="3119"/>
          <w:tab w:val="right" w:pos="6237"/>
        </w:tabs>
        <w:rPr>
          <w:rFonts w:ascii="Arial" w:hAnsi="Arial"/>
        </w:rPr>
      </w:pPr>
    </w:p>
    <w:p w:rsidR="0039167C" w:rsidRPr="00A10E4D" w:rsidRDefault="0039167C" w:rsidP="009D087B">
      <w:pPr>
        <w:tabs>
          <w:tab w:val="left" w:pos="3119"/>
          <w:tab w:val="right" w:pos="6237"/>
        </w:tabs>
        <w:rPr>
          <w:rFonts w:ascii="Arial" w:hAnsi="Arial"/>
        </w:rPr>
      </w:pPr>
    </w:p>
    <w:p w:rsidR="009D087B" w:rsidRPr="00A10E4D" w:rsidRDefault="009D087B" w:rsidP="009D087B">
      <w:pPr>
        <w:tabs>
          <w:tab w:val="left" w:pos="3119"/>
          <w:tab w:val="right" w:pos="6237"/>
        </w:tabs>
        <w:rPr>
          <w:rFonts w:ascii="Arial" w:hAnsi="Arial"/>
        </w:rPr>
      </w:pPr>
    </w:p>
    <w:p w:rsidR="009D087B" w:rsidRPr="00A10E4D" w:rsidRDefault="009D087B" w:rsidP="009D087B">
      <w:pPr>
        <w:rPr>
          <w:rFonts w:ascii="Arial" w:hAnsi="Arial"/>
        </w:rPr>
      </w:pPr>
      <w:r w:rsidRPr="00A10E4D">
        <w:rPr>
          <w:rFonts w:ascii="Arial" w:hAnsi="Arial"/>
        </w:rPr>
        <w:t>………………………………………….</w:t>
      </w:r>
      <w:r w:rsidRPr="00A10E4D">
        <w:rPr>
          <w:rFonts w:ascii="Arial" w:hAnsi="Arial"/>
        </w:rPr>
        <w:tab/>
      </w:r>
      <w:r w:rsidRPr="00A10E4D">
        <w:rPr>
          <w:rFonts w:ascii="Arial" w:hAnsi="Arial"/>
        </w:rPr>
        <w:tab/>
      </w:r>
      <w:r w:rsidRPr="00A10E4D">
        <w:rPr>
          <w:rFonts w:ascii="Arial" w:hAnsi="Arial"/>
        </w:rPr>
        <w:tab/>
        <w:t>………………………………………….</w:t>
      </w:r>
    </w:p>
    <w:p w:rsidR="009D087B" w:rsidRPr="00A10E4D" w:rsidRDefault="009D087B" w:rsidP="009D087B">
      <w:pPr>
        <w:rPr>
          <w:rFonts w:ascii="Arial" w:hAnsi="Arial" w:cs="Arial"/>
        </w:rPr>
      </w:pPr>
      <w:proofErr w:type="spellStart"/>
      <w:r w:rsidRPr="00A10E4D">
        <w:rPr>
          <w:rFonts w:ascii="Arial" w:hAnsi="Arial"/>
        </w:rPr>
        <w:t>Generali</w:t>
      </w:r>
      <w:proofErr w:type="spellEnd"/>
      <w:r w:rsidRPr="00A10E4D">
        <w:rPr>
          <w:rFonts w:ascii="Arial" w:hAnsi="Arial"/>
        </w:rPr>
        <w:t xml:space="preserve"> </w:t>
      </w:r>
      <w:r w:rsidR="00A3559A" w:rsidRPr="00A10E4D">
        <w:rPr>
          <w:rFonts w:ascii="Arial" w:hAnsi="Arial"/>
        </w:rPr>
        <w:t>Česká p</w:t>
      </w:r>
      <w:r w:rsidRPr="00A10E4D">
        <w:rPr>
          <w:rFonts w:ascii="Arial" w:hAnsi="Arial"/>
        </w:rPr>
        <w:t>ojišťovna a. s.</w:t>
      </w:r>
      <w:r w:rsidRPr="00A10E4D">
        <w:rPr>
          <w:rFonts w:ascii="Arial" w:hAnsi="Arial"/>
        </w:rPr>
        <w:tab/>
      </w:r>
      <w:r w:rsidRPr="00A10E4D">
        <w:rPr>
          <w:rFonts w:ascii="Arial" w:hAnsi="Arial"/>
        </w:rPr>
        <w:tab/>
      </w:r>
      <w:r w:rsidRPr="00A10E4D">
        <w:rPr>
          <w:rFonts w:ascii="Arial" w:hAnsi="Arial"/>
        </w:rPr>
        <w:tab/>
      </w:r>
      <w:r w:rsidRPr="00A10E4D">
        <w:rPr>
          <w:rFonts w:ascii="Arial" w:hAnsi="Arial"/>
        </w:rPr>
        <w:tab/>
      </w:r>
      <w:r w:rsidRPr="00A10E4D">
        <w:rPr>
          <w:rFonts w:ascii="Arial" w:hAnsi="Arial" w:cs="Arial"/>
        </w:rPr>
        <w:t xml:space="preserve">Mikrobiologický ústav AV ČR, </w:t>
      </w:r>
      <w:proofErr w:type="spellStart"/>
      <w:proofErr w:type="gramStart"/>
      <w:r w:rsidRPr="00A10E4D">
        <w:rPr>
          <w:rFonts w:ascii="Arial" w:hAnsi="Arial" w:cs="Arial"/>
        </w:rPr>
        <w:t>v.v.</w:t>
      </w:r>
      <w:proofErr w:type="gramEnd"/>
      <w:r w:rsidRPr="00A10E4D">
        <w:rPr>
          <w:rFonts w:ascii="Arial" w:hAnsi="Arial" w:cs="Arial"/>
        </w:rPr>
        <w:t>i</w:t>
      </w:r>
      <w:proofErr w:type="spellEnd"/>
      <w:r w:rsidRPr="00A10E4D">
        <w:rPr>
          <w:rFonts w:ascii="Arial" w:hAnsi="Arial" w:cs="Arial"/>
        </w:rPr>
        <w:t xml:space="preserve">. </w:t>
      </w:r>
    </w:p>
    <w:p w:rsidR="009D087B" w:rsidRPr="00A10E4D" w:rsidRDefault="00A3559A" w:rsidP="009D087B">
      <w:pPr>
        <w:tabs>
          <w:tab w:val="left" w:pos="4962"/>
        </w:tabs>
        <w:rPr>
          <w:rFonts w:ascii="Arial" w:hAnsi="Arial"/>
          <w:sz w:val="18"/>
          <w:szCs w:val="18"/>
        </w:rPr>
      </w:pPr>
      <w:r w:rsidRPr="00A10E4D">
        <w:rPr>
          <w:rFonts w:ascii="Arial" w:hAnsi="Arial"/>
          <w:sz w:val="18"/>
          <w:szCs w:val="18"/>
        </w:rPr>
        <w:t>Mgr. Jiří Pavlas</w:t>
      </w:r>
      <w:r w:rsidR="009D087B" w:rsidRPr="00A10E4D">
        <w:rPr>
          <w:rFonts w:ascii="Arial" w:hAnsi="Arial"/>
          <w:sz w:val="18"/>
          <w:szCs w:val="18"/>
        </w:rPr>
        <w:t xml:space="preserve">, </w:t>
      </w:r>
      <w:r w:rsidRPr="00A10E4D">
        <w:rPr>
          <w:rFonts w:ascii="Arial" w:hAnsi="Arial"/>
          <w:sz w:val="18"/>
          <w:szCs w:val="18"/>
        </w:rPr>
        <w:t>Martin Peroutka</w:t>
      </w:r>
      <w:r w:rsidR="009D087B" w:rsidRPr="00A10E4D">
        <w:rPr>
          <w:rFonts w:ascii="Arial" w:hAnsi="Arial"/>
          <w:sz w:val="18"/>
          <w:szCs w:val="18"/>
        </w:rPr>
        <w:tab/>
      </w:r>
      <w:r w:rsidR="009D087B" w:rsidRPr="00A10E4D">
        <w:rPr>
          <w:rFonts w:ascii="Arial" w:hAnsi="Arial"/>
          <w:sz w:val="18"/>
          <w:szCs w:val="18"/>
        </w:rPr>
        <w:tab/>
      </w:r>
      <w:r w:rsidR="009C1067" w:rsidRPr="00A10E4D">
        <w:rPr>
          <w:rFonts w:ascii="Arial" w:hAnsi="Arial"/>
          <w:sz w:val="18"/>
          <w:szCs w:val="18"/>
        </w:rPr>
        <w:t>Ing. Jiří Hašek</w:t>
      </w:r>
      <w:r w:rsidR="009C1067" w:rsidRPr="00A10E4D">
        <w:rPr>
          <w:rFonts w:ascii="Arial" w:hAnsi="Arial" w:cs="Arial"/>
          <w:sz w:val="18"/>
          <w:szCs w:val="18"/>
        </w:rPr>
        <w:t>, CSc</w:t>
      </w:r>
      <w:r w:rsidR="009D087B" w:rsidRPr="00A10E4D">
        <w:rPr>
          <w:rFonts w:ascii="Arial" w:hAnsi="Arial" w:cs="Arial"/>
          <w:sz w:val="18"/>
          <w:szCs w:val="18"/>
        </w:rPr>
        <w:t>.</w:t>
      </w:r>
    </w:p>
    <w:p w:rsidR="009D087B" w:rsidRPr="00A10E4D" w:rsidRDefault="009D087B" w:rsidP="009D087B">
      <w:pPr>
        <w:tabs>
          <w:tab w:val="left" w:pos="4962"/>
        </w:tabs>
        <w:rPr>
          <w:rFonts w:ascii="Arial" w:hAnsi="Arial"/>
          <w:sz w:val="18"/>
          <w:szCs w:val="18"/>
        </w:rPr>
      </w:pPr>
      <w:r w:rsidRPr="00A10E4D">
        <w:rPr>
          <w:rFonts w:ascii="Arial" w:hAnsi="Arial"/>
          <w:sz w:val="18"/>
          <w:szCs w:val="18"/>
        </w:rPr>
        <w:t>Korporátní a průmyslové pojištění</w:t>
      </w:r>
      <w:r w:rsidRPr="00A10E4D">
        <w:rPr>
          <w:rFonts w:ascii="Arial" w:hAnsi="Arial"/>
          <w:sz w:val="18"/>
          <w:szCs w:val="18"/>
        </w:rPr>
        <w:tab/>
      </w:r>
      <w:r w:rsidRPr="00A10E4D">
        <w:rPr>
          <w:rFonts w:ascii="Arial" w:hAnsi="Arial"/>
          <w:sz w:val="18"/>
          <w:szCs w:val="18"/>
        </w:rPr>
        <w:tab/>
        <w:t>ředitel ústavu</w:t>
      </w:r>
    </w:p>
    <w:p w:rsidR="009D087B" w:rsidRPr="00A10E4D" w:rsidRDefault="009D087B" w:rsidP="009D087B">
      <w:pPr>
        <w:tabs>
          <w:tab w:val="left" w:pos="4962"/>
        </w:tabs>
        <w:rPr>
          <w:rFonts w:ascii="Arial" w:hAnsi="Arial"/>
          <w:sz w:val="16"/>
          <w:szCs w:val="16"/>
        </w:rPr>
      </w:pPr>
      <w:r w:rsidRPr="00A10E4D">
        <w:rPr>
          <w:rFonts w:ascii="Arial" w:hAnsi="Arial"/>
          <w:sz w:val="16"/>
          <w:szCs w:val="16"/>
        </w:rPr>
        <w:t>(pojistitel)</w:t>
      </w:r>
      <w:r w:rsidRPr="00A10E4D">
        <w:rPr>
          <w:rFonts w:ascii="Arial" w:hAnsi="Arial" w:cs="Arial"/>
          <w:sz w:val="16"/>
          <w:szCs w:val="16"/>
        </w:rPr>
        <w:tab/>
      </w:r>
      <w:r w:rsidRPr="00A10E4D">
        <w:rPr>
          <w:rFonts w:ascii="Arial" w:hAnsi="Arial"/>
          <w:sz w:val="16"/>
          <w:szCs w:val="16"/>
        </w:rPr>
        <w:tab/>
        <w:t>(pojistník / pojištěný)</w:t>
      </w:r>
    </w:p>
    <w:p w:rsidR="009D087B" w:rsidRPr="00A10E4D" w:rsidRDefault="009D087B" w:rsidP="009D087B">
      <w:pPr>
        <w:tabs>
          <w:tab w:val="left" w:pos="993"/>
          <w:tab w:val="right" w:pos="5103"/>
        </w:tabs>
        <w:rPr>
          <w:rFonts w:ascii="Arial" w:hAnsi="Arial" w:cs="Arial"/>
          <w:sz w:val="16"/>
        </w:rPr>
      </w:pPr>
    </w:p>
    <w:p w:rsidR="007735C3" w:rsidRPr="00A10E4D" w:rsidRDefault="007735C3" w:rsidP="009D087B">
      <w:pPr>
        <w:tabs>
          <w:tab w:val="left" w:pos="993"/>
          <w:tab w:val="right" w:pos="5103"/>
        </w:tabs>
        <w:rPr>
          <w:rFonts w:ascii="Arial" w:hAnsi="Arial" w:cs="Arial"/>
          <w:sz w:val="16"/>
        </w:rPr>
      </w:pPr>
    </w:p>
    <w:p w:rsidR="00DA6DC3" w:rsidRPr="007735C3" w:rsidRDefault="009D087B" w:rsidP="009D087B">
      <w:pPr>
        <w:tabs>
          <w:tab w:val="left" w:pos="3119"/>
          <w:tab w:val="right" w:pos="6237"/>
        </w:tabs>
        <w:rPr>
          <w:rFonts w:ascii="Arial" w:hAnsi="Arial"/>
          <w:sz w:val="16"/>
          <w:szCs w:val="16"/>
        </w:rPr>
      </w:pPr>
      <w:r w:rsidRPr="00A10E4D">
        <w:rPr>
          <w:rFonts w:ascii="Arial" w:hAnsi="Arial" w:cs="Arial"/>
          <w:sz w:val="16"/>
          <w:szCs w:val="16"/>
        </w:rPr>
        <w:t xml:space="preserve">Vystavil: Ing. </w:t>
      </w:r>
      <w:r w:rsidR="00A3559A" w:rsidRPr="00A10E4D">
        <w:rPr>
          <w:rFonts w:ascii="Arial" w:hAnsi="Arial" w:cs="Arial"/>
          <w:sz w:val="16"/>
          <w:szCs w:val="16"/>
        </w:rPr>
        <w:t>Petra Pospíšilová</w:t>
      </w:r>
      <w:r w:rsidR="007735C3" w:rsidRPr="00A10E4D">
        <w:rPr>
          <w:rFonts w:ascii="Arial" w:hAnsi="Arial" w:cs="Arial"/>
          <w:sz w:val="16"/>
          <w:szCs w:val="16"/>
        </w:rPr>
        <w:t>, Korporátní a průmyslové pojištění</w:t>
      </w:r>
    </w:p>
    <w:p w:rsidR="00DA6DC3" w:rsidRDefault="00DA6DC3" w:rsidP="00E92174">
      <w:pPr>
        <w:tabs>
          <w:tab w:val="left" w:pos="3119"/>
          <w:tab w:val="right" w:pos="6237"/>
        </w:tabs>
        <w:rPr>
          <w:rFonts w:ascii="Arial" w:hAnsi="Arial"/>
        </w:rPr>
      </w:pPr>
    </w:p>
    <w:sectPr w:rsidR="00DA6DC3" w:rsidSect="00A03601">
      <w:headerReference w:type="default" r:id="rId9"/>
      <w:footerReference w:type="default" r:id="rId10"/>
      <w:headerReference w:type="first" r:id="rId11"/>
      <w:pgSz w:w="11907" w:h="16840" w:code="9"/>
      <w:pgMar w:top="851" w:right="1134" w:bottom="680" w:left="1134" w:header="1644"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BE" w:rsidRDefault="00A61FBE">
      <w:r>
        <w:separator/>
      </w:r>
    </w:p>
  </w:endnote>
  <w:endnote w:type="continuationSeparator" w:id="0">
    <w:p w:rsidR="00A61FBE" w:rsidRDefault="00A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RTMRV+Generali-Light">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_CE">
    <w:altName w:val="Arial"/>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Pr="00EF7CB1" w:rsidRDefault="00ED16C9">
    <w:pPr>
      <w:pStyle w:val="Zpat"/>
      <w:jc w:val="center"/>
      <w:rPr>
        <w:rFonts w:ascii="Arial" w:hAnsi="Arial" w:cs="Arial"/>
        <w:sz w:val="16"/>
      </w:rPr>
    </w:pPr>
    <w:r w:rsidRPr="00EF7CB1">
      <w:rPr>
        <w:rStyle w:val="slostrnky"/>
        <w:rFonts w:ascii="Arial" w:hAnsi="Arial" w:cs="Arial"/>
        <w:snapToGrid w:val="0"/>
        <w:sz w:val="16"/>
      </w:rPr>
      <w:t xml:space="preserve">Strana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PAGE </w:instrText>
    </w:r>
    <w:r w:rsidRPr="00EF7CB1">
      <w:rPr>
        <w:rStyle w:val="slostrnky"/>
        <w:rFonts w:ascii="Arial" w:hAnsi="Arial" w:cs="Arial"/>
        <w:snapToGrid w:val="0"/>
        <w:sz w:val="16"/>
      </w:rPr>
      <w:fldChar w:fldCharType="separate"/>
    </w:r>
    <w:r w:rsidR="00A10E4D">
      <w:rPr>
        <w:rStyle w:val="slostrnky"/>
        <w:rFonts w:ascii="Arial" w:hAnsi="Arial" w:cs="Arial"/>
        <w:noProof/>
        <w:snapToGrid w:val="0"/>
        <w:sz w:val="16"/>
      </w:rPr>
      <w:t>3</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 xml:space="preserve"> (celkem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NUMPAGES </w:instrText>
    </w:r>
    <w:r w:rsidRPr="00EF7CB1">
      <w:rPr>
        <w:rStyle w:val="slostrnky"/>
        <w:rFonts w:ascii="Arial" w:hAnsi="Arial" w:cs="Arial"/>
        <w:snapToGrid w:val="0"/>
        <w:sz w:val="16"/>
      </w:rPr>
      <w:fldChar w:fldCharType="separate"/>
    </w:r>
    <w:r w:rsidR="00A10E4D">
      <w:rPr>
        <w:rStyle w:val="slostrnky"/>
        <w:rFonts w:ascii="Arial" w:hAnsi="Arial" w:cs="Arial"/>
        <w:noProof/>
        <w:snapToGrid w:val="0"/>
        <w:sz w:val="16"/>
      </w:rPr>
      <w:t>3</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w:t>
    </w:r>
    <w:r w:rsidRPr="00EF7CB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BE" w:rsidRDefault="00A61FBE">
      <w:r>
        <w:separator/>
      </w:r>
    </w:p>
  </w:footnote>
  <w:footnote w:type="continuationSeparator" w:id="0">
    <w:p w:rsidR="00A61FBE" w:rsidRDefault="00A6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Default="00ED16C9">
    <w:pPr>
      <w:pStyle w:val="Zhlav"/>
    </w:pPr>
  </w:p>
  <w:p w:rsidR="00ED16C9" w:rsidRDefault="00ED16C9">
    <w:pPr>
      <w:pStyle w:val="Zhlav"/>
    </w:pPr>
  </w:p>
  <w:p w:rsidR="00AF403B" w:rsidRDefault="00AF40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C9" w:rsidRDefault="00ED16C9">
    <w:pPr>
      <w:pStyle w:val="Zhlav"/>
    </w:pPr>
    <w:r>
      <w:rPr>
        <w:noProof/>
      </w:rPr>
      <w:drawing>
        <wp:anchor distT="0" distB="0" distL="114300" distR="114300" simplePos="0" relativeHeight="251658240" behindDoc="1" locked="0" layoutInCell="1" allowOverlap="1">
          <wp:simplePos x="0" y="0"/>
          <wp:positionH relativeFrom="page">
            <wp:posOffset>246380</wp:posOffset>
          </wp:positionH>
          <wp:positionV relativeFrom="page">
            <wp:posOffset>133350</wp:posOffset>
          </wp:positionV>
          <wp:extent cx="8649335" cy="1162050"/>
          <wp:effectExtent l="0" t="0" r="635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b="90495"/>
                  <a:stretch>
                    <a:fillRect/>
                  </a:stretch>
                </pic:blipFill>
                <pic:spPr bwMode="auto">
                  <a:xfrm>
                    <a:off x="0" y="0"/>
                    <a:ext cx="86493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54446"/>
    <w:multiLevelType w:val="hybridMultilevel"/>
    <w:tmpl w:val="09B844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0464A3"/>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75610E1"/>
    <w:multiLevelType w:val="multilevel"/>
    <w:tmpl w:val="2834B0A0"/>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DD7B44"/>
    <w:multiLevelType w:val="hybridMultilevel"/>
    <w:tmpl w:val="A5206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5E2CA1"/>
    <w:multiLevelType w:val="hybridMultilevel"/>
    <w:tmpl w:val="34F029C2"/>
    <w:lvl w:ilvl="0" w:tplc="DFEC0AE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D5949"/>
    <w:multiLevelType w:val="hybridMultilevel"/>
    <w:tmpl w:val="FE545F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C65F93"/>
    <w:multiLevelType w:val="hybridMultilevel"/>
    <w:tmpl w:val="6D26AE36"/>
    <w:lvl w:ilvl="0" w:tplc="067639F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FC7341"/>
    <w:multiLevelType w:val="multilevel"/>
    <w:tmpl w:val="16F40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1E3CA4"/>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2DF1350E"/>
    <w:multiLevelType w:val="hybridMultilevel"/>
    <w:tmpl w:val="16F40F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67245F"/>
    <w:multiLevelType w:val="hybridMultilevel"/>
    <w:tmpl w:val="ACB295F0"/>
    <w:lvl w:ilvl="0" w:tplc="5874F36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3A7951"/>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20"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DA5C48"/>
    <w:multiLevelType w:val="hybridMultilevel"/>
    <w:tmpl w:val="37541234"/>
    <w:lvl w:ilvl="0" w:tplc="DA86DCDC">
      <w:start w:val="1"/>
      <w:numFmt w:val="decimal"/>
      <w:lvlText w:val="%1."/>
      <w:lvlJc w:val="left"/>
      <w:pPr>
        <w:tabs>
          <w:tab w:val="num" w:pos="567"/>
        </w:tabs>
        <w:ind w:left="567" w:hanging="56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A7093C"/>
    <w:multiLevelType w:val="hybridMultilevel"/>
    <w:tmpl w:val="D326F2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46F85"/>
    <w:multiLevelType w:val="hybridMultilevel"/>
    <w:tmpl w:val="FDE83B02"/>
    <w:lvl w:ilvl="0" w:tplc="2F9000C6">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300E54"/>
    <w:multiLevelType w:val="hybridMultilevel"/>
    <w:tmpl w:val="4C944C58"/>
    <w:lvl w:ilvl="0" w:tplc="0D1A18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1454B4"/>
    <w:multiLevelType w:val="singleLevel"/>
    <w:tmpl w:val="8B8AC766"/>
    <w:lvl w:ilvl="0">
      <w:start w:val="1"/>
      <w:numFmt w:val="decimal"/>
      <w:lvlText w:val="%1."/>
      <w:lvlJc w:val="left"/>
      <w:pPr>
        <w:tabs>
          <w:tab w:val="num" w:pos="420"/>
        </w:tabs>
        <w:ind w:left="420" w:hanging="420"/>
      </w:pPr>
      <w:rPr>
        <w:rFonts w:hint="default"/>
      </w:rPr>
    </w:lvl>
  </w:abstractNum>
  <w:abstractNum w:abstractNumId="26"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7" w15:restartNumberingAfterBreak="0">
    <w:nsid w:val="4B40134A"/>
    <w:multiLevelType w:val="hybridMultilevel"/>
    <w:tmpl w:val="470E62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5C4E4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60D930D2"/>
    <w:multiLevelType w:val="hybridMultilevel"/>
    <w:tmpl w:val="588A291A"/>
    <w:lvl w:ilvl="0" w:tplc="04050001">
      <w:start w:val="1"/>
      <w:numFmt w:val="bullet"/>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1D27A81"/>
    <w:multiLevelType w:val="hybridMultilevel"/>
    <w:tmpl w:val="0200F326"/>
    <w:lvl w:ilvl="0" w:tplc="A138498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21453D"/>
    <w:multiLevelType w:val="hybridMultilevel"/>
    <w:tmpl w:val="0B028B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696C27BA"/>
    <w:multiLevelType w:val="hybridMultilevel"/>
    <w:tmpl w:val="CF466472"/>
    <w:lvl w:ilvl="0" w:tplc="1EFE7CF8">
      <w:start w:val="3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5"/>
  </w:num>
  <w:num w:numId="4">
    <w:abstractNumId w:val="9"/>
  </w:num>
  <w:num w:numId="5">
    <w:abstractNumId w:val="13"/>
  </w:num>
  <w:num w:numId="6">
    <w:abstractNumId w:val="33"/>
  </w:num>
  <w:num w:numId="7">
    <w:abstractNumId w:val="26"/>
  </w:num>
  <w:num w:numId="8">
    <w:abstractNumId w:val="19"/>
  </w:num>
  <w:num w:numId="9">
    <w:abstractNumId w:val="36"/>
  </w:num>
  <w:num w:numId="10">
    <w:abstractNumId w:val="28"/>
  </w:num>
  <w:num w:numId="11">
    <w:abstractNumId w:val="10"/>
  </w:num>
  <w:num w:numId="12">
    <w:abstractNumId w:val="8"/>
  </w:num>
  <w:num w:numId="13">
    <w:abstractNumId w:val="1"/>
    <w:lvlOverride w:ilvl="0">
      <w:lvl w:ilvl="0">
        <w:start w:val="1"/>
        <w:numFmt w:val="bullet"/>
        <w:lvlText w:val=""/>
        <w:legacy w:legacy="1" w:legacySpace="0" w:legacyIndent="397"/>
        <w:lvlJc w:val="left"/>
        <w:pPr>
          <w:ind w:left="397" w:hanging="397"/>
        </w:pPr>
        <w:rPr>
          <w:rFonts w:ascii="Symbol" w:hAnsi="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34"/>
  </w:num>
  <w:num w:numId="17">
    <w:abstractNumId w:val="21"/>
  </w:num>
  <w:num w:numId="18">
    <w:abstractNumId w:val="21"/>
  </w:num>
  <w:num w:numId="19">
    <w:abstractNumId w:val="21"/>
  </w:num>
  <w:num w:numId="20">
    <w:abstractNumId w:val="21"/>
  </w:num>
  <w:num w:numId="21">
    <w:abstractNumId w:val="23"/>
  </w:num>
  <w:num w:numId="22">
    <w:abstractNumId w:val="5"/>
  </w:num>
  <w:num w:numId="23">
    <w:abstractNumId w:val="21"/>
  </w:num>
  <w:num w:numId="24">
    <w:abstractNumId w:val="18"/>
  </w:num>
  <w:num w:numId="25">
    <w:abstractNumId w:val="21"/>
  </w:num>
  <w:num w:numId="26">
    <w:abstractNumId w:val="29"/>
  </w:num>
  <w:num w:numId="27">
    <w:abstractNumId w:val="3"/>
  </w:num>
  <w:num w:numId="28">
    <w:abstractNumId w:val="25"/>
  </w:num>
  <w:num w:numId="29">
    <w:abstractNumId w:val="27"/>
  </w:num>
  <w:num w:numId="30">
    <w:abstractNumId w:val="7"/>
  </w:num>
  <w:num w:numId="31">
    <w:abstractNumId w:val="22"/>
  </w:num>
  <w:num w:numId="32">
    <w:abstractNumId w:val="15"/>
  </w:num>
  <w:num w:numId="33">
    <w:abstractNumId w:val="12"/>
  </w:num>
  <w:num w:numId="34">
    <w:abstractNumId w:val="32"/>
  </w:num>
  <w:num w:numId="35">
    <w:abstractNumId w:val="31"/>
  </w:num>
  <w:num w:numId="36">
    <w:abstractNumId w:val="2"/>
  </w:num>
  <w:num w:numId="37">
    <w:abstractNumId w:val="6"/>
  </w:num>
  <w:num w:numId="38">
    <w:abstractNumId w:val="11"/>
  </w:num>
  <w:num w:numId="39">
    <w:abstractNumId w:val="24"/>
  </w:num>
  <w:num w:numId="40">
    <w:abstractNumId w:val="17"/>
  </w:num>
  <w:num w:numId="41">
    <w:abstractNumId w:val="4"/>
  </w:num>
  <w:num w:numId="42">
    <w:abstractNumId w:val="30"/>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yNTM1tjQxNTczNTNX0lEKTi0uzszPAykwrAUAudRbRywAAAA="/>
  </w:docVars>
  <w:rsids>
    <w:rsidRoot w:val="00785DB9"/>
    <w:rsid w:val="00000247"/>
    <w:rsid w:val="000039F1"/>
    <w:rsid w:val="000160EE"/>
    <w:rsid w:val="000254A9"/>
    <w:rsid w:val="000465DD"/>
    <w:rsid w:val="000575A0"/>
    <w:rsid w:val="00062B77"/>
    <w:rsid w:val="000671A3"/>
    <w:rsid w:val="00077473"/>
    <w:rsid w:val="00084286"/>
    <w:rsid w:val="0008769F"/>
    <w:rsid w:val="00087879"/>
    <w:rsid w:val="000915F0"/>
    <w:rsid w:val="00095BCE"/>
    <w:rsid w:val="000A2E07"/>
    <w:rsid w:val="000B2304"/>
    <w:rsid w:val="000C04B6"/>
    <w:rsid w:val="000C08FD"/>
    <w:rsid w:val="000D21B6"/>
    <w:rsid w:val="000D343C"/>
    <w:rsid w:val="000E0F5A"/>
    <w:rsid w:val="000E1786"/>
    <w:rsid w:val="000E40D8"/>
    <w:rsid w:val="000E6E07"/>
    <w:rsid w:val="000F6FEB"/>
    <w:rsid w:val="0010727F"/>
    <w:rsid w:val="00116FC6"/>
    <w:rsid w:val="00125CDB"/>
    <w:rsid w:val="001314E5"/>
    <w:rsid w:val="00131EC3"/>
    <w:rsid w:val="00146145"/>
    <w:rsid w:val="00146D5A"/>
    <w:rsid w:val="0015666D"/>
    <w:rsid w:val="00160CF0"/>
    <w:rsid w:val="00163F3D"/>
    <w:rsid w:val="001647FC"/>
    <w:rsid w:val="001672B8"/>
    <w:rsid w:val="00175DD4"/>
    <w:rsid w:val="001822D7"/>
    <w:rsid w:val="00185782"/>
    <w:rsid w:val="001943EA"/>
    <w:rsid w:val="001C0DBC"/>
    <w:rsid w:val="001C720A"/>
    <w:rsid w:val="001D59F7"/>
    <w:rsid w:val="001E56E2"/>
    <w:rsid w:val="001F0B71"/>
    <w:rsid w:val="001F33AF"/>
    <w:rsid w:val="001F7714"/>
    <w:rsid w:val="00200E5D"/>
    <w:rsid w:val="0020477A"/>
    <w:rsid w:val="00212C81"/>
    <w:rsid w:val="0021658B"/>
    <w:rsid w:val="00224E86"/>
    <w:rsid w:val="00236056"/>
    <w:rsid w:val="0023606B"/>
    <w:rsid w:val="00240FDC"/>
    <w:rsid w:val="00261756"/>
    <w:rsid w:val="00281EAC"/>
    <w:rsid w:val="00295017"/>
    <w:rsid w:val="002B75FE"/>
    <w:rsid w:val="002C209D"/>
    <w:rsid w:val="002C211B"/>
    <w:rsid w:val="002E38F6"/>
    <w:rsid w:val="002E5492"/>
    <w:rsid w:val="002E63B6"/>
    <w:rsid w:val="00302513"/>
    <w:rsid w:val="0030438E"/>
    <w:rsid w:val="00304801"/>
    <w:rsid w:val="003114CC"/>
    <w:rsid w:val="00320979"/>
    <w:rsid w:val="003303B5"/>
    <w:rsid w:val="00337224"/>
    <w:rsid w:val="0036171D"/>
    <w:rsid w:val="00374167"/>
    <w:rsid w:val="00383A14"/>
    <w:rsid w:val="00383A1C"/>
    <w:rsid w:val="0039167C"/>
    <w:rsid w:val="00395841"/>
    <w:rsid w:val="003960D1"/>
    <w:rsid w:val="003B0867"/>
    <w:rsid w:val="003B114D"/>
    <w:rsid w:val="003B7128"/>
    <w:rsid w:val="003C0FAF"/>
    <w:rsid w:val="003C50FC"/>
    <w:rsid w:val="003D6E14"/>
    <w:rsid w:val="003F59C1"/>
    <w:rsid w:val="0040590A"/>
    <w:rsid w:val="004103CA"/>
    <w:rsid w:val="00412036"/>
    <w:rsid w:val="00414AC7"/>
    <w:rsid w:val="0041705C"/>
    <w:rsid w:val="004379FC"/>
    <w:rsid w:val="004461B8"/>
    <w:rsid w:val="00447C01"/>
    <w:rsid w:val="00456818"/>
    <w:rsid w:val="00461055"/>
    <w:rsid w:val="0046798A"/>
    <w:rsid w:val="00471720"/>
    <w:rsid w:val="0048399F"/>
    <w:rsid w:val="004953D6"/>
    <w:rsid w:val="00497A3B"/>
    <w:rsid w:val="004B51DC"/>
    <w:rsid w:val="004B5CA0"/>
    <w:rsid w:val="004B6E71"/>
    <w:rsid w:val="004C3AD7"/>
    <w:rsid w:val="004C5F55"/>
    <w:rsid w:val="004C6B14"/>
    <w:rsid w:val="004D0232"/>
    <w:rsid w:val="004E5F05"/>
    <w:rsid w:val="004F2D0F"/>
    <w:rsid w:val="004F4A41"/>
    <w:rsid w:val="004F7356"/>
    <w:rsid w:val="0050495C"/>
    <w:rsid w:val="00507561"/>
    <w:rsid w:val="00524E04"/>
    <w:rsid w:val="0054657C"/>
    <w:rsid w:val="0055309A"/>
    <w:rsid w:val="00553F1A"/>
    <w:rsid w:val="00554D3E"/>
    <w:rsid w:val="005615FE"/>
    <w:rsid w:val="005675F0"/>
    <w:rsid w:val="00585592"/>
    <w:rsid w:val="00586CBB"/>
    <w:rsid w:val="005921AC"/>
    <w:rsid w:val="0059340F"/>
    <w:rsid w:val="00596709"/>
    <w:rsid w:val="005A12DD"/>
    <w:rsid w:val="005A15F5"/>
    <w:rsid w:val="005A49BA"/>
    <w:rsid w:val="005A5D57"/>
    <w:rsid w:val="005A72BA"/>
    <w:rsid w:val="005B2654"/>
    <w:rsid w:val="005B77E2"/>
    <w:rsid w:val="005E266F"/>
    <w:rsid w:val="005E4F01"/>
    <w:rsid w:val="006071B2"/>
    <w:rsid w:val="00607339"/>
    <w:rsid w:val="00612609"/>
    <w:rsid w:val="0061797F"/>
    <w:rsid w:val="00632F5E"/>
    <w:rsid w:val="00647465"/>
    <w:rsid w:val="00652047"/>
    <w:rsid w:val="00661F9C"/>
    <w:rsid w:val="0067714D"/>
    <w:rsid w:val="00687061"/>
    <w:rsid w:val="006926FF"/>
    <w:rsid w:val="00697456"/>
    <w:rsid w:val="006A1D29"/>
    <w:rsid w:val="006A32EF"/>
    <w:rsid w:val="006B7B07"/>
    <w:rsid w:val="006C0AD9"/>
    <w:rsid w:val="006C718F"/>
    <w:rsid w:val="006E0B11"/>
    <w:rsid w:val="006F2228"/>
    <w:rsid w:val="006F4950"/>
    <w:rsid w:val="00701999"/>
    <w:rsid w:val="007076AC"/>
    <w:rsid w:val="007117DA"/>
    <w:rsid w:val="00721FAD"/>
    <w:rsid w:val="00722192"/>
    <w:rsid w:val="00725135"/>
    <w:rsid w:val="00731726"/>
    <w:rsid w:val="00742994"/>
    <w:rsid w:val="00743DF4"/>
    <w:rsid w:val="00744379"/>
    <w:rsid w:val="00744918"/>
    <w:rsid w:val="0074713B"/>
    <w:rsid w:val="00764BF0"/>
    <w:rsid w:val="007721A7"/>
    <w:rsid w:val="007735C3"/>
    <w:rsid w:val="00785DB9"/>
    <w:rsid w:val="007A0779"/>
    <w:rsid w:val="007A29D9"/>
    <w:rsid w:val="007C0142"/>
    <w:rsid w:val="007D5D7B"/>
    <w:rsid w:val="007E4EAD"/>
    <w:rsid w:val="007F39B0"/>
    <w:rsid w:val="007F439F"/>
    <w:rsid w:val="00805C56"/>
    <w:rsid w:val="00807782"/>
    <w:rsid w:val="00811CFE"/>
    <w:rsid w:val="008134CC"/>
    <w:rsid w:val="00821FC8"/>
    <w:rsid w:val="00823840"/>
    <w:rsid w:val="00823D19"/>
    <w:rsid w:val="00830B32"/>
    <w:rsid w:val="00832061"/>
    <w:rsid w:val="0085092B"/>
    <w:rsid w:val="00865364"/>
    <w:rsid w:val="00875AD7"/>
    <w:rsid w:val="00880F80"/>
    <w:rsid w:val="008812C3"/>
    <w:rsid w:val="0088290D"/>
    <w:rsid w:val="008853E2"/>
    <w:rsid w:val="00897367"/>
    <w:rsid w:val="008A1696"/>
    <w:rsid w:val="008A2AB7"/>
    <w:rsid w:val="008C07A5"/>
    <w:rsid w:val="008C0CD3"/>
    <w:rsid w:val="008C27C4"/>
    <w:rsid w:val="008C6746"/>
    <w:rsid w:val="008D2388"/>
    <w:rsid w:val="008E124B"/>
    <w:rsid w:val="008E673E"/>
    <w:rsid w:val="008F50E7"/>
    <w:rsid w:val="009013A9"/>
    <w:rsid w:val="00923837"/>
    <w:rsid w:val="009253DA"/>
    <w:rsid w:val="00932BD5"/>
    <w:rsid w:val="0093622C"/>
    <w:rsid w:val="009423FD"/>
    <w:rsid w:val="00954490"/>
    <w:rsid w:val="00960B2A"/>
    <w:rsid w:val="0097086C"/>
    <w:rsid w:val="0098061D"/>
    <w:rsid w:val="0098747E"/>
    <w:rsid w:val="009917E4"/>
    <w:rsid w:val="00993E56"/>
    <w:rsid w:val="009A1E5F"/>
    <w:rsid w:val="009B00AC"/>
    <w:rsid w:val="009B37AE"/>
    <w:rsid w:val="009C1067"/>
    <w:rsid w:val="009C4CEE"/>
    <w:rsid w:val="009C5A51"/>
    <w:rsid w:val="009D087B"/>
    <w:rsid w:val="009E278C"/>
    <w:rsid w:val="009F1BB6"/>
    <w:rsid w:val="00A01F56"/>
    <w:rsid w:val="00A03601"/>
    <w:rsid w:val="00A10E4D"/>
    <w:rsid w:val="00A12069"/>
    <w:rsid w:val="00A3559A"/>
    <w:rsid w:val="00A35980"/>
    <w:rsid w:val="00A36F89"/>
    <w:rsid w:val="00A413F7"/>
    <w:rsid w:val="00A61FBE"/>
    <w:rsid w:val="00A63EEE"/>
    <w:rsid w:val="00A724C5"/>
    <w:rsid w:val="00A80283"/>
    <w:rsid w:val="00A85FF7"/>
    <w:rsid w:val="00A86184"/>
    <w:rsid w:val="00A91829"/>
    <w:rsid w:val="00AA7550"/>
    <w:rsid w:val="00AB0D6D"/>
    <w:rsid w:val="00AC3AE0"/>
    <w:rsid w:val="00AC73F8"/>
    <w:rsid w:val="00AD1CE4"/>
    <w:rsid w:val="00AD2BB2"/>
    <w:rsid w:val="00AD454E"/>
    <w:rsid w:val="00AD7200"/>
    <w:rsid w:val="00AE046B"/>
    <w:rsid w:val="00AE295E"/>
    <w:rsid w:val="00AE45A9"/>
    <w:rsid w:val="00AF403B"/>
    <w:rsid w:val="00AF4C0D"/>
    <w:rsid w:val="00B02B2D"/>
    <w:rsid w:val="00B05DD7"/>
    <w:rsid w:val="00B464FA"/>
    <w:rsid w:val="00B52B0E"/>
    <w:rsid w:val="00B52C32"/>
    <w:rsid w:val="00B55E22"/>
    <w:rsid w:val="00B646EB"/>
    <w:rsid w:val="00B66AB4"/>
    <w:rsid w:val="00B72946"/>
    <w:rsid w:val="00B77293"/>
    <w:rsid w:val="00B82A53"/>
    <w:rsid w:val="00B864A0"/>
    <w:rsid w:val="00B86D73"/>
    <w:rsid w:val="00B93EA4"/>
    <w:rsid w:val="00BA0E0A"/>
    <w:rsid w:val="00BA4A6A"/>
    <w:rsid w:val="00BA6210"/>
    <w:rsid w:val="00BB502F"/>
    <w:rsid w:val="00BD6414"/>
    <w:rsid w:val="00C01680"/>
    <w:rsid w:val="00C137EE"/>
    <w:rsid w:val="00C14678"/>
    <w:rsid w:val="00C23E77"/>
    <w:rsid w:val="00C263EC"/>
    <w:rsid w:val="00C302F8"/>
    <w:rsid w:val="00C35E4B"/>
    <w:rsid w:val="00C3616B"/>
    <w:rsid w:val="00C433D0"/>
    <w:rsid w:val="00C519B3"/>
    <w:rsid w:val="00C549EC"/>
    <w:rsid w:val="00C55D44"/>
    <w:rsid w:val="00C666E1"/>
    <w:rsid w:val="00C70A5B"/>
    <w:rsid w:val="00C719AD"/>
    <w:rsid w:val="00C72007"/>
    <w:rsid w:val="00C73888"/>
    <w:rsid w:val="00C73D01"/>
    <w:rsid w:val="00C7420B"/>
    <w:rsid w:val="00C82CBD"/>
    <w:rsid w:val="00C86428"/>
    <w:rsid w:val="00C90030"/>
    <w:rsid w:val="00CB21D7"/>
    <w:rsid w:val="00CB7011"/>
    <w:rsid w:val="00CC1F32"/>
    <w:rsid w:val="00CC7CE6"/>
    <w:rsid w:val="00CE6500"/>
    <w:rsid w:val="00CF0CFE"/>
    <w:rsid w:val="00CF50A9"/>
    <w:rsid w:val="00CF7DBC"/>
    <w:rsid w:val="00D06B92"/>
    <w:rsid w:val="00D10256"/>
    <w:rsid w:val="00D10E05"/>
    <w:rsid w:val="00D14438"/>
    <w:rsid w:val="00D23353"/>
    <w:rsid w:val="00D23582"/>
    <w:rsid w:val="00D25400"/>
    <w:rsid w:val="00D26105"/>
    <w:rsid w:val="00D37F43"/>
    <w:rsid w:val="00D53D54"/>
    <w:rsid w:val="00D547CF"/>
    <w:rsid w:val="00D6400F"/>
    <w:rsid w:val="00D80F6B"/>
    <w:rsid w:val="00D815AE"/>
    <w:rsid w:val="00D86C5D"/>
    <w:rsid w:val="00D944C7"/>
    <w:rsid w:val="00DA6DC3"/>
    <w:rsid w:val="00DB0BE4"/>
    <w:rsid w:val="00DB3C18"/>
    <w:rsid w:val="00DB68AC"/>
    <w:rsid w:val="00DC7E34"/>
    <w:rsid w:val="00DF29C3"/>
    <w:rsid w:val="00E02255"/>
    <w:rsid w:val="00E10B61"/>
    <w:rsid w:val="00E112F1"/>
    <w:rsid w:val="00E11874"/>
    <w:rsid w:val="00E123E2"/>
    <w:rsid w:val="00E300D4"/>
    <w:rsid w:val="00E3091E"/>
    <w:rsid w:val="00E45D02"/>
    <w:rsid w:val="00E47B34"/>
    <w:rsid w:val="00E50AE0"/>
    <w:rsid w:val="00E52DBB"/>
    <w:rsid w:val="00E620AB"/>
    <w:rsid w:val="00E63AC4"/>
    <w:rsid w:val="00E64072"/>
    <w:rsid w:val="00E66096"/>
    <w:rsid w:val="00E67962"/>
    <w:rsid w:val="00E71F01"/>
    <w:rsid w:val="00E72C29"/>
    <w:rsid w:val="00E74E48"/>
    <w:rsid w:val="00E86257"/>
    <w:rsid w:val="00E8698D"/>
    <w:rsid w:val="00E87328"/>
    <w:rsid w:val="00E92174"/>
    <w:rsid w:val="00EB072C"/>
    <w:rsid w:val="00EB1BFF"/>
    <w:rsid w:val="00EB29E2"/>
    <w:rsid w:val="00EB5A08"/>
    <w:rsid w:val="00EB7B31"/>
    <w:rsid w:val="00EC37CD"/>
    <w:rsid w:val="00ED11A9"/>
    <w:rsid w:val="00ED16C9"/>
    <w:rsid w:val="00ED247E"/>
    <w:rsid w:val="00ED5D54"/>
    <w:rsid w:val="00EE2C7E"/>
    <w:rsid w:val="00EE6B26"/>
    <w:rsid w:val="00EF61BE"/>
    <w:rsid w:val="00EF7CB1"/>
    <w:rsid w:val="00F06AED"/>
    <w:rsid w:val="00F07C16"/>
    <w:rsid w:val="00F07CD7"/>
    <w:rsid w:val="00F1407C"/>
    <w:rsid w:val="00F22617"/>
    <w:rsid w:val="00F512BF"/>
    <w:rsid w:val="00F53E72"/>
    <w:rsid w:val="00F5508E"/>
    <w:rsid w:val="00F61B40"/>
    <w:rsid w:val="00F63791"/>
    <w:rsid w:val="00F80DE8"/>
    <w:rsid w:val="00FA2FEE"/>
    <w:rsid w:val="00FA64A8"/>
    <w:rsid w:val="00FD248A"/>
    <w:rsid w:val="00FE2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4B92F1-BFBB-4976-9A61-7B97C25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pPr>
      <w:keepNext/>
      <w:shd w:val="pct12" w:color="000000" w:fill="FFFFFF"/>
      <w:tabs>
        <w:tab w:val="left" w:pos="4536"/>
        <w:tab w:val="left" w:pos="5103"/>
        <w:tab w:val="right" w:pos="9071"/>
      </w:tabs>
      <w:outlineLvl w:val="1"/>
    </w:pPr>
    <w:rPr>
      <w:b/>
    </w:rPr>
  </w:style>
  <w:style w:type="paragraph" w:styleId="Nadpis3">
    <w:name w:val="heading 3"/>
    <w:basedOn w:val="Normln"/>
    <w:next w:val="Normln"/>
    <w:autoRedefine/>
    <w:qFormat/>
    <w:rsid w:val="0041705C"/>
    <w:pPr>
      <w:keepNext/>
      <w:tabs>
        <w:tab w:val="left" w:pos="426"/>
        <w:tab w:val="right" w:pos="7797"/>
        <w:tab w:val="right" w:pos="9639"/>
      </w:tabs>
      <w:jc w:val="both"/>
      <w:outlineLvl w:val="2"/>
    </w:pPr>
    <w:rPr>
      <w:rFonts w:ascii="Arial" w:hAnsi="Arial" w:cs="Arial"/>
      <w:b/>
    </w:rPr>
  </w:style>
  <w:style w:type="paragraph" w:styleId="Nadpis4">
    <w:name w:val="heading 4"/>
    <w:basedOn w:val="Normln"/>
    <w:next w:val="Normln"/>
    <w:autoRedefine/>
    <w:qFormat/>
    <w:rsid w:val="00AC3AE0"/>
    <w:pPr>
      <w:keepNext/>
      <w:tabs>
        <w:tab w:val="right" w:pos="7938"/>
        <w:tab w:val="right" w:pos="9639"/>
      </w:tabs>
      <w:spacing w:before="120"/>
      <w:jc w:val="both"/>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hd w:val="pct10" w:color="auto" w:fill="auto"/>
      <w:tabs>
        <w:tab w:val="left" w:pos="2835"/>
      </w:tabs>
      <w:outlineLvl w:val="5"/>
    </w:pPr>
    <w:rPr>
      <w:b/>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link w:val="ZpatChar"/>
    <w:uiPriority w:val="99"/>
    <w:qFormat/>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jc w:val="both"/>
    </w:pPr>
    <w:rPr>
      <w:rFonts w:ascii="Arial" w:hAnsi="Arial"/>
    </w:rPr>
  </w:style>
  <w:style w:type="paragraph" w:styleId="Textkomente">
    <w:name w:val="annotation text"/>
    <w:basedOn w:val="Normln"/>
    <w:semiHidden/>
  </w:style>
  <w:style w:type="character" w:styleId="Hypertextovodkaz">
    <w:name w:val="Hyperlink"/>
    <w:basedOn w:val="Standardnpsmoodstavce"/>
    <w:uiPriority w:val="99"/>
    <w:rPr>
      <w:color w:val="0000FF"/>
      <w:u w:val="single"/>
    </w:rPr>
  </w:style>
  <w:style w:type="paragraph" w:styleId="Zkladntextodsazen2">
    <w:name w:val="Body Text Indent 2"/>
    <w:basedOn w:val="Normln"/>
    <w:rsid w:val="00497A3B"/>
    <w:pPr>
      <w:spacing w:after="120" w:line="480" w:lineRule="auto"/>
      <w:ind w:left="283"/>
    </w:pPr>
  </w:style>
  <w:style w:type="character" w:customStyle="1" w:styleId="ZkladntextChar">
    <w:name w:val="Základní text Char"/>
    <w:basedOn w:val="Standardnpsmoodstavce"/>
    <w:link w:val="Zkladntext"/>
    <w:rsid w:val="00C01680"/>
    <w:rPr>
      <w:rFonts w:ascii="Arial" w:hAnsi="Arial"/>
      <w:lang w:val="cs-CZ" w:eastAsia="cs-CZ" w:bidi="ar-SA"/>
    </w:rPr>
  </w:style>
  <w:style w:type="paragraph" w:styleId="Textbubliny">
    <w:name w:val="Balloon Text"/>
    <w:basedOn w:val="Normln"/>
    <w:link w:val="TextbublinyChar"/>
    <w:rsid w:val="006B7B07"/>
    <w:rPr>
      <w:rFonts w:ascii="Tahoma" w:hAnsi="Tahoma" w:cs="Tahoma"/>
      <w:sz w:val="16"/>
      <w:szCs w:val="16"/>
    </w:rPr>
  </w:style>
  <w:style w:type="character" w:customStyle="1" w:styleId="TextbublinyChar">
    <w:name w:val="Text bubliny Char"/>
    <w:basedOn w:val="Standardnpsmoodstavce"/>
    <w:link w:val="Textbubliny"/>
    <w:rsid w:val="006B7B07"/>
    <w:rPr>
      <w:rFonts w:ascii="Tahoma" w:hAnsi="Tahoma" w:cs="Tahoma"/>
      <w:sz w:val="16"/>
      <w:szCs w:val="16"/>
    </w:rPr>
  </w:style>
  <w:style w:type="paragraph" w:styleId="Odstavecseseznamem">
    <w:name w:val="List Paragraph"/>
    <w:basedOn w:val="Normln"/>
    <w:uiPriority w:val="34"/>
    <w:qFormat/>
    <w:rsid w:val="005B2654"/>
    <w:pPr>
      <w:ind w:left="720"/>
      <w:contextualSpacing/>
    </w:pPr>
  </w:style>
  <w:style w:type="character" w:customStyle="1" w:styleId="ZhlavChar">
    <w:name w:val="Záhlaví Char"/>
    <w:link w:val="Zhlav"/>
    <w:uiPriority w:val="99"/>
    <w:rsid w:val="00ED5D54"/>
  </w:style>
  <w:style w:type="paragraph" w:customStyle="1" w:styleId="Text11">
    <w:name w:val="Text 1.1."/>
    <w:next w:val="Zkladntext"/>
    <w:link w:val="Text11Char"/>
    <w:rsid w:val="00A85FF7"/>
    <w:pPr>
      <w:widowControl w:val="0"/>
      <w:tabs>
        <w:tab w:val="num" w:pos="907"/>
      </w:tabs>
      <w:spacing w:before="60" w:after="40"/>
      <w:ind w:left="907" w:hanging="907"/>
      <w:jc w:val="both"/>
    </w:pPr>
    <w:rPr>
      <w:rFonts w:ascii="Arial" w:hAnsi="Arial"/>
      <w:snapToGrid w:val="0"/>
      <w:color w:val="000000"/>
      <w:sz w:val="22"/>
    </w:rPr>
  </w:style>
  <w:style w:type="character" w:customStyle="1" w:styleId="Text11Char">
    <w:name w:val="Text 1.1. Char"/>
    <w:link w:val="Text11"/>
    <w:rsid w:val="00A85FF7"/>
    <w:rPr>
      <w:rFonts w:ascii="Arial" w:hAnsi="Arial"/>
      <w:snapToGrid w:val="0"/>
      <w:color w:val="000000"/>
      <w:sz w:val="22"/>
    </w:rPr>
  </w:style>
  <w:style w:type="paragraph" w:customStyle="1" w:styleId="Default">
    <w:name w:val="Default"/>
    <w:basedOn w:val="Normln"/>
    <w:rsid w:val="00A413F7"/>
    <w:pPr>
      <w:autoSpaceDE w:val="0"/>
      <w:autoSpaceDN w:val="0"/>
    </w:pPr>
    <w:rPr>
      <w:rFonts w:ascii="IRTMRV+Generali-Light" w:eastAsiaTheme="minorHAnsi" w:hAnsi="IRTMRV+Generali-Light"/>
      <w:color w:val="000000"/>
      <w:sz w:val="24"/>
      <w:szCs w:val="24"/>
    </w:rPr>
  </w:style>
  <w:style w:type="character" w:customStyle="1" w:styleId="GPodstavecChar">
    <w:name w:val="GPČ_odstavec Char"/>
    <w:basedOn w:val="Standardnpsmoodstavce"/>
    <w:link w:val="GPodstavec"/>
    <w:locked/>
    <w:rsid w:val="00923837"/>
    <w:rPr>
      <w:rFonts w:ascii="Arial" w:hAnsi="Arial" w:cs="Arial"/>
      <w:color w:val="000000"/>
      <w:lang w:eastAsia="it-IT"/>
    </w:rPr>
  </w:style>
  <w:style w:type="paragraph" w:customStyle="1" w:styleId="GPodstavec">
    <w:name w:val="GPČ_odstavec"/>
    <w:basedOn w:val="Normln"/>
    <w:link w:val="GPodstavecChar"/>
    <w:rsid w:val="00923837"/>
    <w:pPr>
      <w:autoSpaceDE w:val="0"/>
      <w:autoSpaceDN w:val="0"/>
      <w:spacing w:before="120"/>
    </w:pPr>
    <w:rPr>
      <w:rFonts w:ascii="Arial" w:hAnsi="Arial" w:cs="Arial"/>
      <w:color w:val="000000"/>
      <w:lang w:eastAsia="it-IT"/>
    </w:rPr>
  </w:style>
  <w:style w:type="character" w:customStyle="1" w:styleId="ZpatChar">
    <w:name w:val="Zápatí Char"/>
    <w:basedOn w:val="Standardnpsmoodstavce"/>
    <w:link w:val="Zpat"/>
    <w:uiPriority w:val="99"/>
    <w:rsid w:val="00E86257"/>
    <w:rPr>
      <w:sz w:val="24"/>
    </w:rPr>
  </w:style>
  <w:style w:type="table" w:customStyle="1" w:styleId="Mkatabulky2">
    <w:name w:val="Mřížka tabulky2"/>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8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3901">
      <w:bodyDiv w:val="1"/>
      <w:marLeft w:val="0"/>
      <w:marRight w:val="0"/>
      <w:marTop w:val="0"/>
      <w:marBottom w:val="0"/>
      <w:divBdr>
        <w:top w:val="none" w:sz="0" w:space="0" w:color="auto"/>
        <w:left w:val="none" w:sz="0" w:space="0" w:color="auto"/>
        <w:bottom w:val="none" w:sz="0" w:space="0" w:color="auto"/>
        <w:right w:val="none" w:sz="0" w:space="0" w:color="auto"/>
      </w:divBdr>
    </w:div>
    <w:div w:id="342778644">
      <w:bodyDiv w:val="1"/>
      <w:marLeft w:val="0"/>
      <w:marRight w:val="0"/>
      <w:marTop w:val="0"/>
      <w:marBottom w:val="0"/>
      <w:divBdr>
        <w:top w:val="none" w:sz="0" w:space="0" w:color="auto"/>
        <w:left w:val="none" w:sz="0" w:space="0" w:color="auto"/>
        <w:bottom w:val="none" w:sz="0" w:space="0" w:color="auto"/>
        <w:right w:val="none" w:sz="0" w:space="0" w:color="auto"/>
      </w:divBdr>
    </w:div>
    <w:div w:id="375156965">
      <w:bodyDiv w:val="1"/>
      <w:marLeft w:val="0"/>
      <w:marRight w:val="0"/>
      <w:marTop w:val="0"/>
      <w:marBottom w:val="0"/>
      <w:divBdr>
        <w:top w:val="none" w:sz="0" w:space="0" w:color="auto"/>
        <w:left w:val="none" w:sz="0" w:space="0" w:color="auto"/>
        <w:bottom w:val="none" w:sz="0" w:space="0" w:color="auto"/>
        <w:right w:val="none" w:sz="0" w:space="0" w:color="auto"/>
      </w:divBdr>
    </w:div>
    <w:div w:id="906263804">
      <w:bodyDiv w:val="1"/>
      <w:marLeft w:val="0"/>
      <w:marRight w:val="0"/>
      <w:marTop w:val="0"/>
      <w:marBottom w:val="0"/>
      <w:divBdr>
        <w:top w:val="none" w:sz="0" w:space="0" w:color="auto"/>
        <w:left w:val="none" w:sz="0" w:space="0" w:color="auto"/>
        <w:bottom w:val="none" w:sz="0" w:space="0" w:color="auto"/>
        <w:right w:val="none" w:sz="0" w:space="0" w:color="auto"/>
      </w:divBdr>
    </w:div>
    <w:div w:id="968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znosti@generalice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generalice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1242</Words>
  <Characters>7330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Uživatel</dc:creator>
  <cp:lastModifiedBy>Čudová Lucie</cp:lastModifiedBy>
  <cp:revision>3</cp:revision>
  <cp:lastPrinted>2022-05-03T12:12:00Z</cp:lastPrinted>
  <dcterms:created xsi:type="dcterms:W3CDTF">2023-02-07T15:07:00Z</dcterms:created>
  <dcterms:modified xsi:type="dcterms:W3CDTF">2023-02-07T15:27:00Z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543693-0d20-4828-9e38-4668ba5c5a68_Enabled">
    <vt:lpwstr>true</vt:lpwstr>
  </property>
  <property fmtid="{D5CDD505-2E9C-101B-9397-08002B2CF9AE}" pid="3" name="MSIP_Label_ed543693-0d20-4828-9e38-4668ba5c5a68_SetDate">
    <vt:lpwstr>2022-02-22T10:21:09Z</vt:lpwstr>
  </property>
  <property fmtid="{D5CDD505-2E9C-101B-9397-08002B2CF9AE}" pid="4" name="MSIP_Label_ed543693-0d20-4828-9e38-4668ba5c5a68_Method">
    <vt:lpwstr>Privileged</vt:lpwstr>
  </property>
  <property fmtid="{D5CDD505-2E9C-101B-9397-08002B2CF9AE}" pid="5" name="MSIP_Label_ed543693-0d20-4828-9e38-4668ba5c5a68_Name">
    <vt:lpwstr>Důvěrné-CZE-Neviditelna</vt:lpwstr>
  </property>
  <property fmtid="{D5CDD505-2E9C-101B-9397-08002B2CF9AE}" pid="6" name="MSIP_Label_ed543693-0d20-4828-9e38-4668ba5c5a68_SiteId">
    <vt:lpwstr>cbeb3ecc-6f45-4183-b5a8-088140deae5d</vt:lpwstr>
  </property>
  <property fmtid="{D5CDD505-2E9C-101B-9397-08002B2CF9AE}" pid="7" name="MSIP_Label_ed543693-0d20-4828-9e38-4668ba5c5a68_ActionId">
    <vt:lpwstr>7997b2f2-5e0e-4da3-9ed5-9f9c8db841fa</vt:lpwstr>
  </property>
  <property fmtid="{D5CDD505-2E9C-101B-9397-08002B2CF9AE}" pid="8" name="MSIP_Label_ed543693-0d20-4828-9e38-4668ba5c5a68_ContentBits">
    <vt:lpwstr>0</vt:lpwstr>
  </property>
</Properties>
</file>