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5B8" w:rsidRDefault="00AE3012">
      <w:pPr>
        <w:spacing w:before="10" w:line="412" w:lineRule="exact"/>
        <w:ind w:left="332" w:right="343"/>
        <w:jc w:val="center"/>
        <w:rPr>
          <w:b/>
          <w:sz w:val="36"/>
        </w:rPr>
      </w:pPr>
      <w:r>
        <w:rPr>
          <w:b/>
          <w:sz w:val="36"/>
        </w:rPr>
        <w:t>Smlouva o programátorském servisu a podpoře</w:t>
      </w:r>
    </w:p>
    <w:p w:rsidR="008325B8" w:rsidRDefault="00AE3012">
      <w:pPr>
        <w:spacing w:before="5" w:line="232" w:lineRule="auto"/>
        <w:ind w:left="332" w:right="346"/>
        <w:jc w:val="center"/>
        <w:rPr>
          <w:sz w:val="24"/>
        </w:rPr>
      </w:pPr>
      <w:r>
        <w:rPr>
          <w:sz w:val="24"/>
        </w:rPr>
        <w:t>uzavřená podle zákona č. 121/2000 Sbírky o právu autorském v platném znění a podle zák. č. 89/2012 Sb., občanského zákoníku v platném znění</w:t>
      </w:r>
    </w:p>
    <w:p w:rsidR="008325B8" w:rsidRDefault="008325B8">
      <w:pPr>
        <w:pStyle w:val="Zkladntext"/>
        <w:spacing w:before="2"/>
        <w:rPr>
          <w:sz w:val="34"/>
        </w:rPr>
      </w:pPr>
    </w:p>
    <w:p w:rsidR="008325B8" w:rsidRDefault="00AE3012">
      <w:pPr>
        <w:ind w:left="328" w:right="346"/>
        <w:jc w:val="center"/>
        <w:rPr>
          <w:rFonts w:ascii="Calibri" w:hAnsi="Calibri"/>
          <w:b/>
          <w:sz w:val="24"/>
        </w:rPr>
      </w:pPr>
      <w:r>
        <w:rPr>
          <w:b/>
          <w:sz w:val="24"/>
        </w:rPr>
        <w:t>Č</w:t>
      </w:r>
      <w:r>
        <w:rPr>
          <w:rFonts w:ascii="Calibri" w:hAnsi="Calibri"/>
          <w:b/>
          <w:sz w:val="24"/>
        </w:rPr>
        <w:t>íslo smlouvy: A - 11757</w:t>
      </w:r>
    </w:p>
    <w:p w:rsidR="008325B8" w:rsidRDefault="008325B8">
      <w:pPr>
        <w:pStyle w:val="Zkladntext"/>
        <w:rPr>
          <w:rFonts w:ascii="Calibri"/>
          <w:b/>
          <w:sz w:val="24"/>
        </w:rPr>
      </w:pPr>
    </w:p>
    <w:p w:rsidR="008325B8" w:rsidRDefault="008325B8">
      <w:pPr>
        <w:rPr>
          <w:rFonts w:ascii="Calibri"/>
          <w:sz w:val="24"/>
        </w:rPr>
        <w:sectPr w:rsidR="008325B8">
          <w:headerReference w:type="default" r:id="rId7"/>
          <w:footerReference w:type="default" r:id="rId8"/>
          <w:type w:val="continuous"/>
          <w:pgSz w:w="11910" w:h="16840"/>
          <w:pgMar w:top="2040" w:right="640" w:bottom="840" w:left="1340" w:header="170" w:footer="640" w:gutter="0"/>
          <w:pgNumType w:start="1"/>
          <w:cols w:space="708"/>
        </w:sectPr>
      </w:pPr>
    </w:p>
    <w:p w:rsidR="008325B8" w:rsidRDefault="00AE3012">
      <w:pPr>
        <w:pStyle w:val="Nadpis4"/>
        <w:spacing w:before="93"/>
        <w:ind w:left="109" w:right="0"/>
        <w:jc w:val="left"/>
      </w:pPr>
      <w:r>
        <w:t>Smluvní strany</w:t>
      </w: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8325B8">
      <w:pPr>
        <w:pStyle w:val="Zkladntext"/>
        <w:rPr>
          <w:b/>
          <w:sz w:val="22"/>
        </w:rPr>
      </w:pPr>
    </w:p>
    <w:p w:rsidR="008325B8" w:rsidRDefault="00AE3012">
      <w:pPr>
        <w:pStyle w:val="Zkladntext"/>
        <w:spacing w:before="181"/>
        <w:ind w:left="109"/>
      </w:pPr>
      <w:r>
        <w:t>uzavírají tuto smlouvu:</w:t>
      </w:r>
    </w:p>
    <w:p w:rsidR="008325B8" w:rsidRDefault="00AE3012">
      <w:pPr>
        <w:pStyle w:val="Zkladntext"/>
        <w:spacing w:before="1"/>
        <w:rPr>
          <w:sz w:val="28"/>
        </w:rPr>
      </w:pPr>
      <w:r>
        <w:br w:type="column"/>
      </w:r>
    </w:p>
    <w:p w:rsidR="008325B8" w:rsidRDefault="00AE3012">
      <w:pPr>
        <w:pStyle w:val="Nadpis4"/>
        <w:spacing w:before="1" w:line="227" w:lineRule="exact"/>
        <w:ind w:left="109" w:right="0"/>
        <w:jc w:val="left"/>
      </w:pPr>
      <w:r>
        <w:t>Alfa Software, s.r.o,</w:t>
      </w:r>
    </w:p>
    <w:p w:rsidR="008325B8" w:rsidRDefault="00AE3012">
      <w:pPr>
        <w:pStyle w:val="Zkladntext"/>
        <w:spacing w:line="222" w:lineRule="exact"/>
        <w:ind w:left="109"/>
      </w:pPr>
      <w:r>
        <w:t>se sídlem: Pražská 22, 339 01 KLATOVY I.,</w:t>
      </w:r>
    </w:p>
    <w:p w:rsidR="008325B8" w:rsidRDefault="00AE3012">
      <w:pPr>
        <w:pStyle w:val="Zkladntext"/>
        <w:spacing w:before="2" w:line="230" w:lineRule="auto"/>
        <w:ind w:left="109" w:right="1424"/>
      </w:pPr>
      <w:r>
        <w:t xml:space="preserve">zastoupená: Mgr. Evou Maurerovou, jednatelem společnosti bankovní spojení: </w:t>
      </w:r>
      <w:r w:rsidR="00703B1D">
        <w:t>X</w:t>
      </w:r>
    </w:p>
    <w:p w:rsidR="008325B8" w:rsidRDefault="00AE3012">
      <w:pPr>
        <w:pStyle w:val="Zkladntext"/>
        <w:spacing w:line="218" w:lineRule="exact"/>
        <w:ind w:left="109"/>
      </w:pPr>
      <w:r>
        <w:t>IČO: 26359812, DIČ: CZ26359812,</w:t>
      </w:r>
    </w:p>
    <w:p w:rsidR="008325B8" w:rsidRDefault="00AE3012">
      <w:pPr>
        <w:pStyle w:val="Zkladntext"/>
        <w:spacing w:before="3" w:line="230" w:lineRule="auto"/>
        <w:ind w:left="109"/>
      </w:pPr>
      <w:r>
        <w:t>Výpis z obchodního rejstříku, vedeného Krajským soudem v Plzni, oddíl C, vložka 15248</w:t>
      </w:r>
    </w:p>
    <w:p w:rsidR="008325B8" w:rsidRDefault="00AE3012">
      <w:pPr>
        <w:pStyle w:val="Zkladntext"/>
        <w:spacing w:line="223" w:lineRule="exact"/>
        <w:ind w:left="109"/>
      </w:pPr>
      <w:r>
        <w:t>dále jen „POSKYTOVATEL“ na stran</w:t>
      </w:r>
      <w:r>
        <w:t>ě jedné</w:t>
      </w:r>
    </w:p>
    <w:p w:rsidR="008325B8" w:rsidRDefault="008325B8">
      <w:pPr>
        <w:pStyle w:val="Zkladntext"/>
        <w:spacing w:before="5"/>
        <w:rPr>
          <w:sz w:val="18"/>
        </w:rPr>
      </w:pPr>
    </w:p>
    <w:p w:rsidR="008325B8" w:rsidRDefault="00AE3012">
      <w:pPr>
        <w:pStyle w:val="Zkladntext"/>
        <w:ind w:right="2293"/>
        <w:jc w:val="center"/>
      </w:pPr>
      <w:r>
        <w:rPr>
          <w:w w:val="99"/>
        </w:rPr>
        <w:t>a</w:t>
      </w:r>
    </w:p>
    <w:p w:rsidR="008325B8" w:rsidRDefault="008325B8">
      <w:pPr>
        <w:pStyle w:val="Zkladntext"/>
        <w:spacing w:before="2"/>
        <w:rPr>
          <w:sz w:val="19"/>
        </w:rPr>
      </w:pPr>
    </w:p>
    <w:p w:rsidR="008325B8" w:rsidRDefault="00AE3012">
      <w:pPr>
        <w:pStyle w:val="Nadpis4"/>
        <w:spacing w:line="243" w:lineRule="exact"/>
        <w:ind w:left="109" w:right="0"/>
        <w:jc w:val="left"/>
        <w:rPr>
          <w:rFonts w:ascii="Calibri" w:hAnsi="Calibri"/>
        </w:rPr>
      </w:pPr>
      <w:r>
        <w:t>Centrum komunitn</w:t>
      </w:r>
      <w:r>
        <w:rPr>
          <w:rFonts w:ascii="Calibri" w:hAnsi="Calibri"/>
        </w:rPr>
        <w:t>ích služeb Pro život</w:t>
      </w:r>
    </w:p>
    <w:p w:rsidR="008325B8" w:rsidRDefault="00AE3012">
      <w:pPr>
        <w:pStyle w:val="Zkladntext"/>
        <w:spacing w:before="7" w:line="230" w:lineRule="auto"/>
        <w:ind w:left="109" w:right="2825"/>
      </w:pPr>
      <w:r>
        <w:t>se sídlem: Vlaš</w:t>
      </w:r>
      <w:r>
        <w:rPr>
          <w:rFonts w:ascii="Calibri" w:hAnsi="Calibri"/>
        </w:rPr>
        <w:t>ská 344/25</w:t>
      </w:r>
      <w:r>
        <w:t>, Praha 1, PSČ 11800 zastoupená: Martinem Kahánkem, ředitelem bankovní spojení:</w:t>
      </w:r>
    </w:p>
    <w:p w:rsidR="008325B8" w:rsidRDefault="00AE3012">
      <w:pPr>
        <w:pStyle w:val="Zkladntext"/>
        <w:spacing w:line="220" w:lineRule="exact"/>
        <w:ind w:left="109"/>
      </w:pPr>
      <w:r>
        <w:t>IČO / DIČ: 70875430/</w:t>
      </w:r>
    </w:p>
    <w:p w:rsidR="008325B8" w:rsidRDefault="00AE3012">
      <w:pPr>
        <w:spacing w:line="229" w:lineRule="exact"/>
        <w:ind w:left="109"/>
        <w:rPr>
          <w:b/>
          <w:sz w:val="20"/>
        </w:rPr>
      </w:pPr>
      <w:r>
        <w:rPr>
          <w:sz w:val="20"/>
        </w:rPr>
        <w:t xml:space="preserve">uživatelské číslo: </w:t>
      </w:r>
      <w:r w:rsidR="00703B1D">
        <w:rPr>
          <w:b/>
          <w:sz w:val="20"/>
        </w:rPr>
        <w:t>X</w:t>
      </w:r>
    </w:p>
    <w:p w:rsidR="008325B8" w:rsidRDefault="008325B8">
      <w:pPr>
        <w:pStyle w:val="Zkladntext"/>
        <w:spacing w:before="5"/>
        <w:rPr>
          <w:b/>
          <w:sz w:val="19"/>
        </w:rPr>
      </w:pPr>
    </w:p>
    <w:p w:rsidR="008325B8" w:rsidRDefault="00AE3012">
      <w:pPr>
        <w:pStyle w:val="Zkladntext"/>
        <w:ind w:left="109"/>
      </w:pPr>
      <w:r>
        <w:t>dále jen „NABYVATEL“ na straně druhé</w:t>
      </w:r>
    </w:p>
    <w:p w:rsidR="008325B8" w:rsidRDefault="008325B8">
      <w:pPr>
        <w:sectPr w:rsidR="008325B8">
          <w:type w:val="continuous"/>
          <w:pgSz w:w="11910" w:h="16840"/>
          <w:pgMar w:top="2040" w:right="640" w:bottom="840" w:left="1340" w:header="708" w:footer="708" w:gutter="0"/>
          <w:cols w:num="2" w:space="708" w:equalWidth="0">
            <w:col w:w="2140" w:space="140"/>
            <w:col w:w="7650"/>
          </w:cols>
        </w:sectPr>
      </w:pPr>
    </w:p>
    <w:p w:rsidR="008325B8" w:rsidRDefault="008325B8">
      <w:pPr>
        <w:pStyle w:val="Zkladntext"/>
        <w:spacing w:before="8"/>
        <w:rPr>
          <w:sz w:val="14"/>
        </w:rPr>
      </w:pPr>
    </w:p>
    <w:p w:rsidR="008325B8" w:rsidRDefault="00AE3012">
      <w:pPr>
        <w:pStyle w:val="Nadpis4"/>
        <w:spacing w:before="90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1</w:t>
      </w:r>
    </w:p>
    <w:p w:rsidR="008325B8" w:rsidRDefault="00AE3012">
      <w:pPr>
        <w:spacing w:before="119"/>
        <w:ind w:left="329" w:right="346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325B8" w:rsidRDefault="008325B8">
      <w:pPr>
        <w:pStyle w:val="Zkladntext"/>
        <w:spacing w:before="10"/>
        <w:rPr>
          <w:b/>
          <w:sz w:val="26"/>
        </w:rPr>
      </w:pPr>
    </w:p>
    <w:p w:rsidR="008325B8" w:rsidRDefault="00AE3012">
      <w:pPr>
        <w:pStyle w:val="Odstavecseseznamem"/>
        <w:numPr>
          <w:ilvl w:val="1"/>
          <w:numId w:val="8"/>
        </w:numPr>
        <w:tabs>
          <w:tab w:val="left" w:pos="831"/>
        </w:tabs>
        <w:spacing w:before="1" w:line="249" w:lineRule="auto"/>
        <w:ind w:right="122" w:hanging="720"/>
        <w:jc w:val="both"/>
        <w:rPr>
          <w:sz w:val="20"/>
        </w:rPr>
      </w:pPr>
      <w:r>
        <w:rPr>
          <w:sz w:val="20"/>
        </w:rPr>
        <w:t xml:space="preserve">Předmětem této smlouvy je poskytování služeb k programovému vybavení </w:t>
      </w:r>
      <w:r>
        <w:rPr>
          <w:b/>
          <w:sz w:val="20"/>
        </w:rPr>
        <w:t xml:space="preserve">ALFA MZDY AVENSIO </w:t>
      </w:r>
      <w:r>
        <w:rPr>
          <w:sz w:val="20"/>
        </w:rPr>
        <w:t xml:space="preserve">v rozsahu </w:t>
      </w:r>
      <w:r w:rsidR="00703B1D">
        <w:rPr>
          <w:b/>
          <w:sz w:val="20"/>
        </w:rPr>
        <w:t>X</w:t>
      </w:r>
      <w:r>
        <w:rPr>
          <w:b/>
          <w:sz w:val="20"/>
        </w:rPr>
        <w:t xml:space="preserve"> </w:t>
      </w:r>
      <w:r>
        <w:rPr>
          <w:sz w:val="20"/>
        </w:rPr>
        <w:t xml:space="preserve">aktivních mzdových lístků při současném připojení </w:t>
      </w:r>
      <w:r w:rsidR="00703B1D">
        <w:rPr>
          <w:b/>
          <w:sz w:val="20"/>
        </w:rPr>
        <w:t>X</w:t>
      </w:r>
      <w:r>
        <w:rPr>
          <w:b/>
          <w:sz w:val="20"/>
        </w:rPr>
        <w:t xml:space="preserve"> uživatelů </w:t>
      </w:r>
      <w:r>
        <w:rPr>
          <w:sz w:val="20"/>
        </w:rPr>
        <w:t>k</w:t>
      </w:r>
      <w:r>
        <w:rPr>
          <w:spacing w:val="-29"/>
          <w:sz w:val="20"/>
        </w:rPr>
        <w:t xml:space="preserve"> </w:t>
      </w:r>
      <w:r>
        <w:rPr>
          <w:sz w:val="20"/>
        </w:rPr>
        <w:t>databázi.</w:t>
      </w:r>
    </w:p>
    <w:p w:rsidR="008325B8" w:rsidRDefault="00AE3012">
      <w:pPr>
        <w:pStyle w:val="Odstavecseseznamem"/>
        <w:numPr>
          <w:ilvl w:val="1"/>
          <w:numId w:val="8"/>
        </w:numPr>
        <w:tabs>
          <w:tab w:val="left" w:pos="831"/>
        </w:tabs>
        <w:spacing w:before="1" w:line="249" w:lineRule="auto"/>
        <w:ind w:hanging="720"/>
        <w:jc w:val="both"/>
        <w:rPr>
          <w:sz w:val="20"/>
        </w:rPr>
      </w:pPr>
      <w:r>
        <w:rPr>
          <w:sz w:val="20"/>
        </w:rPr>
        <w:t xml:space="preserve">Účelem této smlouvy je úprava práv a povinností smluvních stran tak, aby bylo zajištěno řádné užívání programového vybavení </w:t>
      </w:r>
      <w:r>
        <w:rPr>
          <w:b/>
          <w:sz w:val="20"/>
        </w:rPr>
        <w:t xml:space="preserve">ALFA MZDY AVENSIO </w:t>
      </w:r>
      <w:r>
        <w:rPr>
          <w:sz w:val="20"/>
        </w:rPr>
        <w:t>u</w:t>
      </w:r>
      <w:r>
        <w:rPr>
          <w:spacing w:val="-24"/>
          <w:sz w:val="20"/>
        </w:rPr>
        <w:t xml:space="preserve"> </w:t>
      </w:r>
      <w:r>
        <w:rPr>
          <w:sz w:val="20"/>
        </w:rPr>
        <w:t>NABYVATELE.</w:t>
      </w:r>
    </w:p>
    <w:p w:rsidR="008325B8" w:rsidRDefault="008325B8">
      <w:pPr>
        <w:pStyle w:val="Zkladntext"/>
        <w:rPr>
          <w:sz w:val="22"/>
        </w:rPr>
      </w:pPr>
    </w:p>
    <w:p w:rsidR="008325B8" w:rsidRDefault="00AE3012">
      <w:pPr>
        <w:pStyle w:val="Nadpis4"/>
        <w:spacing w:before="190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2</w:t>
      </w:r>
    </w:p>
    <w:p w:rsidR="008325B8" w:rsidRDefault="008325B8">
      <w:pPr>
        <w:pStyle w:val="Zkladntext"/>
        <w:spacing w:before="7"/>
        <w:rPr>
          <w:rFonts w:ascii="Calibri"/>
          <w:b/>
          <w:sz w:val="18"/>
        </w:rPr>
      </w:pPr>
    </w:p>
    <w:p w:rsidR="008325B8" w:rsidRDefault="00AE3012">
      <w:pPr>
        <w:ind w:left="329" w:right="346"/>
        <w:jc w:val="center"/>
        <w:rPr>
          <w:b/>
          <w:sz w:val="20"/>
        </w:rPr>
      </w:pPr>
      <w:r>
        <w:rPr>
          <w:b/>
          <w:sz w:val="20"/>
        </w:rPr>
        <w:t>DEFINICE POJMŮ</w:t>
      </w:r>
    </w:p>
    <w:p w:rsidR="008325B8" w:rsidRDefault="008325B8">
      <w:pPr>
        <w:pStyle w:val="Zkladntext"/>
        <w:spacing w:before="6"/>
        <w:rPr>
          <w:b/>
        </w:rPr>
      </w:pP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1"/>
        </w:tabs>
        <w:spacing w:before="1" w:line="232" w:lineRule="auto"/>
        <w:ind w:hanging="720"/>
        <w:jc w:val="both"/>
        <w:rPr>
          <w:sz w:val="20"/>
        </w:rPr>
      </w:pPr>
      <w:r>
        <w:rPr>
          <w:sz w:val="20"/>
        </w:rPr>
        <w:t xml:space="preserve">Počítačový program </w:t>
      </w:r>
      <w:r>
        <w:rPr>
          <w:b/>
          <w:sz w:val="20"/>
        </w:rPr>
        <w:t xml:space="preserve">ALFA MZDY AVENSIO </w:t>
      </w:r>
      <w:r>
        <w:rPr>
          <w:sz w:val="20"/>
        </w:rPr>
        <w:t xml:space="preserve">(dále jen </w:t>
      </w:r>
      <w:r>
        <w:rPr>
          <w:i/>
          <w:sz w:val="20"/>
        </w:rPr>
        <w:t>mzdový systém</w:t>
      </w:r>
      <w:r>
        <w:rPr>
          <w:sz w:val="20"/>
        </w:rPr>
        <w:t xml:space="preserve">) - mzdový a </w:t>
      </w:r>
      <w:r>
        <w:rPr>
          <w:sz w:val="20"/>
        </w:rPr>
        <w:t>personální počítačový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2"/>
          <w:sz w:val="20"/>
        </w:rPr>
        <w:t xml:space="preserve"> </w:t>
      </w:r>
      <w:r>
        <w:rPr>
          <w:sz w:val="20"/>
        </w:rPr>
        <w:t>včetně</w:t>
      </w:r>
      <w:r>
        <w:rPr>
          <w:spacing w:val="-4"/>
          <w:sz w:val="20"/>
        </w:rPr>
        <w:t xml:space="preserve"> </w:t>
      </w:r>
      <w:r>
        <w:rPr>
          <w:sz w:val="20"/>
        </w:rPr>
        <w:t>řídících</w:t>
      </w:r>
      <w:r>
        <w:rPr>
          <w:spacing w:val="-4"/>
          <w:sz w:val="20"/>
        </w:rPr>
        <w:t xml:space="preserve"> </w:t>
      </w:r>
      <w:r>
        <w:rPr>
          <w:sz w:val="20"/>
        </w:rPr>
        <w:t>tabulek a</w:t>
      </w:r>
      <w:r>
        <w:rPr>
          <w:spacing w:val="-4"/>
          <w:sz w:val="20"/>
        </w:rPr>
        <w:t xml:space="preserve"> </w:t>
      </w:r>
      <w:r>
        <w:rPr>
          <w:sz w:val="20"/>
        </w:rPr>
        <w:t>číselníků</w:t>
      </w:r>
      <w:r>
        <w:rPr>
          <w:spacing w:val="-5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správný</w:t>
      </w:r>
      <w:r>
        <w:rPr>
          <w:spacing w:val="-10"/>
          <w:sz w:val="20"/>
        </w:rPr>
        <w:t xml:space="preserve"> </w:t>
      </w:r>
      <w:r>
        <w:rPr>
          <w:sz w:val="20"/>
        </w:rPr>
        <w:t>chod</w:t>
      </w:r>
      <w:r>
        <w:rPr>
          <w:spacing w:val="-3"/>
          <w:sz w:val="20"/>
        </w:rPr>
        <w:t xml:space="preserve"> </w:t>
      </w:r>
      <w:r>
        <w:rPr>
          <w:sz w:val="20"/>
        </w:rPr>
        <w:t>programu.</w:t>
      </w: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5" w:line="232" w:lineRule="auto"/>
        <w:ind w:hanging="720"/>
        <w:jc w:val="both"/>
        <w:rPr>
          <w:i/>
          <w:sz w:val="20"/>
        </w:rPr>
      </w:pPr>
      <w:r>
        <w:rPr>
          <w:b/>
          <w:sz w:val="20"/>
        </w:rPr>
        <w:t xml:space="preserve">Moduly mzdového systému </w:t>
      </w:r>
      <w:r>
        <w:rPr>
          <w:sz w:val="20"/>
        </w:rPr>
        <w:t xml:space="preserve">(dále jen </w:t>
      </w:r>
      <w:r>
        <w:rPr>
          <w:i/>
          <w:sz w:val="20"/>
        </w:rPr>
        <w:t>moduly systému</w:t>
      </w:r>
      <w:r>
        <w:rPr>
          <w:sz w:val="20"/>
        </w:rPr>
        <w:t xml:space="preserve">) - další doplňující programy, tabulky a číselníky rozšiřující </w:t>
      </w:r>
      <w:r>
        <w:rPr>
          <w:i/>
          <w:sz w:val="20"/>
        </w:rPr>
        <w:t>mzdový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systém</w:t>
      </w: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5" w:line="235" w:lineRule="auto"/>
        <w:ind w:hanging="720"/>
        <w:jc w:val="both"/>
        <w:rPr>
          <w:b/>
          <w:sz w:val="20"/>
        </w:rPr>
      </w:pPr>
      <w:r>
        <w:rPr>
          <w:b/>
          <w:sz w:val="20"/>
        </w:rPr>
        <w:t xml:space="preserve">Servis </w:t>
      </w:r>
      <w:r>
        <w:rPr>
          <w:sz w:val="20"/>
        </w:rPr>
        <w:t xml:space="preserve">- činnosti zahrnující přípravu nových verzí </w:t>
      </w:r>
      <w:r>
        <w:rPr>
          <w:i/>
          <w:sz w:val="20"/>
        </w:rPr>
        <w:t>mzdového systému</w:t>
      </w:r>
      <w:r>
        <w:rPr>
          <w:sz w:val="20"/>
        </w:rPr>
        <w:t>, přípravu změn řídících číselníků ve smyslu změn v legislativě a v jiných zákonných normách majících vliv na správnou</w:t>
      </w:r>
      <w:r>
        <w:rPr>
          <w:spacing w:val="-38"/>
          <w:sz w:val="20"/>
        </w:rPr>
        <w:t xml:space="preserve"> </w:t>
      </w:r>
      <w:r>
        <w:rPr>
          <w:sz w:val="20"/>
        </w:rPr>
        <w:t>funkci programu,</w:t>
      </w:r>
      <w:r>
        <w:rPr>
          <w:spacing w:val="-6"/>
          <w:sz w:val="20"/>
        </w:rPr>
        <w:t xml:space="preserve"> </w:t>
      </w:r>
      <w:r>
        <w:rPr>
          <w:sz w:val="20"/>
        </w:rPr>
        <w:t>přípravu</w:t>
      </w:r>
      <w:r>
        <w:rPr>
          <w:spacing w:val="-6"/>
          <w:sz w:val="20"/>
        </w:rPr>
        <w:t xml:space="preserve"> </w:t>
      </w:r>
      <w:r>
        <w:rPr>
          <w:sz w:val="20"/>
        </w:rPr>
        <w:t>nových</w:t>
      </w:r>
      <w:r>
        <w:rPr>
          <w:spacing w:val="-5"/>
          <w:sz w:val="20"/>
        </w:rPr>
        <w:t xml:space="preserve"> </w:t>
      </w:r>
      <w:r>
        <w:rPr>
          <w:sz w:val="20"/>
        </w:rPr>
        <w:t>obecných</w:t>
      </w:r>
      <w:r>
        <w:rPr>
          <w:spacing w:val="-6"/>
          <w:sz w:val="20"/>
        </w:rPr>
        <w:t xml:space="preserve"> </w:t>
      </w:r>
      <w:r>
        <w:rPr>
          <w:sz w:val="20"/>
        </w:rPr>
        <w:t>funkcí,</w:t>
      </w:r>
      <w:r>
        <w:rPr>
          <w:spacing w:val="-5"/>
          <w:sz w:val="20"/>
        </w:rPr>
        <w:t xml:space="preserve"> </w:t>
      </w:r>
      <w:r>
        <w:rPr>
          <w:sz w:val="20"/>
        </w:rPr>
        <w:t>sestav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výstupů</w:t>
      </w:r>
      <w:r>
        <w:rPr>
          <w:spacing w:val="-5"/>
          <w:sz w:val="20"/>
        </w:rPr>
        <w:t xml:space="preserve"> </w:t>
      </w:r>
      <w:r>
        <w:rPr>
          <w:sz w:val="20"/>
        </w:rPr>
        <w:t>rozšiřujíc</w:t>
      </w:r>
      <w:r>
        <w:rPr>
          <w:sz w:val="20"/>
        </w:rPr>
        <w:t>ích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mzdový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systém</w:t>
      </w:r>
      <w:r>
        <w:rPr>
          <w:b/>
          <w:sz w:val="20"/>
        </w:rPr>
        <w:t>.</w:t>
      </w: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8" w:line="232" w:lineRule="auto"/>
        <w:ind w:hanging="720"/>
        <w:jc w:val="both"/>
        <w:rPr>
          <w:sz w:val="20"/>
        </w:rPr>
      </w:pPr>
      <w:r>
        <w:rPr>
          <w:b/>
          <w:sz w:val="20"/>
        </w:rPr>
        <w:t xml:space="preserve">Upgrade (Update) </w:t>
      </w:r>
      <w:r>
        <w:rPr>
          <w:sz w:val="20"/>
        </w:rPr>
        <w:t xml:space="preserve">- realizace změn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vzniklých činností servisu, poskytnutí informací o provedených změnách a o změnách v chování </w:t>
      </w:r>
      <w:r>
        <w:rPr>
          <w:i/>
          <w:sz w:val="20"/>
        </w:rPr>
        <w:t>mzdového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systému</w:t>
      </w:r>
      <w:r>
        <w:rPr>
          <w:sz w:val="20"/>
        </w:rPr>
        <w:t>.</w:t>
      </w:r>
    </w:p>
    <w:p w:rsidR="008325B8" w:rsidRDefault="008325B8">
      <w:pPr>
        <w:spacing w:line="232" w:lineRule="auto"/>
        <w:jc w:val="both"/>
        <w:rPr>
          <w:sz w:val="20"/>
        </w:rPr>
        <w:sectPr w:rsidR="008325B8">
          <w:type w:val="continuous"/>
          <w:pgSz w:w="11910" w:h="16840"/>
          <w:pgMar w:top="2040" w:right="640" w:bottom="840" w:left="1340" w:header="708" w:footer="708" w:gutter="0"/>
          <w:cols w:space="708"/>
        </w:sectPr>
      </w:pP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33" w:line="249" w:lineRule="auto"/>
        <w:ind w:right="117" w:hanging="720"/>
        <w:jc w:val="both"/>
        <w:rPr>
          <w:sz w:val="20"/>
        </w:rPr>
      </w:pPr>
      <w:r>
        <w:rPr>
          <w:b/>
          <w:sz w:val="20"/>
        </w:rPr>
        <w:lastRenderedPageBreak/>
        <w:t xml:space="preserve">Hotline </w:t>
      </w:r>
      <w:r>
        <w:rPr>
          <w:sz w:val="20"/>
        </w:rPr>
        <w:t>- telefonická poradenská služba, která za</w:t>
      </w:r>
      <w:r>
        <w:rPr>
          <w:sz w:val="20"/>
        </w:rPr>
        <w:t xml:space="preserve">hrnuje pomoc při obsluze a užívání </w:t>
      </w:r>
      <w:r>
        <w:rPr>
          <w:i/>
          <w:sz w:val="20"/>
        </w:rPr>
        <w:t>mzdového systému</w:t>
      </w:r>
      <w:r>
        <w:rPr>
          <w:sz w:val="20"/>
        </w:rPr>
        <w:t xml:space="preserve">, pomoc s uživatelským nastavením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a konzultace k obsahu jednotlivých výstupů a sestav. </w:t>
      </w:r>
      <w:r>
        <w:rPr>
          <w:i/>
          <w:sz w:val="20"/>
        </w:rPr>
        <w:t xml:space="preserve">Hotline </w:t>
      </w:r>
      <w:r>
        <w:rPr>
          <w:b/>
          <w:sz w:val="20"/>
        </w:rPr>
        <w:t xml:space="preserve">nezahrnuje </w:t>
      </w:r>
      <w:r>
        <w:rPr>
          <w:sz w:val="20"/>
        </w:rPr>
        <w:t>výklady a analýzy legislativy ani její aplikaci na podmínky konkrétního NABYVATELE</w:t>
      </w:r>
      <w:r>
        <w:rPr>
          <w:sz w:val="20"/>
        </w:rPr>
        <w:t xml:space="preserve">. POSKYTOVATEL poskytuje </w:t>
      </w:r>
      <w:r>
        <w:rPr>
          <w:i/>
          <w:sz w:val="20"/>
        </w:rPr>
        <w:t xml:space="preserve">hotline </w:t>
      </w:r>
      <w:r>
        <w:rPr>
          <w:sz w:val="20"/>
        </w:rPr>
        <w:t xml:space="preserve">výhradně na telefonních číslech uvedených v nápovědě </w:t>
      </w:r>
      <w:r>
        <w:rPr>
          <w:i/>
          <w:sz w:val="20"/>
        </w:rPr>
        <w:t xml:space="preserve">mzdového systému </w:t>
      </w:r>
      <w:r>
        <w:rPr>
          <w:sz w:val="20"/>
        </w:rPr>
        <w:t>a na webových stránkách</w:t>
      </w:r>
      <w:r>
        <w:rPr>
          <w:spacing w:val="-36"/>
          <w:sz w:val="20"/>
        </w:rPr>
        <w:t xml:space="preserve"> </w:t>
      </w:r>
      <w:r>
        <w:rPr>
          <w:sz w:val="20"/>
        </w:rPr>
        <w:t>POSKYTOVATELE.</w:t>
      </w: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4" w:line="249" w:lineRule="auto"/>
        <w:ind w:right="122" w:hanging="720"/>
        <w:jc w:val="both"/>
        <w:rPr>
          <w:sz w:val="20"/>
        </w:rPr>
      </w:pPr>
      <w:r>
        <w:rPr>
          <w:b/>
          <w:sz w:val="20"/>
        </w:rPr>
        <w:t xml:space="preserve">Podpora uživatele </w:t>
      </w:r>
      <w:r>
        <w:rPr>
          <w:sz w:val="20"/>
        </w:rPr>
        <w:t xml:space="preserve">(dále jen </w:t>
      </w:r>
      <w:r>
        <w:rPr>
          <w:i/>
          <w:sz w:val="20"/>
        </w:rPr>
        <w:t>podpora</w:t>
      </w:r>
      <w:r>
        <w:rPr>
          <w:sz w:val="20"/>
        </w:rPr>
        <w:t xml:space="preserve">) - příprava specifických číselníků, sestav a výstupů dle zadání NABYVATELE, které nemají vliv na vlastní funkci programu. </w:t>
      </w:r>
      <w:r>
        <w:rPr>
          <w:i/>
          <w:sz w:val="20"/>
        </w:rPr>
        <w:t xml:space="preserve">Podpora </w:t>
      </w:r>
      <w:r>
        <w:rPr>
          <w:sz w:val="20"/>
        </w:rPr>
        <w:t>zahrnuje zejména instalační práce, zálohování a obnovu dat, výpomoc při kontrole správnosti dat, výpomoc při definici uživate</w:t>
      </w:r>
      <w:r>
        <w:rPr>
          <w:sz w:val="20"/>
        </w:rPr>
        <w:t xml:space="preserve">lských výstupů a uživatelských číselníků. Provedení rozsáhlejších prací dle specifického zadání NABYVATELE podléhá po předchozí dohodě zvláštní úhradě. Poskytnutí </w:t>
      </w:r>
      <w:r>
        <w:rPr>
          <w:i/>
          <w:sz w:val="20"/>
        </w:rPr>
        <w:t xml:space="preserve">podpory </w:t>
      </w:r>
      <w:r>
        <w:rPr>
          <w:sz w:val="20"/>
        </w:rPr>
        <w:t>formou návštěvy u NABYVATELE podléhá zvláštní úhradě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vždy.</w:t>
      </w: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5"/>
        <w:ind w:right="0"/>
        <w:jc w:val="both"/>
        <w:rPr>
          <w:sz w:val="20"/>
        </w:rPr>
      </w:pPr>
      <w:r>
        <w:rPr>
          <w:b/>
          <w:sz w:val="20"/>
        </w:rPr>
        <w:t xml:space="preserve">Programátorský servis </w:t>
      </w:r>
      <w:r>
        <w:rPr>
          <w:sz w:val="20"/>
        </w:rPr>
        <w:t>- so</w:t>
      </w:r>
      <w:r>
        <w:rPr>
          <w:sz w:val="20"/>
        </w:rPr>
        <w:t>ubor služeb definovaných v článku 2 odst. 2.3, 2.4 a 2.5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8325B8" w:rsidRDefault="00AE3012">
      <w:pPr>
        <w:pStyle w:val="Odstavecseseznamem"/>
        <w:numPr>
          <w:ilvl w:val="1"/>
          <w:numId w:val="7"/>
        </w:numPr>
        <w:tabs>
          <w:tab w:val="left" w:pos="830"/>
        </w:tabs>
        <w:spacing w:before="10" w:line="249" w:lineRule="auto"/>
        <w:ind w:hanging="720"/>
        <w:jc w:val="both"/>
        <w:rPr>
          <w:sz w:val="20"/>
        </w:rPr>
      </w:pPr>
      <w:r>
        <w:rPr>
          <w:b/>
          <w:sz w:val="20"/>
        </w:rPr>
        <w:t xml:space="preserve">Reklamace </w:t>
      </w:r>
      <w:r>
        <w:rPr>
          <w:sz w:val="20"/>
        </w:rPr>
        <w:t xml:space="preserve">- POSKYTOVATELI prokazatelně doručený soubor dokumentů a potřebných datových souborů jednoznačně popisujících chování </w:t>
      </w:r>
      <w:r>
        <w:rPr>
          <w:i/>
          <w:sz w:val="20"/>
        </w:rPr>
        <w:t xml:space="preserve">mzdového systému </w:t>
      </w:r>
      <w:r>
        <w:rPr>
          <w:sz w:val="20"/>
        </w:rPr>
        <w:t>odlišně od platné legislativy nebo od pl</w:t>
      </w:r>
      <w:r>
        <w:rPr>
          <w:sz w:val="20"/>
        </w:rPr>
        <w:t>atné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dokumentace.</w:t>
      </w:r>
    </w:p>
    <w:p w:rsidR="008325B8" w:rsidRDefault="008325B8">
      <w:pPr>
        <w:pStyle w:val="Zkladntext"/>
        <w:spacing w:before="5"/>
        <w:rPr>
          <w:sz w:val="9"/>
        </w:rPr>
      </w:pPr>
    </w:p>
    <w:p w:rsidR="008325B8" w:rsidRDefault="00AE3012">
      <w:pPr>
        <w:pStyle w:val="Nadpis4"/>
        <w:spacing w:before="90"/>
        <w:ind w:right="345"/>
      </w:pPr>
      <w:r>
        <w:t>Č</w:t>
      </w:r>
      <w:r>
        <w:rPr>
          <w:rFonts w:ascii="Calibri" w:hAnsi="Calibri"/>
        </w:rPr>
        <w:t xml:space="preserve">LÁNEK </w:t>
      </w:r>
      <w:r>
        <w:t>3</w:t>
      </w:r>
    </w:p>
    <w:p w:rsidR="008325B8" w:rsidRDefault="008325B8">
      <w:pPr>
        <w:pStyle w:val="Zkladntext"/>
        <w:spacing w:before="9"/>
        <w:rPr>
          <w:b/>
        </w:rPr>
      </w:pPr>
    </w:p>
    <w:p w:rsidR="008325B8" w:rsidRDefault="00AE3012">
      <w:pPr>
        <w:ind w:left="330" w:right="346"/>
        <w:jc w:val="center"/>
        <w:rPr>
          <w:b/>
          <w:sz w:val="20"/>
        </w:rPr>
      </w:pPr>
      <w:r>
        <w:rPr>
          <w:b/>
          <w:sz w:val="20"/>
        </w:rPr>
        <w:t>SPECIFIKACE SLUŽEB A MOŽNOST ZASTOUPENÍ</w:t>
      </w:r>
    </w:p>
    <w:p w:rsidR="008325B8" w:rsidRDefault="008325B8">
      <w:pPr>
        <w:pStyle w:val="Zkladntext"/>
        <w:spacing w:before="8"/>
        <w:rPr>
          <w:b/>
          <w:sz w:val="21"/>
        </w:rPr>
      </w:pPr>
    </w:p>
    <w:p w:rsidR="008325B8" w:rsidRDefault="00AE3012">
      <w:pPr>
        <w:pStyle w:val="Odstavecseseznamem"/>
        <w:numPr>
          <w:ilvl w:val="1"/>
          <w:numId w:val="6"/>
        </w:numPr>
        <w:tabs>
          <w:tab w:val="left" w:pos="720"/>
          <w:tab w:val="left" w:pos="831"/>
        </w:tabs>
        <w:spacing w:before="1"/>
        <w:ind w:right="13" w:hanging="831"/>
        <w:rPr>
          <w:sz w:val="20"/>
        </w:rPr>
      </w:pPr>
      <w:r>
        <w:rPr>
          <w:sz w:val="20"/>
        </w:rPr>
        <w:t xml:space="preserve">POSKYTOVATEL poskytuje </w:t>
      </w:r>
      <w:r>
        <w:rPr>
          <w:i/>
          <w:sz w:val="20"/>
        </w:rPr>
        <w:t xml:space="preserve">programátorský servis </w:t>
      </w:r>
      <w:r>
        <w:rPr>
          <w:sz w:val="20"/>
        </w:rPr>
        <w:t>koncovému NABYVATELI přímo a to</w:t>
      </w:r>
      <w:r>
        <w:rPr>
          <w:spacing w:val="36"/>
          <w:sz w:val="20"/>
        </w:rPr>
        <w:t xml:space="preserve"> </w:t>
      </w:r>
      <w:r>
        <w:rPr>
          <w:sz w:val="20"/>
        </w:rPr>
        <w:t>formou</w:t>
      </w:r>
    </w:p>
    <w:p w:rsidR="008325B8" w:rsidRDefault="00AE3012">
      <w:pPr>
        <w:spacing w:before="10"/>
        <w:ind w:left="332" w:right="252"/>
        <w:jc w:val="center"/>
        <w:rPr>
          <w:sz w:val="20"/>
        </w:rPr>
      </w:pPr>
      <w:r>
        <w:rPr>
          <w:i/>
          <w:sz w:val="20"/>
        </w:rPr>
        <w:t xml:space="preserve">hotline </w:t>
      </w:r>
      <w:r>
        <w:rPr>
          <w:sz w:val="20"/>
        </w:rPr>
        <w:t xml:space="preserve">nebo prostřednictvím informací uvedených na webových stránkách </w:t>
      </w:r>
      <w:r>
        <w:rPr>
          <w:i/>
          <w:sz w:val="20"/>
        </w:rPr>
        <w:t>mzdového systému</w:t>
      </w:r>
      <w:r>
        <w:rPr>
          <w:sz w:val="20"/>
        </w:rPr>
        <w:t>.</w:t>
      </w:r>
    </w:p>
    <w:p w:rsidR="008325B8" w:rsidRDefault="00AE3012">
      <w:pPr>
        <w:pStyle w:val="Odstavecseseznamem"/>
        <w:numPr>
          <w:ilvl w:val="1"/>
          <w:numId w:val="6"/>
        </w:numPr>
        <w:tabs>
          <w:tab w:val="left" w:pos="831"/>
        </w:tabs>
        <w:spacing w:before="10" w:line="249" w:lineRule="auto"/>
        <w:ind w:left="829" w:hanging="720"/>
        <w:jc w:val="both"/>
        <w:rPr>
          <w:sz w:val="20"/>
        </w:rPr>
      </w:pPr>
      <w:r>
        <w:rPr>
          <w:sz w:val="20"/>
        </w:rPr>
        <w:t xml:space="preserve">POSKYTOVATEL může </w:t>
      </w:r>
      <w:r>
        <w:rPr>
          <w:i/>
          <w:sz w:val="20"/>
        </w:rPr>
        <w:t xml:space="preserve">programátorský servis </w:t>
      </w:r>
      <w:r>
        <w:rPr>
          <w:sz w:val="20"/>
        </w:rPr>
        <w:t xml:space="preserve">poskytovat koncovému NABYVATELI </w:t>
      </w:r>
      <w:r>
        <w:rPr>
          <w:i/>
          <w:sz w:val="20"/>
        </w:rPr>
        <w:t xml:space="preserve">mzdového systému </w:t>
      </w:r>
      <w:r>
        <w:rPr>
          <w:sz w:val="20"/>
        </w:rPr>
        <w:t>prostřednictvím svéhocertifikovaného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ZÁSTUPCE.</w:t>
      </w:r>
    </w:p>
    <w:p w:rsidR="008325B8" w:rsidRDefault="008325B8">
      <w:pPr>
        <w:pStyle w:val="Zkladntext"/>
        <w:rPr>
          <w:sz w:val="22"/>
        </w:rPr>
      </w:pPr>
    </w:p>
    <w:p w:rsidR="008325B8" w:rsidRDefault="008325B8">
      <w:pPr>
        <w:pStyle w:val="Zkladntext"/>
        <w:spacing w:before="6"/>
        <w:rPr>
          <w:sz w:val="18"/>
        </w:rPr>
      </w:pPr>
    </w:p>
    <w:p w:rsidR="008325B8" w:rsidRDefault="00AE3012">
      <w:pPr>
        <w:pStyle w:val="Nadpis4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4</w:t>
      </w:r>
    </w:p>
    <w:p w:rsidR="008325B8" w:rsidRDefault="008325B8">
      <w:pPr>
        <w:pStyle w:val="Zkladntext"/>
        <w:rPr>
          <w:rFonts w:ascii="Calibri"/>
          <w:b/>
          <w:sz w:val="22"/>
        </w:rPr>
      </w:pPr>
    </w:p>
    <w:p w:rsidR="008325B8" w:rsidRDefault="00AE3012">
      <w:pPr>
        <w:spacing w:before="151"/>
        <w:ind w:left="332" w:right="345"/>
        <w:jc w:val="center"/>
        <w:rPr>
          <w:b/>
          <w:sz w:val="20"/>
        </w:rPr>
      </w:pPr>
      <w:r>
        <w:rPr>
          <w:b/>
          <w:sz w:val="20"/>
        </w:rPr>
        <w:t>PRÁVA A POVINNOSTI POSKYTOVATELE</w:t>
      </w:r>
    </w:p>
    <w:p w:rsidR="008325B8" w:rsidRDefault="00AE3012">
      <w:pPr>
        <w:pStyle w:val="Odstavecseseznamem"/>
        <w:numPr>
          <w:ilvl w:val="1"/>
          <w:numId w:val="5"/>
        </w:numPr>
        <w:tabs>
          <w:tab w:val="left" w:pos="831"/>
        </w:tabs>
        <w:spacing w:before="130" w:line="249" w:lineRule="auto"/>
        <w:ind w:right="119" w:hanging="720"/>
        <w:jc w:val="both"/>
        <w:rPr>
          <w:sz w:val="20"/>
        </w:rPr>
      </w:pPr>
      <w:r>
        <w:rPr>
          <w:sz w:val="20"/>
        </w:rPr>
        <w:t xml:space="preserve">POSKYTOVATEL se zavazuje poskytovat NABYVATELI automaticky nové verze </w:t>
      </w:r>
      <w:r>
        <w:rPr>
          <w:i/>
          <w:sz w:val="20"/>
        </w:rPr>
        <w:t xml:space="preserve">mzdového systému </w:t>
      </w:r>
      <w:r>
        <w:rPr>
          <w:sz w:val="20"/>
        </w:rPr>
        <w:t xml:space="preserve">reagující na změny (novelizace) obecně závazných právních předpisů a legislativních podmínek z oblasti mzdové, pracovně právní, nemocenského pojištění, daňové a další. Nové verze budou NABYVATELI k dispozici na webových stránkách </w:t>
      </w:r>
      <w:r>
        <w:rPr>
          <w:i/>
          <w:sz w:val="20"/>
        </w:rPr>
        <w:t xml:space="preserve">mzdového </w:t>
      </w:r>
      <w:r>
        <w:rPr>
          <w:i/>
          <w:sz w:val="20"/>
        </w:rPr>
        <w:t xml:space="preserve">systému </w:t>
      </w:r>
      <w:r>
        <w:rPr>
          <w:sz w:val="20"/>
        </w:rPr>
        <w:t>nebo na internetovém FTP serveru tak, aby bylo možno podle nové právní úpravy zpracovat mzdovou agendu za období, ve kterém nabyl příslušný právní předpis</w:t>
      </w:r>
      <w:r>
        <w:rPr>
          <w:spacing w:val="-7"/>
          <w:sz w:val="20"/>
        </w:rPr>
        <w:t xml:space="preserve"> </w:t>
      </w:r>
      <w:r>
        <w:rPr>
          <w:sz w:val="20"/>
        </w:rPr>
        <w:t>účinnosti.</w:t>
      </w:r>
    </w:p>
    <w:p w:rsidR="008325B8" w:rsidRDefault="00AE3012">
      <w:pPr>
        <w:pStyle w:val="Odstavecseseznamem"/>
        <w:numPr>
          <w:ilvl w:val="1"/>
          <w:numId w:val="5"/>
        </w:numPr>
        <w:tabs>
          <w:tab w:val="left" w:pos="831"/>
        </w:tabs>
        <w:spacing w:before="64" w:line="249" w:lineRule="auto"/>
        <w:ind w:right="117" w:hanging="720"/>
        <w:jc w:val="both"/>
        <w:rPr>
          <w:sz w:val="20"/>
        </w:rPr>
      </w:pPr>
      <w:r>
        <w:rPr>
          <w:sz w:val="20"/>
        </w:rPr>
        <w:t xml:space="preserve">Oznámení o vydání nové verze </w:t>
      </w:r>
      <w:r>
        <w:rPr>
          <w:i/>
          <w:sz w:val="20"/>
        </w:rPr>
        <w:t xml:space="preserve">mzdového systému </w:t>
      </w:r>
      <w:r>
        <w:rPr>
          <w:sz w:val="20"/>
        </w:rPr>
        <w:t>doručí POSKYTOVATEL NABYVATELI elekt</w:t>
      </w:r>
      <w:r>
        <w:rPr>
          <w:sz w:val="20"/>
        </w:rPr>
        <w:t>ronickou poštou na jeho platnou e-mailovou adresu. POSKYTOVATEL nenese žádnou odpovědnost za škody vzniklé na straně NABYVATELE z důvodu neplatné e-mailové adresy NABYVATELE v registru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POSKYTOVATELE.</w:t>
      </w:r>
    </w:p>
    <w:p w:rsidR="008325B8" w:rsidRDefault="00AE3012">
      <w:pPr>
        <w:pStyle w:val="Odstavecseseznamem"/>
        <w:numPr>
          <w:ilvl w:val="1"/>
          <w:numId w:val="5"/>
        </w:numPr>
        <w:tabs>
          <w:tab w:val="left" w:pos="831"/>
        </w:tabs>
        <w:spacing w:before="4"/>
        <w:ind w:left="830" w:right="0" w:hanging="722"/>
        <w:jc w:val="both"/>
        <w:rPr>
          <w:i/>
          <w:sz w:val="20"/>
        </w:rPr>
      </w:pPr>
      <w:r>
        <w:rPr>
          <w:sz w:val="20"/>
        </w:rPr>
        <w:t xml:space="preserve">POSKYTOVATEL se zavazuje zpřístupnit NABYVATELI na webových stránkách </w:t>
      </w:r>
      <w:r>
        <w:rPr>
          <w:i/>
          <w:sz w:val="20"/>
        </w:rPr>
        <w:t>mzdového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systému</w:t>
      </w:r>
    </w:p>
    <w:p w:rsidR="008325B8" w:rsidRDefault="00AE3012">
      <w:pPr>
        <w:pStyle w:val="Zkladntext"/>
        <w:spacing w:before="10"/>
        <w:ind w:left="829"/>
        <w:jc w:val="both"/>
      </w:pPr>
      <w:r>
        <w:t>svůj registr pro aktualizaci identifikačních údajů NABYVATELE, zejména e-mailové adresy.</w:t>
      </w:r>
    </w:p>
    <w:p w:rsidR="008325B8" w:rsidRDefault="00AE3012">
      <w:pPr>
        <w:pStyle w:val="Odstavecseseznamem"/>
        <w:numPr>
          <w:ilvl w:val="1"/>
          <w:numId w:val="5"/>
        </w:numPr>
        <w:tabs>
          <w:tab w:val="left" w:pos="831"/>
        </w:tabs>
        <w:spacing w:before="10" w:line="249" w:lineRule="auto"/>
        <w:ind w:hanging="720"/>
        <w:jc w:val="both"/>
        <w:rPr>
          <w:sz w:val="20"/>
        </w:rPr>
      </w:pPr>
      <w:r>
        <w:rPr>
          <w:sz w:val="20"/>
        </w:rPr>
        <w:t>POSKYTOVATEL si vyhrazuje právo fakturovat další náklady na nové verze programov</w:t>
      </w:r>
      <w:r>
        <w:rPr>
          <w:sz w:val="20"/>
        </w:rPr>
        <w:t>ého vybavení reagující na zásadní změny legislativy (např. zcela nový daňový systém, penzijní reformu, reformu zdravotního nebo sociálního pojištění apod.) podle objemu provedených potřebných</w:t>
      </w:r>
      <w:r>
        <w:rPr>
          <w:spacing w:val="19"/>
          <w:sz w:val="20"/>
        </w:rPr>
        <w:t xml:space="preserve"> </w:t>
      </w:r>
      <w:r>
        <w:rPr>
          <w:sz w:val="20"/>
        </w:rPr>
        <w:t>prací.</w:t>
      </w:r>
    </w:p>
    <w:p w:rsidR="008325B8" w:rsidRDefault="00AE3012">
      <w:pPr>
        <w:pStyle w:val="Odstavecseseznamem"/>
        <w:numPr>
          <w:ilvl w:val="1"/>
          <w:numId w:val="5"/>
        </w:numPr>
        <w:tabs>
          <w:tab w:val="left" w:pos="831"/>
        </w:tabs>
        <w:spacing w:before="62" w:line="249" w:lineRule="auto"/>
        <w:ind w:right="122" w:hanging="720"/>
        <w:jc w:val="both"/>
        <w:rPr>
          <w:sz w:val="20"/>
        </w:rPr>
      </w:pPr>
      <w:r>
        <w:rPr>
          <w:sz w:val="20"/>
        </w:rPr>
        <w:t>POSKYTOVATEL se zavazuje zachovat mlčenlivost o všech sku</w:t>
      </w:r>
      <w:r>
        <w:rPr>
          <w:sz w:val="20"/>
        </w:rPr>
        <w:t xml:space="preserve">tečnostech, o kterých se dozví v souvislosti s poskytováním </w:t>
      </w:r>
      <w:r>
        <w:rPr>
          <w:i/>
          <w:sz w:val="20"/>
        </w:rPr>
        <w:t xml:space="preserve">programátorského servisu </w:t>
      </w:r>
      <w:r>
        <w:rPr>
          <w:sz w:val="20"/>
        </w:rPr>
        <w:t xml:space="preserve">a </w:t>
      </w:r>
      <w:r>
        <w:rPr>
          <w:i/>
          <w:sz w:val="20"/>
        </w:rPr>
        <w:t xml:space="preserve">podpory </w:t>
      </w:r>
      <w:r>
        <w:rPr>
          <w:sz w:val="20"/>
        </w:rPr>
        <w:t>a nesdělit a nezpřístupnit takové skutečnosti třetí</w:t>
      </w:r>
      <w:r>
        <w:rPr>
          <w:spacing w:val="-4"/>
          <w:sz w:val="20"/>
        </w:rPr>
        <w:t xml:space="preserve"> </w:t>
      </w:r>
      <w:r>
        <w:rPr>
          <w:sz w:val="20"/>
        </w:rPr>
        <w:t>osobě.</w:t>
      </w:r>
    </w:p>
    <w:p w:rsidR="008325B8" w:rsidRDefault="008325B8">
      <w:pPr>
        <w:spacing w:line="249" w:lineRule="auto"/>
        <w:jc w:val="both"/>
        <w:rPr>
          <w:sz w:val="20"/>
        </w:rPr>
        <w:sectPr w:rsidR="008325B8">
          <w:pgSz w:w="11910" w:h="16840"/>
          <w:pgMar w:top="2040" w:right="640" w:bottom="840" w:left="1340" w:header="170" w:footer="640" w:gutter="0"/>
          <w:cols w:space="708"/>
        </w:sectPr>
      </w:pPr>
    </w:p>
    <w:p w:rsidR="008325B8" w:rsidRDefault="00AE3012">
      <w:pPr>
        <w:pStyle w:val="Nadpis4"/>
        <w:spacing w:before="122"/>
        <w:ind w:left="331"/>
      </w:pPr>
      <w:r>
        <w:lastRenderedPageBreak/>
        <w:t>PRÁVA A POVINNOSTI NABYVATELE</w:t>
      </w:r>
    </w:p>
    <w:p w:rsidR="008325B8" w:rsidRDefault="00AE3012">
      <w:pPr>
        <w:pStyle w:val="Odstavecseseznamem"/>
        <w:numPr>
          <w:ilvl w:val="1"/>
          <w:numId w:val="4"/>
        </w:numPr>
        <w:tabs>
          <w:tab w:val="left" w:pos="830"/>
          <w:tab w:val="left" w:pos="831"/>
        </w:tabs>
        <w:spacing w:before="130" w:line="249" w:lineRule="auto"/>
        <w:ind w:right="116" w:hanging="720"/>
        <w:rPr>
          <w:b/>
          <w:i/>
          <w:sz w:val="20"/>
        </w:rPr>
      </w:pPr>
      <w:r>
        <w:rPr>
          <w:sz w:val="20"/>
        </w:rPr>
        <w:t xml:space="preserve">NABYVATEL je povinen dodržovat ustanovení </w:t>
      </w:r>
      <w:r>
        <w:rPr>
          <w:b/>
          <w:sz w:val="20"/>
        </w:rPr>
        <w:t>Smlouvy o už</w:t>
      </w:r>
      <w:r>
        <w:rPr>
          <w:b/>
          <w:sz w:val="20"/>
        </w:rPr>
        <w:t xml:space="preserve">ívání programového vybavení ALFA MZDY AVENSIO </w:t>
      </w:r>
      <w:r>
        <w:rPr>
          <w:sz w:val="20"/>
        </w:rPr>
        <w:t xml:space="preserve">a </w:t>
      </w:r>
      <w:r>
        <w:rPr>
          <w:b/>
          <w:sz w:val="20"/>
        </w:rPr>
        <w:t>Licenční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ujednání</w:t>
      </w:r>
      <w:r>
        <w:rPr>
          <w:b/>
          <w:i/>
          <w:sz w:val="20"/>
        </w:rPr>
        <w:t>.</w:t>
      </w:r>
    </w:p>
    <w:p w:rsidR="008325B8" w:rsidRDefault="00AE3012">
      <w:pPr>
        <w:pStyle w:val="Odstavecseseznamem"/>
        <w:numPr>
          <w:ilvl w:val="1"/>
          <w:numId w:val="4"/>
        </w:numPr>
        <w:tabs>
          <w:tab w:val="left" w:pos="830"/>
          <w:tab w:val="left" w:pos="831"/>
        </w:tabs>
        <w:spacing w:before="62" w:line="249" w:lineRule="auto"/>
        <w:ind w:hanging="720"/>
        <w:rPr>
          <w:sz w:val="20"/>
        </w:rPr>
      </w:pPr>
      <w:r>
        <w:rPr>
          <w:sz w:val="20"/>
        </w:rPr>
        <w:t xml:space="preserve">NABYVATEL je povinen pravidelně hradit odměnu za </w:t>
      </w:r>
      <w:r>
        <w:rPr>
          <w:i/>
          <w:sz w:val="20"/>
        </w:rPr>
        <w:t xml:space="preserve">programátorský servis </w:t>
      </w:r>
      <w:r>
        <w:rPr>
          <w:sz w:val="20"/>
        </w:rPr>
        <w:t>v dohodnuté výši a za podmínek stanovených v článku 6 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smlouvy.</w:t>
      </w:r>
    </w:p>
    <w:p w:rsidR="008325B8" w:rsidRDefault="00AE3012">
      <w:pPr>
        <w:pStyle w:val="Odstavecseseznamem"/>
        <w:numPr>
          <w:ilvl w:val="1"/>
          <w:numId w:val="4"/>
        </w:numPr>
        <w:tabs>
          <w:tab w:val="left" w:pos="830"/>
          <w:tab w:val="left" w:pos="831"/>
        </w:tabs>
        <w:spacing w:before="2"/>
        <w:ind w:left="830" w:right="0" w:hanging="722"/>
        <w:rPr>
          <w:sz w:val="20"/>
        </w:rPr>
      </w:pPr>
      <w:r>
        <w:rPr>
          <w:sz w:val="20"/>
        </w:rPr>
        <w:t>NABYVATEL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správnost</w:t>
      </w:r>
      <w:r>
        <w:rPr>
          <w:spacing w:val="-6"/>
          <w:sz w:val="20"/>
        </w:rPr>
        <w:t xml:space="preserve"> </w:t>
      </w:r>
      <w:r>
        <w:rPr>
          <w:sz w:val="20"/>
        </w:rPr>
        <w:t>své</w:t>
      </w:r>
      <w:r>
        <w:rPr>
          <w:spacing w:val="-4"/>
          <w:sz w:val="20"/>
        </w:rPr>
        <w:t xml:space="preserve"> </w:t>
      </w:r>
      <w:r>
        <w:rPr>
          <w:sz w:val="20"/>
        </w:rPr>
        <w:t>kontaktní</w:t>
      </w:r>
      <w:r>
        <w:rPr>
          <w:spacing w:val="-4"/>
          <w:sz w:val="20"/>
        </w:rPr>
        <w:t xml:space="preserve"> </w:t>
      </w:r>
      <w:r>
        <w:rPr>
          <w:sz w:val="20"/>
        </w:rPr>
        <w:t>e-mailové</w:t>
      </w:r>
      <w:r>
        <w:rPr>
          <w:spacing w:val="-5"/>
          <w:sz w:val="20"/>
        </w:rPr>
        <w:t xml:space="preserve"> </w:t>
      </w:r>
      <w:r>
        <w:rPr>
          <w:sz w:val="20"/>
        </w:rPr>
        <w:t>adresy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POSKYTOVATELE.</w:t>
      </w:r>
    </w:p>
    <w:p w:rsidR="008325B8" w:rsidRDefault="00AE3012">
      <w:pPr>
        <w:pStyle w:val="Odstavecseseznamem"/>
        <w:numPr>
          <w:ilvl w:val="1"/>
          <w:numId w:val="4"/>
        </w:numPr>
        <w:tabs>
          <w:tab w:val="left" w:pos="830"/>
          <w:tab w:val="left" w:pos="831"/>
        </w:tabs>
        <w:spacing w:before="10" w:line="249" w:lineRule="auto"/>
        <w:ind w:hanging="720"/>
        <w:rPr>
          <w:i/>
          <w:sz w:val="20"/>
        </w:rPr>
      </w:pPr>
      <w:r>
        <w:rPr>
          <w:sz w:val="20"/>
        </w:rPr>
        <w:t xml:space="preserve">NABYVATEL je povinen pravidelně, nejméně 1x měsíčně před zpracováním mezd, ověřit na webových stránkách POSKYTOVATELE platnost verze </w:t>
      </w:r>
      <w:r>
        <w:rPr>
          <w:i/>
          <w:sz w:val="20"/>
        </w:rPr>
        <w:t>mzdového systému</w:t>
      </w:r>
      <w:r>
        <w:rPr>
          <w:sz w:val="20"/>
        </w:rPr>
        <w:t>, který</w:t>
      </w:r>
      <w:r>
        <w:rPr>
          <w:spacing w:val="-36"/>
          <w:sz w:val="20"/>
        </w:rPr>
        <w:t xml:space="preserve"> </w:t>
      </w:r>
      <w:r>
        <w:rPr>
          <w:sz w:val="20"/>
        </w:rPr>
        <w:t>používá</w:t>
      </w:r>
      <w:r>
        <w:rPr>
          <w:i/>
          <w:sz w:val="20"/>
        </w:rPr>
        <w:t>.</w:t>
      </w:r>
    </w:p>
    <w:p w:rsidR="008325B8" w:rsidRDefault="008325B8">
      <w:pPr>
        <w:pStyle w:val="Zkladntext"/>
        <w:rPr>
          <w:i/>
          <w:sz w:val="22"/>
        </w:rPr>
      </w:pPr>
    </w:p>
    <w:p w:rsidR="008325B8" w:rsidRDefault="00AE3012">
      <w:pPr>
        <w:pStyle w:val="Nadpis4"/>
        <w:spacing w:before="158"/>
        <w:rPr>
          <w:rFonts w:ascii="Calibri" w:hAnsi="Calibri"/>
        </w:rPr>
      </w:pPr>
      <w:r>
        <w:t>Č</w:t>
      </w:r>
      <w:r>
        <w:rPr>
          <w:rFonts w:ascii="Calibri" w:hAnsi="Calibri"/>
        </w:rPr>
        <w:t>LÁNEK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6</w:t>
      </w:r>
    </w:p>
    <w:p w:rsidR="008325B8" w:rsidRDefault="008325B8">
      <w:pPr>
        <w:pStyle w:val="Zkladntext"/>
        <w:spacing w:before="7"/>
        <w:rPr>
          <w:rFonts w:ascii="Calibri"/>
          <w:b/>
          <w:sz w:val="18"/>
        </w:rPr>
      </w:pPr>
    </w:p>
    <w:p w:rsidR="008325B8" w:rsidRDefault="00AE3012">
      <w:pPr>
        <w:ind w:left="332" w:right="338"/>
        <w:jc w:val="center"/>
        <w:rPr>
          <w:b/>
          <w:sz w:val="20"/>
        </w:rPr>
      </w:pPr>
      <w:r>
        <w:rPr>
          <w:b/>
          <w:sz w:val="20"/>
        </w:rPr>
        <w:t>ODMĚNA</w:t>
      </w:r>
    </w:p>
    <w:p w:rsidR="008325B8" w:rsidRDefault="008325B8">
      <w:pPr>
        <w:pStyle w:val="Zkladntext"/>
        <w:spacing w:before="9"/>
        <w:rPr>
          <w:b/>
          <w:sz w:val="19"/>
        </w:rPr>
      </w:pP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line="235" w:lineRule="auto"/>
        <w:ind w:right="121"/>
        <w:jc w:val="both"/>
        <w:rPr>
          <w:sz w:val="20"/>
        </w:rPr>
      </w:pPr>
      <w:r>
        <w:rPr>
          <w:sz w:val="20"/>
        </w:rPr>
        <w:t xml:space="preserve">Odměna za </w:t>
      </w:r>
      <w:r>
        <w:rPr>
          <w:i/>
          <w:sz w:val="20"/>
        </w:rPr>
        <w:t xml:space="preserve">programátorský servis </w:t>
      </w:r>
      <w:r>
        <w:rPr>
          <w:sz w:val="20"/>
        </w:rPr>
        <w:t xml:space="preserve">je stanovena podle Zákona o cenách č. 526/1990 Sbírky a to dohodou na </w:t>
      </w:r>
      <w:r w:rsidR="00703B1D">
        <w:rPr>
          <w:b/>
          <w:sz w:val="20"/>
        </w:rPr>
        <w:t>X</w:t>
      </w:r>
      <w:r>
        <w:rPr>
          <w:b/>
          <w:sz w:val="20"/>
        </w:rPr>
        <w:t xml:space="preserve">,- Kč </w:t>
      </w:r>
      <w:r>
        <w:rPr>
          <w:sz w:val="20"/>
        </w:rPr>
        <w:t xml:space="preserve">bez DPH ročně. V případě uzavření smlouvy v průběhu roku později než v měsíci lednu je odměna za </w:t>
      </w:r>
      <w:r>
        <w:rPr>
          <w:i/>
          <w:sz w:val="20"/>
        </w:rPr>
        <w:t xml:space="preserve">programátorský servis </w:t>
      </w:r>
      <w:r>
        <w:rPr>
          <w:sz w:val="20"/>
        </w:rPr>
        <w:t>v prvním roce stanovena jako alik</w:t>
      </w:r>
      <w:r>
        <w:rPr>
          <w:sz w:val="20"/>
        </w:rPr>
        <w:t>votní část roční odměny.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line="232" w:lineRule="auto"/>
        <w:jc w:val="both"/>
        <w:rPr>
          <w:sz w:val="20"/>
        </w:rPr>
      </w:pPr>
      <w:r>
        <w:rPr>
          <w:sz w:val="20"/>
        </w:rPr>
        <w:t xml:space="preserve">Odměna </w:t>
      </w:r>
      <w:r>
        <w:rPr>
          <w:i/>
          <w:sz w:val="20"/>
        </w:rPr>
        <w:t xml:space="preserve">programátorského servisu </w:t>
      </w:r>
      <w:r>
        <w:rPr>
          <w:sz w:val="20"/>
        </w:rPr>
        <w:t>bude NABYVATELI fakturována čtvrtletně a to vždy v průběhu prvního měsíce kalendářního čtvrtletí na příslušné kalendářní</w:t>
      </w:r>
      <w:r>
        <w:rPr>
          <w:spacing w:val="-13"/>
          <w:sz w:val="20"/>
        </w:rPr>
        <w:t xml:space="preserve"> </w:t>
      </w:r>
      <w:r>
        <w:rPr>
          <w:sz w:val="20"/>
        </w:rPr>
        <w:t>čtvrtletí.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line="230" w:lineRule="auto"/>
        <w:jc w:val="both"/>
        <w:rPr>
          <w:sz w:val="20"/>
        </w:rPr>
      </w:pPr>
      <w:r>
        <w:rPr>
          <w:sz w:val="20"/>
        </w:rPr>
        <w:t>NABYVATEL</w:t>
      </w:r>
      <w:r>
        <w:rPr>
          <w:spacing w:val="-7"/>
          <w:sz w:val="20"/>
        </w:rPr>
        <w:t xml:space="preserve"> </w:t>
      </w:r>
      <w:r>
        <w:rPr>
          <w:sz w:val="20"/>
        </w:rPr>
        <w:t>bere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čtvrtletní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zasílány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POSKYTOVATELEM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elektronickou cestou na platnou e-mailovou adresu</w:t>
      </w:r>
      <w:r>
        <w:rPr>
          <w:spacing w:val="-9"/>
          <w:sz w:val="20"/>
        </w:rPr>
        <w:t xml:space="preserve"> </w:t>
      </w:r>
      <w:r>
        <w:rPr>
          <w:sz w:val="20"/>
        </w:rPr>
        <w:t>NABYVATELE.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before="19" w:line="249" w:lineRule="auto"/>
        <w:ind w:right="117"/>
        <w:jc w:val="both"/>
        <w:rPr>
          <w:sz w:val="20"/>
        </w:rPr>
      </w:pPr>
      <w:r>
        <w:rPr>
          <w:sz w:val="20"/>
        </w:rPr>
        <w:t>NABYVATEL se zavazuje hradit POSKYTOVATELI účtovanou část roční odměny včetně příslušné DPH v termínu splatnosti uvedeném na faktuře. V případě prodlení NABYVATELE s úhradou faktu</w:t>
      </w:r>
      <w:r>
        <w:rPr>
          <w:sz w:val="20"/>
        </w:rPr>
        <w:t>ry vzniká POSKYTOVATELI právo účtovat úrok z prodlení ve výši 0,05% z dlužné částky za každý den prodlení. Platební povinnost NABYVATELE je splněna připsáním fakturované částky v plné výši včetně příslušné DPH na účet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POSKYTOVATELE.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before="4" w:line="249" w:lineRule="auto"/>
        <w:ind w:right="122"/>
        <w:jc w:val="both"/>
        <w:rPr>
          <w:sz w:val="20"/>
        </w:rPr>
      </w:pPr>
      <w:r>
        <w:rPr>
          <w:sz w:val="20"/>
        </w:rPr>
        <w:t>NABYVATEL</w:t>
      </w:r>
      <w:r>
        <w:rPr>
          <w:spacing w:val="-6"/>
          <w:sz w:val="20"/>
        </w:rPr>
        <w:t xml:space="preserve"> </w:t>
      </w:r>
      <w:r>
        <w:rPr>
          <w:spacing w:val="2"/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lnění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pacing w:val="2"/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 závazky vůči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POSKYTOVATELI.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before="2" w:line="249" w:lineRule="auto"/>
        <w:jc w:val="both"/>
        <w:rPr>
          <w:sz w:val="20"/>
        </w:rPr>
      </w:pPr>
      <w:r>
        <w:rPr>
          <w:sz w:val="20"/>
        </w:rPr>
        <w:t xml:space="preserve">Skutečné náklady za případnou návštěvu vyžádanou NABYVATELEM případně za jinou </w:t>
      </w:r>
      <w:r>
        <w:rPr>
          <w:i/>
          <w:sz w:val="20"/>
        </w:rPr>
        <w:t xml:space="preserve">podporu </w:t>
      </w:r>
      <w:r>
        <w:rPr>
          <w:sz w:val="20"/>
        </w:rPr>
        <w:t>poskytnutou dle článku 2 bodu 2.6 této smlouvy budou fakturovány samostatně podle aktuálního ceníku služeb</w:t>
      </w:r>
      <w:r>
        <w:rPr>
          <w:spacing w:val="-4"/>
          <w:sz w:val="20"/>
        </w:rPr>
        <w:t xml:space="preserve"> </w:t>
      </w:r>
      <w:r>
        <w:rPr>
          <w:sz w:val="20"/>
        </w:rPr>
        <w:t>POSKYTOVATELE.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before="2" w:line="249" w:lineRule="auto"/>
        <w:jc w:val="both"/>
        <w:rPr>
          <w:sz w:val="20"/>
        </w:rPr>
      </w:pPr>
      <w:r>
        <w:rPr>
          <w:sz w:val="20"/>
        </w:rPr>
        <w:t xml:space="preserve">Odměna za </w:t>
      </w:r>
      <w:r>
        <w:rPr>
          <w:i/>
          <w:sz w:val="20"/>
        </w:rPr>
        <w:t xml:space="preserve">programátorský servis </w:t>
      </w:r>
      <w:r>
        <w:rPr>
          <w:sz w:val="20"/>
        </w:rPr>
        <w:t>může být v následujících letech POSKYTOVATELEM změněna, a to vždy pouze k 1.1. kalendářního roku. POSK</w:t>
      </w:r>
      <w:r>
        <w:rPr>
          <w:sz w:val="20"/>
        </w:rPr>
        <w:t xml:space="preserve">YTOVATEL je v tomto případě povinen NABYVATELE o tomto rozhodnutí nejméně 3 kalendářní měsíce předem písemně upozornit a oznámit </w:t>
      </w:r>
      <w:r>
        <w:rPr>
          <w:spacing w:val="2"/>
          <w:sz w:val="20"/>
        </w:rPr>
        <w:t xml:space="preserve">mu </w:t>
      </w:r>
      <w:r>
        <w:rPr>
          <w:sz w:val="20"/>
        </w:rPr>
        <w:t xml:space="preserve">novou výši odměny za </w:t>
      </w:r>
      <w:r>
        <w:rPr>
          <w:i/>
          <w:sz w:val="20"/>
        </w:rPr>
        <w:t>programátorský servis</w:t>
      </w:r>
      <w:r>
        <w:rPr>
          <w:sz w:val="20"/>
        </w:rPr>
        <w:t xml:space="preserve">. NABYVATEL je oprávněn po obdržení oznámení nových odměn od smlouvy nejpozději k </w:t>
      </w:r>
      <w:r>
        <w:rPr>
          <w:sz w:val="20"/>
        </w:rPr>
        <w:t xml:space="preserve">31.12. aktuálního kalendářního roku písemně odstoupit. Neodstoupí- li NABYVATEL od smlouvy bez zbytečného odkladu, platí, že novou výši odměny za </w:t>
      </w:r>
      <w:r>
        <w:rPr>
          <w:i/>
          <w:sz w:val="20"/>
        </w:rPr>
        <w:t>programátorský servis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8325B8" w:rsidRDefault="00AE3012">
      <w:pPr>
        <w:pStyle w:val="Odstavecseseznamem"/>
        <w:numPr>
          <w:ilvl w:val="1"/>
          <w:numId w:val="3"/>
        </w:numPr>
        <w:tabs>
          <w:tab w:val="left" w:pos="829"/>
        </w:tabs>
        <w:spacing w:before="6" w:line="249" w:lineRule="auto"/>
        <w:jc w:val="both"/>
        <w:rPr>
          <w:sz w:val="20"/>
        </w:rPr>
      </w:pPr>
      <w:r>
        <w:rPr>
          <w:sz w:val="20"/>
        </w:rPr>
        <w:t>POSKYTOVATEL je oprávněn valorizovat výši roční odměny za programátorský serv</w:t>
      </w:r>
      <w:r>
        <w:rPr>
          <w:sz w:val="20"/>
        </w:rPr>
        <w:t>is vždy k 30.6. kalendářního roku, a to maximálně do výše míry inflace dle indexu spotřebitelských cen vyhlašovaného Českým statistickým úřadem pro předchozí kalendářní rok. POSKYTOVATEL je povinen NABYVATELI oznámit novou výši roční odměny písemně, a to n</w:t>
      </w:r>
      <w:r>
        <w:rPr>
          <w:sz w:val="20"/>
        </w:rPr>
        <w:t xml:space="preserve">ejpozději do 30.4. příslušného kalendářního roku. Pokud tak POSKYTOVATEL neučiní, není NABYVATEL povinen brát na zvýšení roční odměny za </w:t>
      </w:r>
      <w:r>
        <w:rPr>
          <w:i/>
          <w:sz w:val="20"/>
        </w:rPr>
        <w:t>programátorský servis</w:t>
      </w:r>
      <w:r>
        <w:rPr>
          <w:i/>
          <w:spacing w:val="-16"/>
          <w:sz w:val="20"/>
        </w:rPr>
        <w:t xml:space="preserve"> </w:t>
      </w:r>
      <w:r>
        <w:rPr>
          <w:sz w:val="20"/>
        </w:rPr>
        <w:t>zřetel.</w:t>
      </w:r>
    </w:p>
    <w:p w:rsidR="008325B8" w:rsidRDefault="008325B8">
      <w:pPr>
        <w:spacing w:line="249" w:lineRule="auto"/>
        <w:jc w:val="both"/>
        <w:rPr>
          <w:sz w:val="20"/>
        </w:rPr>
        <w:sectPr w:rsidR="008325B8">
          <w:headerReference w:type="default" r:id="rId9"/>
          <w:footerReference w:type="default" r:id="rId10"/>
          <w:pgSz w:w="11910" w:h="16840"/>
          <w:pgMar w:top="2360" w:right="640" w:bottom="840" w:left="1340" w:header="170" w:footer="640" w:gutter="0"/>
          <w:pgNumType w:start="3"/>
          <w:cols w:space="708"/>
        </w:sectPr>
      </w:pPr>
    </w:p>
    <w:p w:rsidR="008325B8" w:rsidRDefault="008325B8">
      <w:pPr>
        <w:pStyle w:val="Zkladntext"/>
        <w:rPr>
          <w:sz w:val="13"/>
        </w:rPr>
      </w:pPr>
    </w:p>
    <w:p w:rsidR="008325B8" w:rsidRDefault="00AE3012">
      <w:pPr>
        <w:pStyle w:val="Nadpis4"/>
        <w:spacing w:before="93"/>
        <w:ind w:left="331"/>
      </w:pPr>
      <w:r>
        <w:t>UKONČENÍ PLATNOSTI SMLOUVY</w:t>
      </w:r>
    </w:p>
    <w:p w:rsidR="008325B8" w:rsidRDefault="008325B8">
      <w:pPr>
        <w:pStyle w:val="Zkladntext"/>
        <w:spacing w:before="8"/>
        <w:rPr>
          <w:b/>
          <w:sz w:val="21"/>
        </w:rPr>
      </w:pPr>
    </w:p>
    <w:p w:rsidR="008325B8" w:rsidRDefault="00AE3012">
      <w:pPr>
        <w:pStyle w:val="Odstavecseseznamem"/>
        <w:numPr>
          <w:ilvl w:val="1"/>
          <w:numId w:val="2"/>
        </w:numPr>
        <w:tabs>
          <w:tab w:val="left" w:pos="829"/>
        </w:tabs>
        <w:spacing w:line="249" w:lineRule="auto"/>
        <w:jc w:val="both"/>
        <w:rPr>
          <w:sz w:val="20"/>
        </w:rPr>
      </w:pPr>
      <w:r>
        <w:rPr>
          <w:sz w:val="20"/>
        </w:rPr>
        <w:t>Tuto smlouvu je možné zrušit písemnou výpovědí, doručenou druhé smluvní straně. Výpovědní lhůta je tři měsíce a počíná běžet prvním dnem měsíce následujícího po doručení výpovědi druhé smluvní straně.</w:t>
      </w:r>
    </w:p>
    <w:p w:rsidR="008325B8" w:rsidRDefault="00AE3012">
      <w:pPr>
        <w:pStyle w:val="Odstavecseseznamem"/>
        <w:numPr>
          <w:ilvl w:val="1"/>
          <w:numId w:val="2"/>
        </w:numPr>
        <w:tabs>
          <w:tab w:val="left" w:pos="829"/>
        </w:tabs>
        <w:spacing w:before="3" w:line="249" w:lineRule="auto"/>
        <w:ind w:right="124"/>
        <w:jc w:val="both"/>
        <w:rPr>
          <w:sz w:val="20"/>
        </w:rPr>
      </w:pPr>
      <w:r>
        <w:rPr>
          <w:sz w:val="20"/>
        </w:rPr>
        <w:t>POSKYTOVATEL je oprávněn od plnění této smlouvy jednostranně písemně okamžitě odstoupit v případě hrubého porušení povinností ze strany NABYVATELE, definovaných v článku 5 bodech 5.1</w:t>
      </w:r>
      <w:r>
        <w:rPr>
          <w:spacing w:val="-33"/>
          <w:sz w:val="20"/>
        </w:rPr>
        <w:t xml:space="preserve"> </w:t>
      </w:r>
      <w:r>
        <w:rPr>
          <w:sz w:val="20"/>
        </w:rPr>
        <w:t>a</w:t>
      </w:r>
    </w:p>
    <w:p w:rsidR="008325B8" w:rsidRDefault="00AE3012">
      <w:pPr>
        <w:pStyle w:val="Zkladntext"/>
        <w:spacing w:before="1"/>
        <w:ind w:left="829"/>
        <w:jc w:val="both"/>
      </w:pPr>
      <w:r>
        <w:t>5.2. NABYVATEL nemá nárok na eventuální náhradu škody, která mu tímto o</w:t>
      </w:r>
      <w:r>
        <w:t>dstoupením vznikne.</w:t>
      </w:r>
    </w:p>
    <w:p w:rsidR="008325B8" w:rsidRDefault="00AE3012">
      <w:pPr>
        <w:pStyle w:val="Odstavecseseznamem"/>
        <w:numPr>
          <w:ilvl w:val="1"/>
          <w:numId w:val="2"/>
        </w:numPr>
        <w:tabs>
          <w:tab w:val="left" w:pos="829"/>
        </w:tabs>
        <w:spacing w:before="10" w:line="249" w:lineRule="auto"/>
        <w:ind w:right="122"/>
        <w:jc w:val="both"/>
        <w:rPr>
          <w:sz w:val="20"/>
        </w:rPr>
      </w:pPr>
      <w:r>
        <w:rPr>
          <w:sz w:val="20"/>
        </w:rPr>
        <w:t>NABYVATEL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-4"/>
          <w:sz w:val="20"/>
        </w:rPr>
        <w:t xml:space="preserve"> </w:t>
      </w:r>
      <w:r>
        <w:rPr>
          <w:sz w:val="20"/>
        </w:rPr>
        <w:t>písemně</w:t>
      </w:r>
      <w:r>
        <w:rPr>
          <w:spacing w:val="-5"/>
          <w:sz w:val="20"/>
        </w:rPr>
        <w:t xml:space="preserve"> </w:t>
      </w:r>
      <w:r>
        <w:rPr>
          <w:sz w:val="20"/>
        </w:rPr>
        <w:t>okamžitě</w:t>
      </w:r>
      <w:r>
        <w:rPr>
          <w:spacing w:val="-4"/>
          <w:sz w:val="20"/>
        </w:rPr>
        <w:t xml:space="preserve"> </w:t>
      </w:r>
      <w:r>
        <w:rPr>
          <w:sz w:val="20"/>
        </w:rPr>
        <w:t>odstoupit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případě opakovaných hrubých funkčních závad </w:t>
      </w:r>
      <w:r>
        <w:rPr>
          <w:i/>
          <w:sz w:val="20"/>
        </w:rPr>
        <w:t>mzdového systému</w:t>
      </w:r>
      <w:r>
        <w:rPr>
          <w:sz w:val="20"/>
        </w:rPr>
        <w:t xml:space="preserve">, které </w:t>
      </w:r>
      <w:r>
        <w:rPr>
          <w:spacing w:val="-2"/>
          <w:sz w:val="20"/>
        </w:rPr>
        <w:t xml:space="preserve">nebyly </w:t>
      </w:r>
      <w:r>
        <w:rPr>
          <w:sz w:val="20"/>
        </w:rPr>
        <w:t xml:space="preserve">odstraněny ani na základě </w:t>
      </w:r>
      <w:r>
        <w:rPr>
          <w:i/>
          <w:sz w:val="20"/>
        </w:rPr>
        <w:t xml:space="preserve">reklamace </w:t>
      </w:r>
      <w:r>
        <w:rPr>
          <w:sz w:val="20"/>
        </w:rPr>
        <w:t>NABYVATELE nebo v případě hrubého porušení povinnosti POSKYTOVATELE definované v článku 4 bod 4.1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:rsidR="008325B8" w:rsidRDefault="00AE3012">
      <w:pPr>
        <w:pStyle w:val="Odstavecseseznamem"/>
        <w:numPr>
          <w:ilvl w:val="1"/>
          <w:numId w:val="2"/>
        </w:numPr>
        <w:tabs>
          <w:tab w:val="left" w:pos="829"/>
        </w:tabs>
        <w:spacing w:before="4" w:line="249" w:lineRule="auto"/>
        <w:ind w:right="128"/>
        <w:jc w:val="both"/>
        <w:rPr>
          <w:sz w:val="20"/>
        </w:rPr>
      </w:pPr>
      <w:r>
        <w:rPr>
          <w:sz w:val="20"/>
        </w:rPr>
        <w:t>Odstoupení od smlouvy z důvodů uvedených v bodech 7.2 a 7.3 této smlouvy nabývá platnosti dnem doručení druhé 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straně.</w:t>
      </w:r>
    </w:p>
    <w:p w:rsidR="008325B8" w:rsidRDefault="008325B8">
      <w:pPr>
        <w:pStyle w:val="Zkladntext"/>
        <w:rPr>
          <w:sz w:val="22"/>
        </w:rPr>
      </w:pPr>
    </w:p>
    <w:p w:rsidR="008325B8" w:rsidRDefault="008325B8">
      <w:pPr>
        <w:pStyle w:val="Zkladntext"/>
        <w:rPr>
          <w:sz w:val="22"/>
        </w:rPr>
      </w:pPr>
    </w:p>
    <w:p w:rsidR="008325B8" w:rsidRDefault="00AE3012">
      <w:pPr>
        <w:pStyle w:val="Nadpis4"/>
        <w:spacing w:before="157"/>
        <w:ind w:right="229"/>
        <w:rPr>
          <w:rFonts w:ascii="Calibri" w:hAnsi="Calibri"/>
        </w:rPr>
      </w:pPr>
      <w:r>
        <w:t>Č</w:t>
      </w:r>
      <w:r>
        <w:rPr>
          <w:rFonts w:ascii="Calibri" w:hAnsi="Calibri"/>
        </w:rPr>
        <w:t>LÁNEK 8</w:t>
      </w:r>
    </w:p>
    <w:p w:rsidR="008325B8" w:rsidRDefault="008325B8">
      <w:pPr>
        <w:pStyle w:val="Zkladntext"/>
        <w:spacing w:before="7"/>
        <w:rPr>
          <w:rFonts w:ascii="Calibri"/>
          <w:b/>
          <w:sz w:val="18"/>
        </w:rPr>
      </w:pPr>
    </w:p>
    <w:p w:rsidR="008325B8" w:rsidRDefault="00AE3012">
      <w:pPr>
        <w:ind w:left="332" w:right="229"/>
        <w:jc w:val="center"/>
        <w:rPr>
          <w:b/>
          <w:sz w:val="20"/>
        </w:rPr>
      </w:pPr>
      <w:r>
        <w:rPr>
          <w:b/>
          <w:sz w:val="20"/>
        </w:rPr>
        <w:t>ZÁVĚRE</w:t>
      </w:r>
      <w:r>
        <w:rPr>
          <w:b/>
          <w:sz w:val="20"/>
        </w:rPr>
        <w:t>ČNÁ USTANOVENÍ</w:t>
      </w:r>
    </w:p>
    <w:p w:rsidR="008325B8" w:rsidRDefault="008325B8">
      <w:pPr>
        <w:pStyle w:val="Zkladntext"/>
        <w:spacing w:before="1"/>
        <w:rPr>
          <w:b/>
        </w:rPr>
      </w:pPr>
    </w:p>
    <w:p w:rsidR="008325B8" w:rsidRDefault="00AE3012">
      <w:pPr>
        <w:pStyle w:val="Odstavecseseznamem"/>
        <w:numPr>
          <w:ilvl w:val="1"/>
          <w:numId w:val="1"/>
        </w:numPr>
        <w:tabs>
          <w:tab w:val="left" w:pos="829"/>
        </w:tabs>
        <w:spacing w:before="1" w:line="230" w:lineRule="auto"/>
        <w:ind w:right="122"/>
        <w:jc w:val="both"/>
        <w:rPr>
          <w:sz w:val="20"/>
        </w:rPr>
      </w:pPr>
      <w:r>
        <w:rPr>
          <w:sz w:val="20"/>
        </w:rPr>
        <w:t>Pokud v této smlouvě není stanoveno jinak, řídí se právní vztahy z ní vyplývající příslušnými ustanoveními Občanského zákoníku a Zákona o právu autorském. V případě sporů je místně příslušným soud strany</w:t>
      </w:r>
      <w:r>
        <w:rPr>
          <w:spacing w:val="-6"/>
          <w:sz w:val="20"/>
        </w:rPr>
        <w:t xml:space="preserve"> </w:t>
      </w:r>
      <w:r>
        <w:rPr>
          <w:sz w:val="20"/>
        </w:rPr>
        <w:t>žalující.</w:t>
      </w:r>
    </w:p>
    <w:p w:rsidR="008325B8" w:rsidRDefault="00AE3012">
      <w:pPr>
        <w:pStyle w:val="Odstavecseseznamem"/>
        <w:numPr>
          <w:ilvl w:val="1"/>
          <w:numId w:val="1"/>
        </w:numPr>
        <w:tabs>
          <w:tab w:val="left" w:pos="829"/>
        </w:tabs>
        <w:spacing w:line="230" w:lineRule="auto"/>
        <w:jc w:val="both"/>
        <w:rPr>
          <w:sz w:val="20"/>
        </w:rPr>
      </w:pPr>
      <w:r>
        <w:rPr>
          <w:sz w:val="20"/>
        </w:rPr>
        <w:t>Tato smlouva je sepsána ve</w:t>
      </w:r>
      <w:r>
        <w:rPr>
          <w:sz w:val="20"/>
        </w:rPr>
        <w:t xml:space="preserve"> 2 vyhotoveních, každé s platností originálu. Každá ze smluvních stran obdrží jedno</w:t>
      </w:r>
      <w:r>
        <w:rPr>
          <w:spacing w:val="-3"/>
          <w:sz w:val="20"/>
        </w:rPr>
        <w:t xml:space="preserve"> </w:t>
      </w:r>
      <w:r>
        <w:rPr>
          <w:sz w:val="20"/>
        </w:rPr>
        <w:t>vyhotovení.</w:t>
      </w:r>
    </w:p>
    <w:p w:rsidR="008325B8" w:rsidRDefault="00AE3012">
      <w:pPr>
        <w:pStyle w:val="Odstavecseseznamem"/>
        <w:numPr>
          <w:ilvl w:val="1"/>
          <w:numId w:val="1"/>
        </w:numPr>
        <w:tabs>
          <w:tab w:val="left" w:pos="829"/>
        </w:tabs>
        <w:spacing w:line="222" w:lineRule="exact"/>
        <w:ind w:left="828" w:right="0"/>
        <w:jc w:val="both"/>
        <w:rPr>
          <w:sz w:val="20"/>
        </w:rPr>
      </w:pPr>
      <w:r>
        <w:rPr>
          <w:sz w:val="20"/>
        </w:rPr>
        <w:t>Smlouva se uzavírá na dobu neurčitou a nabývá platnosti dnem podpisu oběma</w:t>
      </w:r>
      <w:r>
        <w:rPr>
          <w:spacing w:val="8"/>
          <w:sz w:val="20"/>
        </w:rPr>
        <w:t xml:space="preserve"> </w:t>
      </w:r>
      <w:r>
        <w:rPr>
          <w:sz w:val="20"/>
        </w:rPr>
        <w:t>účastníky.</w:t>
      </w:r>
    </w:p>
    <w:p w:rsidR="008325B8" w:rsidRDefault="00AE3012">
      <w:pPr>
        <w:pStyle w:val="Odstavecseseznamem"/>
        <w:numPr>
          <w:ilvl w:val="1"/>
          <w:numId w:val="1"/>
        </w:numPr>
        <w:tabs>
          <w:tab w:val="left" w:pos="829"/>
        </w:tabs>
        <w:spacing w:line="226" w:lineRule="exact"/>
        <w:ind w:left="828" w:right="0"/>
        <w:jc w:val="both"/>
        <w:rPr>
          <w:sz w:val="20"/>
        </w:rPr>
      </w:pPr>
      <w:r>
        <w:rPr>
          <w:sz w:val="20"/>
        </w:rPr>
        <w:t>Smlouva nabývá účinnosti dne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01.01.2023</w:t>
      </w:r>
      <w:r>
        <w:rPr>
          <w:sz w:val="20"/>
        </w:rPr>
        <w:t>.</w:t>
      </w:r>
    </w:p>
    <w:p w:rsidR="008325B8" w:rsidRDefault="00AE3012">
      <w:pPr>
        <w:pStyle w:val="Odstavecseseznamem"/>
        <w:numPr>
          <w:ilvl w:val="1"/>
          <w:numId w:val="1"/>
        </w:numPr>
        <w:tabs>
          <w:tab w:val="left" w:pos="829"/>
        </w:tabs>
        <w:spacing w:before="4" w:line="230" w:lineRule="auto"/>
        <w:ind w:right="120"/>
        <w:jc w:val="both"/>
        <w:rPr>
          <w:sz w:val="20"/>
        </w:rPr>
      </w:pPr>
      <w:r>
        <w:rPr>
          <w:sz w:val="20"/>
        </w:rPr>
        <w:t>Smluvní strany prohlašují, že tato smlouva je projevem jejich pravé a svobodné vůle a na důkaz shody ve všech ustanoveních této smlouvy připojují své</w:t>
      </w:r>
      <w:r>
        <w:rPr>
          <w:spacing w:val="-31"/>
          <w:sz w:val="20"/>
        </w:rPr>
        <w:t xml:space="preserve"> </w:t>
      </w:r>
      <w:r>
        <w:rPr>
          <w:sz w:val="20"/>
        </w:rPr>
        <w:t>podpisy.</w:t>
      </w:r>
    </w:p>
    <w:p w:rsidR="008325B8" w:rsidRDefault="008325B8">
      <w:pPr>
        <w:pStyle w:val="Zkladntext"/>
        <w:spacing w:before="6"/>
        <w:rPr>
          <w:sz w:val="18"/>
        </w:rPr>
      </w:pPr>
    </w:p>
    <w:p w:rsidR="008325B8" w:rsidRDefault="00AE3012">
      <w:pPr>
        <w:pStyle w:val="Zkladntext"/>
        <w:ind w:left="229"/>
      </w:pPr>
      <w:r>
        <w:pict>
          <v:shape id="_x0000_s1028" style="position:absolute;left:0;text-align:left;margin-left:398.65pt;margin-top:33.1pt;width:78.9pt;height:78.35pt;z-index:-252085248;mso-position-horizontal-relative:page" coordorigin="7973,662" coordsize="1578,1567" o:spt="100" adj="0,,0" path="m8257,1898r-97,59l8086,2017r-53,57l7998,2125r-19,44l7973,2203r10,21l7992,2229r105,l8103,2226r-100,l8011,2181r33,-61l8099,2048r72,-76l8257,1898xm8648,662r-32,21l8600,732r-6,55l8593,826r1,36l8598,900r5,40l8609,982r8,42l8626,1068r10,44l8648,1156r-4,24l8632,1221r-20,55l8586,1342r-31,76l8519,1501r-41,87l8434,1679r-47,90l8338,1857r-50,84l8238,2019r-51,68l8138,2144r-48,44l8045,2216r-42,10l8103,2226r16,-9l8166,2178r52,-57l8277,2046r64,-96l8412,1834r14,-5l8412,1829r62,-111l8526,1620r42,-85l8601,1460r27,-65l8649,1338r16,-50l8677,1244r56,l8725,1228r-27,-77l8709,1069r-32,l8658,998r-12,-68l8639,866r-2,-57l8637,784r4,-41l8651,701r19,-29l8710,672r-21,-8l8648,662xm9511,1826r-15,3l9484,1837r-9,12l9472,1864r3,15l9484,1891r12,7l9511,1901r16,-3l9536,1893r-25,l9499,1891r-10,-6l9483,1876r-3,-12l9483,1852r6,-10l9499,1836r12,-2l9535,1834r-8,-5l9511,1826xm9535,1834r-24,l9524,1836r9,6l9539,1852r2,12l9539,1876r-6,9l9524,1891r-13,2l9536,1893r4,-2l9548,1879r3,-15l9548,1849r-8,-12l9535,1834xm9522,1839r-26,l9496,1885r8,l9504,1867r21,l9524,1866r-5,-2l9528,1861r-24,l9504,1848r23,l9527,1845r-5,-6xm9525,1867r-11,l9517,1872r2,5l9520,1885r8,l9527,1877r,-6l9525,1867xm9527,1848r-11,l9519,1850r,9l9514,1861r14,l9528,1855r-1,-7xm8733,1244r-56,l8725,1351r51,87l8828,1508r51,54l8926,1603r43,31l9006,1657r-71,13l8862,1686r-75,17l8711,1724r-76,22l8560,1771r-75,28l8412,1829r14,l8485,1810r77,-22l8643,1767r84,-18l8812,1733r85,-14l8982,1707r84,-10l9186,1697r-26,-11l9229,1682r83,-1l9518,1681r-42,-23l9416,1646r-326,l9052,1624r-36,-22l8980,1577r-35,-24l8891,1501r-50,-60l8797,1374r-38,-72l8733,1244xm9186,1697r-120,l9150,1736r84,32l9315,1791r74,15l9451,1811r33,-2l9509,1802r17,-11l9529,1786r-44,l9421,1778r-78,-20l9254,1727r-68,-30xm9535,1774r-10,4l9514,1782r-14,2l9485,1786r44,l9535,1774xm9518,1681r-206,l9396,1684r74,12l9523,1720r18,37l9546,1745r5,-4l9551,1729r-20,-41l9518,1681xm9283,1634r-43,2l9193,1638r-103,8l9416,1646r-24,-6l9283,1634xm8725,794r-9,48l8706,903r-12,75l8677,1069r32,l8711,1058r7,-88l8722,883r3,-89xm8710,672r-40,l8688,683r16,17l8718,727r7,38l8731,706r-13,-31l8710,67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Příloha: Ceník služeb POSKYTOVATELE, 1 list</w:t>
      </w:r>
    </w:p>
    <w:p w:rsidR="008325B8" w:rsidRDefault="008325B8">
      <w:pPr>
        <w:pStyle w:val="Zkladntext"/>
        <w:spacing w:before="3"/>
        <w:rPr>
          <w:sz w:val="24"/>
        </w:rPr>
      </w:pPr>
    </w:p>
    <w:p w:rsidR="008325B8" w:rsidRDefault="008325B8">
      <w:pPr>
        <w:rPr>
          <w:sz w:val="24"/>
        </w:rPr>
        <w:sectPr w:rsidR="008325B8">
          <w:headerReference w:type="default" r:id="rId11"/>
          <w:footerReference w:type="default" r:id="rId12"/>
          <w:pgSz w:w="11910" w:h="16840"/>
          <w:pgMar w:top="2300" w:right="640" w:bottom="840" w:left="1340" w:header="170" w:footer="640" w:gutter="0"/>
          <w:pgNumType w:start="4"/>
          <w:cols w:space="708"/>
        </w:sectPr>
      </w:pPr>
    </w:p>
    <w:p w:rsidR="008325B8" w:rsidRDefault="008325B8">
      <w:pPr>
        <w:rPr>
          <w:rFonts w:ascii="Calibri"/>
        </w:rPr>
        <w:sectPr w:rsidR="008325B8">
          <w:type w:val="continuous"/>
          <w:pgSz w:w="11910" w:h="16840"/>
          <w:pgMar w:top="2040" w:right="640" w:bottom="840" w:left="1340" w:header="708" w:footer="708" w:gutter="0"/>
          <w:cols w:num="4" w:space="708" w:equalWidth="0">
            <w:col w:w="1329" w:space="931"/>
            <w:col w:w="2592" w:space="516"/>
            <w:col w:w="1971" w:space="39"/>
            <w:col w:w="2552"/>
          </w:cols>
        </w:sectPr>
      </w:pPr>
    </w:p>
    <w:p w:rsidR="008325B8" w:rsidRDefault="00AE3012">
      <w:pPr>
        <w:pStyle w:val="Zkladntext"/>
        <w:tabs>
          <w:tab w:val="left" w:pos="5869"/>
        </w:tabs>
        <w:spacing w:before="13" w:line="230" w:lineRule="auto"/>
        <w:ind w:left="829" w:right="1950"/>
      </w:pPr>
      <w:r>
        <w:t>Datum, razítko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podpis</w:t>
      </w:r>
      <w:r>
        <w:tab/>
        <w:t>Datum, razítko a</w:t>
      </w:r>
      <w:r>
        <w:rPr>
          <w:spacing w:val="-19"/>
        </w:rPr>
        <w:t xml:space="preserve"> </w:t>
      </w:r>
      <w:r>
        <w:t>podpis Dne</w:t>
      </w:r>
      <w:r>
        <w:rPr>
          <w:spacing w:val="-2"/>
        </w:rPr>
        <w:t xml:space="preserve"> </w:t>
      </w:r>
      <w:r>
        <w:t>06.02.2023</w:t>
      </w:r>
    </w:p>
    <w:p w:rsidR="008325B8" w:rsidRDefault="008325B8">
      <w:pPr>
        <w:pStyle w:val="Zkladntext"/>
        <w:rPr>
          <w:sz w:val="22"/>
        </w:rPr>
      </w:pPr>
    </w:p>
    <w:p w:rsidR="008325B8" w:rsidRDefault="008325B8">
      <w:pPr>
        <w:pStyle w:val="Zkladntext"/>
        <w:rPr>
          <w:sz w:val="22"/>
        </w:rPr>
      </w:pPr>
    </w:p>
    <w:p w:rsidR="008325B8" w:rsidRDefault="008325B8">
      <w:pPr>
        <w:pStyle w:val="Zkladntext"/>
        <w:spacing w:before="1"/>
        <w:rPr>
          <w:sz w:val="32"/>
        </w:rPr>
      </w:pPr>
    </w:p>
    <w:p w:rsidR="008325B8" w:rsidRDefault="00AE3012">
      <w:pPr>
        <w:pStyle w:val="Zkladntext"/>
        <w:spacing w:before="1" w:line="225" w:lineRule="exact"/>
        <w:ind w:left="829"/>
      </w:pPr>
      <w:r>
        <w:t>Mgr. Eva Maurerová</w:t>
      </w:r>
    </w:p>
    <w:p w:rsidR="008325B8" w:rsidRDefault="00AE3012">
      <w:pPr>
        <w:pStyle w:val="Zkladntext"/>
        <w:tabs>
          <w:tab w:val="left" w:pos="5869"/>
        </w:tabs>
        <w:spacing w:line="225" w:lineRule="exact"/>
        <w:ind w:left="829"/>
      </w:pPr>
      <w:r>
        <w:t>za</w:t>
      </w:r>
      <w:r>
        <w:rPr>
          <w:spacing w:val="-7"/>
        </w:rPr>
        <w:t xml:space="preserve"> </w:t>
      </w:r>
      <w:r>
        <w:t>POSKYTOVATELE</w:t>
      </w:r>
      <w:r>
        <w:tab/>
        <w:t>za</w:t>
      </w:r>
      <w:r>
        <w:rPr>
          <w:spacing w:val="-2"/>
        </w:rPr>
        <w:t xml:space="preserve"> </w:t>
      </w:r>
      <w:r>
        <w:t>NABYVATELE</w:t>
      </w:r>
    </w:p>
    <w:p w:rsidR="008325B8" w:rsidRDefault="008325B8">
      <w:pPr>
        <w:spacing w:line="225" w:lineRule="exact"/>
        <w:sectPr w:rsidR="008325B8">
          <w:type w:val="continuous"/>
          <w:pgSz w:w="11910" w:h="16840"/>
          <w:pgMar w:top="2040" w:right="640" w:bottom="840" w:left="1340" w:header="708" w:footer="708" w:gutter="0"/>
          <w:cols w:space="708"/>
        </w:sectPr>
      </w:pPr>
    </w:p>
    <w:p w:rsidR="008325B8" w:rsidRDefault="00AE3012">
      <w:pPr>
        <w:pStyle w:val="Nadpis3"/>
        <w:spacing w:before="84"/>
        <w:ind w:left="332" w:right="343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PŘÍLOHA Č.1: C E N Í K P O S K Y T O V A N Ý C H S L U Ž E B</w:t>
      </w:r>
    </w:p>
    <w:p w:rsidR="008325B8" w:rsidRDefault="008325B8">
      <w:pPr>
        <w:pStyle w:val="Zkladntext"/>
        <w:spacing w:before="1"/>
        <w:rPr>
          <w:sz w:val="21"/>
        </w:rPr>
      </w:pPr>
    </w:p>
    <w:p w:rsidR="008325B8" w:rsidRDefault="00AE3012">
      <w:pPr>
        <w:ind w:left="162"/>
        <w:rPr>
          <w:sz w:val="18"/>
        </w:rPr>
      </w:pPr>
      <w:r>
        <w:rPr>
          <w:sz w:val="18"/>
        </w:rPr>
        <w:t>Servisní nebo implementační návštěvy vyžádané zákazníkem jsou účtovány hodinovou sazbou dle skutečnosti:</w:t>
      </w:r>
    </w:p>
    <w:p w:rsidR="008325B8" w:rsidRDefault="008325B8">
      <w:pPr>
        <w:pStyle w:val="Zkladntext"/>
        <w:spacing w:before="3"/>
        <w:rPr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5330"/>
        <w:gridCol w:w="2323"/>
      </w:tblGrid>
      <w:tr w:rsidR="008325B8">
        <w:trPr>
          <w:trHeight w:val="425"/>
        </w:trPr>
        <w:tc>
          <w:tcPr>
            <w:tcW w:w="1927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5330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Popis položky</w:t>
            </w:r>
          </w:p>
        </w:tc>
        <w:tc>
          <w:tcPr>
            <w:tcW w:w="2323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14"/>
              <w:ind w:left="319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</w:t>
            </w:r>
          </w:p>
        </w:tc>
      </w:tr>
      <w:tr w:rsidR="008325B8">
        <w:trPr>
          <w:trHeight w:val="414"/>
        </w:trPr>
        <w:tc>
          <w:tcPr>
            <w:tcW w:w="1927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93"/>
              <w:rPr>
                <w:sz w:val="18"/>
              </w:rPr>
            </w:pPr>
            <w:r>
              <w:rPr>
                <w:sz w:val="18"/>
              </w:rPr>
              <w:t>CESTOVNÉ</w:t>
            </w:r>
          </w:p>
        </w:tc>
        <w:tc>
          <w:tcPr>
            <w:tcW w:w="5330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93"/>
              <w:rPr>
                <w:sz w:val="18"/>
              </w:rPr>
            </w:pPr>
            <w:r>
              <w:rPr>
                <w:sz w:val="18"/>
              </w:rPr>
              <w:t>Sazba za 1km, účtovaná je ujetá vzdálenost oběma směry.</w:t>
            </w:r>
          </w:p>
        </w:tc>
        <w:tc>
          <w:tcPr>
            <w:tcW w:w="2323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8325B8">
            <w:pPr>
              <w:pStyle w:val="TableParagraph"/>
              <w:spacing w:before="89"/>
              <w:ind w:left="314" w:right="297"/>
              <w:jc w:val="center"/>
              <w:rPr>
                <w:b/>
                <w:sz w:val="20"/>
              </w:rPr>
            </w:pPr>
          </w:p>
        </w:tc>
      </w:tr>
      <w:tr w:rsidR="008325B8">
        <w:trPr>
          <w:trHeight w:val="424"/>
        </w:trPr>
        <w:tc>
          <w:tcPr>
            <w:tcW w:w="1927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ČAS CESTA</w:t>
            </w:r>
          </w:p>
        </w:tc>
        <w:tc>
          <w:tcPr>
            <w:tcW w:w="5330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Sazba za 1 hod., účtovaná je celková doba strávená na cestě</w:t>
            </w:r>
          </w:p>
          <w:p w:rsidR="008325B8" w:rsidRDefault="00AE3012">
            <w:pPr>
              <w:pStyle w:val="TableParagraph"/>
              <w:spacing w:before="4" w:line="203" w:lineRule="exact"/>
              <w:rPr>
                <w:sz w:val="18"/>
              </w:rPr>
            </w:pPr>
            <w:r>
              <w:rPr>
                <w:sz w:val="18"/>
              </w:rPr>
              <w:t>oběma směry.</w:t>
            </w:r>
          </w:p>
        </w:tc>
        <w:tc>
          <w:tcPr>
            <w:tcW w:w="2323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8325B8">
            <w:pPr>
              <w:pStyle w:val="TableParagraph"/>
              <w:spacing w:before="91"/>
              <w:ind w:left="319" w:right="297"/>
              <w:jc w:val="center"/>
              <w:rPr>
                <w:b/>
                <w:sz w:val="20"/>
              </w:rPr>
            </w:pPr>
          </w:p>
        </w:tc>
      </w:tr>
      <w:tr w:rsidR="008325B8">
        <w:trPr>
          <w:trHeight w:val="431"/>
        </w:trPr>
        <w:tc>
          <w:tcPr>
            <w:tcW w:w="1927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ČAS U ZÁKAZNÍKA</w:t>
            </w:r>
          </w:p>
        </w:tc>
        <w:tc>
          <w:tcPr>
            <w:tcW w:w="5330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Sazba za 1 hod., účtovaná je celková doba strávená</w:t>
            </w:r>
          </w:p>
          <w:p w:rsidR="008325B8" w:rsidRDefault="00AE3012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sz w:val="18"/>
              </w:rPr>
              <w:t>podporou programového vybavení u zákazníka.</w:t>
            </w:r>
          </w:p>
        </w:tc>
        <w:tc>
          <w:tcPr>
            <w:tcW w:w="2323" w:type="dxa"/>
            <w:tcBorders>
              <w:top w:val="single" w:sz="12" w:space="0" w:color="000000"/>
              <w:bottom w:val="single" w:sz="12" w:space="0" w:color="000000"/>
            </w:tcBorders>
          </w:tcPr>
          <w:p w:rsidR="008325B8" w:rsidRDefault="008325B8">
            <w:pPr>
              <w:pStyle w:val="TableParagraph"/>
              <w:spacing w:before="100"/>
              <w:ind w:left="319" w:right="297"/>
              <w:jc w:val="center"/>
              <w:rPr>
                <w:b/>
                <w:sz w:val="20"/>
              </w:rPr>
            </w:pPr>
          </w:p>
        </w:tc>
      </w:tr>
      <w:tr w:rsidR="008325B8">
        <w:trPr>
          <w:trHeight w:val="429"/>
        </w:trPr>
        <w:tc>
          <w:tcPr>
            <w:tcW w:w="1927" w:type="dxa"/>
            <w:tcBorders>
              <w:top w:val="single" w:sz="12" w:space="0" w:color="000000"/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ŠKOLENÍ U</w:t>
            </w:r>
          </w:p>
          <w:p w:rsidR="008325B8" w:rsidRDefault="00AE3012">
            <w:pPr>
              <w:pStyle w:val="TableParagraph"/>
              <w:spacing w:before="4" w:line="201" w:lineRule="exact"/>
              <w:rPr>
                <w:sz w:val="18"/>
              </w:rPr>
            </w:pPr>
            <w:r>
              <w:rPr>
                <w:sz w:val="18"/>
              </w:rPr>
              <w:t>NABYVATELE</w:t>
            </w:r>
          </w:p>
        </w:tc>
        <w:tc>
          <w:tcPr>
            <w:tcW w:w="5330" w:type="dxa"/>
            <w:tcBorders>
              <w:top w:val="single" w:sz="12" w:space="0" w:color="000000"/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Sazba za 1 hod., počet školených osob není omezen.</w:t>
            </w:r>
          </w:p>
        </w:tc>
        <w:tc>
          <w:tcPr>
            <w:tcW w:w="2323" w:type="dxa"/>
            <w:tcBorders>
              <w:top w:val="single" w:sz="12" w:space="0" w:color="000000"/>
              <w:bottom w:val="single" w:sz="8" w:space="0" w:color="000000"/>
            </w:tcBorders>
          </w:tcPr>
          <w:p w:rsidR="008325B8" w:rsidRDefault="008325B8">
            <w:pPr>
              <w:pStyle w:val="TableParagraph"/>
              <w:spacing w:before="98"/>
              <w:ind w:left="319" w:right="297"/>
              <w:jc w:val="center"/>
              <w:rPr>
                <w:b/>
                <w:sz w:val="20"/>
              </w:rPr>
            </w:pPr>
          </w:p>
        </w:tc>
      </w:tr>
      <w:tr w:rsidR="008325B8">
        <w:trPr>
          <w:trHeight w:val="433"/>
        </w:trPr>
        <w:tc>
          <w:tcPr>
            <w:tcW w:w="1927" w:type="dxa"/>
            <w:tcBorders>
              <w:top w:val="single" w:sz="8" w:space="0" w:color="000000"/>
            </w:tcBorders>
          </w:tcPr>
          <w:p w:rsidR="008325B8" w:rsidRDefault="00AE301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DOPRAVA PO</w:t>
            </w:r>
          </w:p>
          <w:p w:rsidR="008325B8" w:rsidRDefault="00AE3012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KLATOVECH</w:t>
            </w:r>
          </w:p>
        </w:tc>
        <w:tc>
          <w:tcPr>
            <w:tcW w:w="5330" w:type="dxa"/>
            <w:tcBorders>
              <w:top w:val="single" w:sz="8" w:space="0" w:color="000000"/>
            </w:tcBorders>
          </w:tcPr>
          <w:p w:rsidR="008325B8" w:rsidRDefault="00AE301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Účtovaná je paušální sazba.</w:t>
            </w:r>
          </w:p>
        </w:tc>
        <w:tc>
          <w:tcPr>
            <w:tcW w:w="2323" w:type="dxa"/>
            <w:tcBorders>
              <w:top w:val="single" w:sz="8" w:space="0" w:color="000000"/>
            </w:tcBorders>
          </w:tcPr>
          <w:p w:rsidR="008325B8" w:rsidRDefault="008325B8">
            <w:pPr>
              <w:pStyle w:val="TableParagraph"/>
              <w:spacing w:before="97"/>
              <w:ind w:left="319" w:right="297"/>
              <w:jc w:val="center"/>
              <w:rPr>
                <w:b/>
                <w:sz w:val="20"/>
              </w:rPr>
            </w:pPr>
          </w:p>
        </w:tc>
      </w:tr>
    </w:tbl>
    <w:p w:rsidR="008325B8" w:rsidRDefault="008325B8">
      <w:pPr>
        <w:pStyle w:val="Zkladntext"/>
        <w:spacing w:before="1"/>
        <w:rPr>
          <w:sz w:val="21"/>
        </w:rPr>
      </w:pPr>
    </w:p>
    <w:p w:rsidR="008325B8" w:rsidRDefault="00AE3012">
      <w:pPr>
        <w:pStyle w:val="Zkladntext"/>
        <w:spacing w:after="52"/>
        <w:ind w:left="162"/>
      </w:pPr>
      <w:r>
        <w:t>Rozsáhlejší podpora provedená na žádost ZÁKAZNÍKA v sídle naší firmy je účtována hodinovou sazbou: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5330"/>
        <w:gridCol w:w="2323"/>
      </w:tblGrid>
      <w:tr w:rsidR="008325B8">
        <w:trPr>
          <w:trHeight w:val="434"/>
        </w:trPr>
        <w:tc>
          <w:tcPr>
            <w:tcW w:w="1927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ČAS FIRMA</w:t>
            </w:r>
          </w:p>
        </w:tc>
        <w:tc>
          <w:tcPr>
            <w:tcW w:w="5330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line="212" w:lineRule="exact"/>
              <w:ind w:right="176"/>
              <w:rPr>
                <w:sz w:val="18"/>
              </w:rPr>
            </w:pPr>
            <w:r>
              <w:rPr>
                <w:sz w:val="18"/>
              </w:rPr>
              <w:t>Sazba za 1 hod., účtovaná je celková doba strávená provedením vyžádaných služeb.</w:t>
            </w:r>
          </w:p>
        </w:tc>
        <w:tc>
          <w:tcPr>
            <w:tcW w:w="2323" w:type="dxa"/>
            <w:tcBorders>
              <w:bottom w:val="single" w:sz="12" w:space="0" w:color="000000"/>
            </w:tcBorders>
          </w:tcPr>
          <w:p w:rsidR="008325B8" w:rsidRDefault="008325B8">
            <w:pPr>
              <w:pStyle w:val="TableParagraph"/>
              <w:spacing w:before="102"/>
              <w:ind w:left="0" w:right="914"/>
              <w:jc w:val="right"/>
              <w:rPr>
                <w:b/>
                <w:sz w:val="20"/>
              </w:rPr>
            </w:pPr>
          </w:p>
        </w:tc>
      </w:tr>
      <w:tr w:rsidR="008325B8">
        <w:trPr>
          <w:trHeight w:val="434"/>
        </w:trPr>
        <w:tc>
          <w:tcPr>
            <w:tcW w:w="1927" w:type="dxa"/>
            <w:tcBorders>
              <w:top w:val="single" w:sz="12" w:space="0" w:color="000000"/>
            </w:tcBorders>
          </w:tcPr>
          <w:p w:rsidR="008325B8" w:rsidRDefault="00AE3012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VZDÁLENÝ PŘÍSTUP</w:t>
            </w:r>
          </w:p>
        </w:tc>
        <w:tc>
          <w:tcPr>
            <w:tcW w:w="5330" w:type="dxa"/>
            <w:tcBorders>
              <w:top w:val="single" w:sz="12" w:space="0" w:color="000000"/>
            </w:tcBorders>
          </w:tcPr>
          <w:p w:rsidR="008325B8" w:rsidRDefault="00AE301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Sazba za 1 hod., účtována je celková doba strávená provedením</w:t>
            </w:r>
          </w:p>
          <w:p w:rsidR="008325B8" w:rsidRDefault="00AE3012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vyžádané správy dat na dálku.</w:t>
            </w:r>
          </w:p>
        </w:tc>
        <w:tc>
          <w:tcPr>
            <w:tcW w:w="2323" w:type="dxa"/>
            <w:tcBorders>
              <w:top w:val="single" w:sz="12" w:space="0" w:color="000000"/>
            </w:tcBorders>
          </w:tcPr>
          <w:p w:rsidR="008325B8" w:rsidRDefault="008325B8">
            <w:pPr>
              <w:pStyle w:val="TableParagraph"/>
              <w:spacing w:before="98"/>
              <w:ind w:left="0" w:right="914"/>
              <w:jc w:val="right"/>
              <w:rPr>
                <w:b/>
                <w:sz w:val="20"/>
              </w:rPr>
            </w:pPr>
          </w:p>
        </w:tc>
      </w:tr>
    </w:tbl>
    <w:p w:rsidR="008325B8" w:rsidRDefault="008325B8">
      <w:pPr>
        <w:pStyle w:val="Zkladntext"/>
        <w:rPr>
          <w:sz w:val="22"/>
        </w:rPr>
      </w:pPr>
    </w:p>
    <w:p w:rsidR="008325B8" w:rsidRDefault="00AE3012">
      <w:pPr>
        <w:spacing w:before="144"/>
        <w:ind w:left="162"/>
        <w:rPr>
          <w:sz w:val="18"/>
        </w:rPr>
      </w:pPr>
      <w:r>
        <w:rPr>
          <w:sz w:val="18"/>
        </w:rPr>
        <w:t>Změny v evidenci a změny rozsahu přidělených licencí podléhají zvláštním poplatkům:</w:t>
      </w:r>
    </w:p>
    <w:p w:rsidR="008325B8" w:rsidRDefault="008325B8">
      <w:pPr>
        <w:pStyle w:val="Zkladntext"/>
        <w:spacing w:before="6"/>
        <w:rPr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5330"/>
        <w:gridCol w:w="2323"/>
      </w:tblGrid>
      <w:tr w:rsidR="008325B8">
        <w:trPr>
          <w:trHeight w:val="547"/>
        </w:trPr>
        <w:tc>
          <w:tcPr>
            <w:tcW w:w="1927" w:type="dxa"/>
            <w:tcBorders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>PŘEVOD LICENCE</w:t>
            </w:r>
          </w:p>
        </w:tc>
        <w:tc>
          <w:tcPr>
            <w:tcW w:w="5330" w:type="dxa"/>
            <w:tcBorders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>Převod licence k programovému vybavení na třetí osobu.</w:t>
            </w:r>
          </w:p>
        </w:tc>
        <w:tc>
          <w:tcPr>
            <w:tcW w:w="2323" w:type="dxa"/>
            <w:tcBorders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before="160"/>
              <w:ind w:left="0" w:right="8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325B8">
        <w:trPr>
          <w:trHeight w:val="547"/>
        </w:trPr>
        <w:tc>
          <w:tcPr>
            <w:tcW w:w="1927" w:type="dxa"/>
            <w:tcBorders>
              <w:top w:val="single" w:sz="8" w:space="0" w:color="000000"/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before="160"/>
              <w:rPr>
                <w:sz w:val="18"/>
              </w:rPr>
            </w:pPr>
            <w:r>
              <w:rPr>
                <w:sz w:val="18"/>
              </w:rPr>
              <w:t>SNÍŽENÍ LICENCE</w:t>
            </w:r>
          </w:p>
        </w:tc>
        <w:tc>
          <w:tcPr>
            <w:tcW w:w="5330" w:type="dxa"/>
            <w:tcBorders>
              <w:top w:val="single" w:sz="8" w:space="0" w:color="000000"/>
              <w:bottom w:val="single" w:sz="8" w:space="0" w:color="000000"/>
            </w:tcBorders>
          </w:tcPr>
          <w:p w:rsidR="008325B8" w:rsidRDefault="00AE3012">
            <w:pPr>
              <w:pStyle w:val="TableParagraph"/>
              <w:spacing w:before="160"/>
              <w:rPr>
                <w:sz w:val="18"/>
              </w:rPr>
            </w:pPr>
            <w:r>
              <w:rPr>
                <w:sz w:val="18"/>
              </w:rPr>
              <w:t>Snížení rozsahu licence. Jednorázový poplatek za změnu.</w:t>
            </w:r>
          </w:p>
        </w:tc>
        <w:tc>
          <w:tcPr>
            <w:tcW w:w="2323" w:type="dxa"/>
            <w:tcBorders>
              <w:top w:val="single" w:sz="8" w:space="0" w:color="000000"/>
              <w:bottom w:val="single" w:sz="8" w:space="0" w:color="000000"/>
            </w:tcBorders>
          </w:tcPr>
          <w:p w:rsidR="008325B8" w:rsidRDefault="008325B8">
            <w:pPr>
              <w:pStyle w:val="TableParagraph"/>
              <w:spacing w:before="156"/>
              <w:ind w:left="0" w:right="833"/>
              <w:jc w:val="right"/>
              <w:rPr>
                <w:b/>
                <w:sz w:val="20"/>
              </w:rPr>
            </w:pPr>
          </w:p>
        </w:tc>
      </w:tr>
      <w:tr w:rsidR="008325B8">
        <w:trPr>
          <w:trHeight w:val="551"/>
        </w:trPr>
        <w:tc>
          <w:tcPr>
            <w:tcW w:w="1927" w:type="dxa"/>
            <w:tcBorders>
              <w:top w:val="single" w:sz="8" w:space="0" w:color="000000"/>
            </w:tcBorders>
          </w:tcPr>
          <w:p w:rsidR="008325B8" w:rsidRDefault="00AE3012">
            <w:pPr>
              <w:pStyle w:val="TableParagraph"/>
              <w:spacing w:before="58" w:line="244" w:lineRule="auto"/>
              <w:ind w:right="6"/>
              <w:rPr>
                <w:sz w:val="18"/>
              </w:rPr>
            </w:pPr>
            <w:r>
              <w:rPr>
                <w:sz w:val="18"/>
              </w:rPr>
              <w:t>DOČASNÉ NAVÝŠENÍ LICENCE</w:t>
            </w:r>
          </w:p>
        </w:tc>
        <w:tc>
          <w:tcPr>
            <w:tcW w:w="5330" w:type="dxa"/>
            <w:tcBorders>
              <w:top w:val="single" w:sz="8" w:space="0" w:color="000000"/>
            </w:tcBorders>
          </w:tcPr>
          <w:p w:rsidR="008325B8" w:rsidRDefault="00AE3012">
            <w:pPr>
              <w:pStyle w:val="TableParagraph"/>
              <w:spacing w:before="58" w:line="244" w:lineRule="auto"/>
              <w:ind w:right="176"/>
              <w:rPr>
                <w:sz w:val="18"/>
              </w:rPr>
            </w:pPr>
            <w:r>
              <w:rPr>
                <w:sz w:val="18"/>
              </w:rPr>
              <w:t>Měsíční poplatek. Sazba za každých 100 načatých osobních čísel licence.</w:t>
            </w:r>
          </w:p>
        </w:tc>
        <w:tc>
          <w:tcPr>
            <w:tcW w:w="2323" w:type="dxa"/>
            <w:tcBorders>
              <w:top w:val="single" w:sz="8" w:space="0" w:color="000000"/>
            </w:tcBorders>
          </w:tcPr>
          <w:p w:rsidR="008325B8" w:rsidRDefault="008325B8">
            <w:pPr>
              <w:pStyle w:val="TableParagraph"/>
              <w:spacing w:before="160"/>
              <w:ind w:left="0" w:right="833"/>
              <w:jc w:val="right"/>
              <w:rPr>
                <w:b/>
                <w:sz w:val="20"/>
              </w:rPr>
            </w:pPr>
          </w:p>
        </w:tc>
      </w:tr>
    </w:tbl>
    <w:p w:rsidR="008325B8" w:rsidRDefault="008325B8">
      <w:pPr>
        <w:pStyle w:val="Zkladntext"/>
        <w:spacing w:before="10"/>
        <w:rPr>
          <w:sz w:val="26"/>
        </w:rPr>
      </w:pPr>
    </w:p>
    <w:p w:rsidR="008325B8" w:rsidRDefault="00AE3012">
      <w:pPr>
        <w:spacing w:after="34"/>
        <w:ind w:left="162"/>
        <w:rPr>
          <w:sz w:val="18"/>
        </w:rPr>
      </w:pPr>
      <w:r>
        <w:rPr>
          <w:sz w:val="18"/>
        </w:rPr>
        <w:t>Hromadné školení: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5330"/>
        <w:gridCol w:w="2323"/>
      </w:tblGrid>
      <w:tr w:rsidR="008325B8">
        <w:trPr>
          <w:trHeight w:val="438"/>
        </w:trPr>
        <w:tc>
          <w:tcPr>
            <w:tcW w:w="1927" w:type="dxa"/>
          </w:tcPr>
          <w:p w:rsidR="008325B8" w:rsidRDefault="00AE3012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ZAČÁTEČNÍCI</w:t>
            </w:r>
          </w:p>
        </w:tc>
        <w:tc>
          <w:tcPr>
            <w:tcW w:w="5330" w:type="dxa"/>
          </w:tcPr>
          <w:p w:rsidR="008325B8" w:rsidRDefault="00AE3012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Školné za osobu</w:t>
            </w:r>
          </w:p>
        </w:tc>
        <w:tc>
          <w:tcPr>
            <w:tcW w:w="2323" w:type="dxa"/>
          </w:tcPr>
          <w:p w:rsidR="008325B8" w:rsidRDefault="008325B8">
            <w:pPr>
              <w:pStyle w:val="TableParagraph"/>
              <w:spacing w:before="102"/>
              <w:ind w:left="0" w:right="833"/>
              <w:jc w:val="right"/>
              <w:rPr>
                <w:b/>
                <w:sz w:val="20"/>
              </w:rPr>
            </w:pPr>
          </w:p>
        </w:tc>
      </w:tr>
      <w:tr w:rsidR="008325B8">
        <w:trPr>
          <w:trHeight w:val="438"/>
        </w:trPr>
        <w:tc>
          <w:tcPr>
            <w:tcW w:w="1927" w:type="dxa"/>
          </w:tcPr>
          <w:p w:rsidR="008325B8" w:rsidRDefault="00AE3012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POKROČILÍ</w:t>
            </w:r>
          </w:p>
        </w:tc>
        <w:tc>
          <w:tcPr>
            <w:tcW w:w="5330" w:type="dxa"/>
          </w:tcPr>
          <w:p w:rsidR="008325B8" w:rsidRDefault="00AE3012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Školné za osobu</w:t>
            </w:r>
          </w:p>
        </w:tc>
        <w:tc>
          <w:tcPr>
            <w:tcW w:w="2323" w:type="dxa"/>
          </w:tcPr>
          <w:p w:rsidR="008325B8" w:rsidRDefault="008325B8">
            <w:pPr>
              <w:pStyle w:val="TableParagraph"/>
              <w:spacing w:before="102"/>
              <w:ind w:left="0" w:right="833"/>
              <w:jc w:val="right"/>
              <w:rPr>
                <w:b/>
                <w:sz w:val="20"/>
              </w:rPr>
            </w:pPr>
          </w:p>
        </w:tc>
      </w:tr>
    </w:tbl>
    <w:p w:rsidR="008325B8" w:rsidRDefault="008325B8">
      <w:pPr>
        <w:pStyle w:val="Zkladntext"/>
        <w:spacing w:before="2"/>
        <w:rPr>
          <w:sz w:val="26"/>
        </w:rPr>
      </w:pPr>
    </w:p>
    <w:p w:rsidR="008325B8" w:rsidRDefault="00AE3012">
      <w:pPr>
        <w:ind w:left="162"/>
        <w:rPr>
          <w:sz w:val="18"/>
        </w:rPr>
      </w:pPr>
      <w:r>
        <w:rPr>
          <w:sz w:val="18"/>
        </w:rPr>
        <w:t>Úpravy programového vybavení dle specifických požadavků provádíme pouze na základě PÍSEMNÉ objednávky.</w:t>
      </w:r>
    </w:p>
    <w:p w:rsidR="008325B8" w:rsidRDefault="00AE3012">
      <w:pPr>
        <w:spacing w:before="5"/>
        <w:ind w:left="162"/>
        <w:rPr>
          <w:sz w:val="18"/>
        </w:rPr>
      </w:pPr>
      <w:r>
        <w:rPr>
          <w:sz w:val="18"/>
        </w:rPr>
        <w:t>Součástí</w:t>
      </w:r>
    </w:p>
    <w:p w:rsidR="008325B8" w:rsidRDefault="00AE3012">
      <w:pPr>
        <w:spacing w:before="1" w:line="244" w:lineRule="auto"/>
        <w:ind w:left="162" w:right="173"/>
        <w:rPr>
          <w:sz w:val="18"/>
        </w:rPr>
      </w:pPr>
      <w:r>
        <w:rPr>
          <w:sz w:val="18"/>
        </w:rPr>
        <w:t>objednávky ze strany ZÁKAZNÍKA musí být PŘESNÝ POPIS požadovaných úprav. Cena a termín dodání jsou stanoveny</w:t>
      </w:r>
    </w:p>
    <w:p w:rsidR="008325B8" w:rsidRDefault="00AE3012">
      <w:pPr>
        <w:ind w:left="162"/>
        <w:rPr>
          <w:sz w:val="18"/>
        </w:rPr>
      </w:pPr>
      <w:r>
        <w:rPr>
          <w:sz w:val="18"/>
        </w:rPr>
        <w:t>společností Alfa Software, s.r.o. v</w:t>
      </w:r>
      <w:r>
        <w:rPr>
          <w:sz w:val="18"/>
        </w:rPr>
        <w:t xml:space="preserve"> závislosti na rozsahu a náročnosti požadovaných úprav.</w:t>
      </w:r>
    </w:p>
    <w:p w:rsidR="008325B8" w:rsidRDefault="008325B8">
      <w:pPr>
        <w:pStyle w:val="Zkladntext"/>
        <w:spacing w:before="4"/>
        <w:rPr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73"/>
        <w:gridCol w:w="2268"/>
      </w:tblGrid>
      <w:tr w:rsidR="008325B8">
        <w:trPr>
          <w:trHeight w:val="434"/>
        </w:trPr>
        <w:tc>
          <w:tcPr>
            <w:tcW w:w="1985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5273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sz w:val="18"/>
              </w:rPr>
              <w:t>Popis položky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8325B8" w:rsidRDefault="00AE3012">
            <w:pPr>
              <w:pStyle w:val="TableParagraph"/>
              <w:spacing w:before="114"/>
              <w:ind w:left="290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 DPH</w:t>
            </w:r>
          </w:p>
        </w:tc>
      </w:tr>
      <w:tr w:rsidR="008325B8">
        <w:trPr>
          <w:trHeight w:val="434"/>
        </w:trPr>
        <w:tc>
          <w:tcPr>
            <w:tcW w:w="1985" w:type="dxa"/>
            <w:tcBorders>
              <w:top w:val="single" w:sz="12" w:space="0" w:color="000000"/>
            </w:tcBorders>
          </w:tcPr>
          <w:p w:rsidR="008325B8" w:rsidRDefault="00AE301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PROGRAMÁTORSKÉ</w:t>
            </w:r>
          </w:p>
          <w:p w:rsidR="008325B8" w:rsidRDefault="00AE3012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PRÁCE</w:t>
            </w:r>
          </w:p>
        </w:tc>
        <w:tc>
          <w:tcPr>
            <w:tcW w:w="5273" w:type="dxa"/>
            <w:tcBorders>
              <w:top w:val="single" w:sz="12" w:space="0" w:color="000000"/>
            </w:tcBorders>
          </w:tcPr>
          <w:p w:rsidR="008325B8" w:rsidRDefault="00AE3012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Sazba za 1 hod., projekční a programátorské práce.</w:t>
            </w: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8325B8" w:rsidRDefault="008325B8">
            <w:pPr>
              <w:pStyle w:val="TableParagraph"/>
              <w:spacing w:before="98"/>
              <w:ind w:left="286" w:right="272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</w:tr>
    </w:tbl>
    <w:p w:rsidR="008325B8" w:rsidRDefault="008325B8">
      <w:pPr>
        <w:pStyle w:val="Zkladntext"/>
        <w:rPr>
          <w:sz w:val="21"/>
        </w:rPr>
      </w:pPr>
    </w:p>
    <w:p w:rsidR="008325B8" w:rsidRDefault="00AE3012">
      <w:pPr>
        <w:ind w:left="2029"/>
        <w:rPr>
          <w:sz w:val="18"/>
        </w:rPr>
      </w:pPr>
      <w:r>
        <w:rPr>
          <w:sz w:val="18"/>
        </w:rPr>
        <w:t>Všechny ceny jsou uvedeny bez DPH. Změna cen vyhrazena. Platnost ceníku od: 01. 01. 2022</w:t>
      </w:r>
    </w:p>
    <w:sectPr w:rsidR="008325B8">
      <w:headerReference w:type="default" r:id="rId13"/>
      <w:footerReference w:type="default" r:id="rId14"/>
      <w:pgSz w:w="11910" w:h="16840"/>
      <w:pgMar w:top="2040" w:right="640" w:bottom="840" w:left="1340" w:header="170" w:footer="640" w:gutter="0"/>
      <w:pgNumType w:start="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012" w:rsidRDefault="00AE3012">
      <w:r>
        <w:separator/>
      </w:r>
    </w:p>
  </w:endnote>
  <w:endnote w:type="continuationSeparator" w:id="0">
    <w:p w:rsidR="00AE3012" w:rsidRDefault="00AE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4.3pt;margin-top:798.9pt;width:53.85pt;height:13.15pt;z-index:-252085248;mso-position-horizontal-relative:page;mso-position-vertical-relative:page" filled="f" stroked="f">
          <v:textbox inset="0,0,0,0">
            <w:txbxContent>
              <w:p w:rsidR="008325B8" w:rsidRDefault="00AE3012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4.3pt;margin-top:798.9pt;width:53.85pt;height:13.15pt;z-index:-252082176;mso-position-horizontal-relative:page;mso-position-vertical-relative:page" filled="f" stroked="f">
          <v:textbox inset="0,0,0,0">
            <w:txbxContent>
              <w:p w:rsidR="008325B8" w:rsidRDefault="00AE3012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4.3pt;margin-top:798.9pt;width:53.85pt;height:13.15pt;z-index:-252079104;mso-position-horizontal-relative:page;mso-position-vertical-relative:page" filled="f" stroked="f">
          <v:textbox inset="0,0,0,0">
            <w:txbxContent>
              <w:p w:rsidR="008325B8" w:rsidRDefault="00AE3012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3pt;margin-top:798.9pt;width:53.85pt;height:13.15pt;z-index:-252077056;mso-position-horizontal-relative:page;mso-position-vertical-relative:page" filled="f" stroked="f">
          <v:textbox inset="0,0,0,0">
            <w:txbxContent>
              <w:p w:rsidR="008325B8" w:rsidRDefault="00AE3012">
                <w:pPr>
                  <w:pStyle w:val="Zkladntext"/>
                  <w:spacing w:before="12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012" w:rsidRDefault="00AE3012">
      <w:r>
        <w:separator/>
      </w:r>
    </w:p>
  </w:footnote>
  <w:footnote w:type="continuationSeparator" w:id="0">
    <w:p w:rsidR="00AE3012" w:rsidRDefault="00AE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0208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108204</wp:posOffset>
          </wp:positionV>
          <wp:extent cx="2077940" cy="11871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7940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225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108204</wp:posOffset>
          </wp:positionV>
          <wp:extent cx="2077940" cy="11871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7940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pt;margin-top:106pt;width:43.5pt;height:13.55pt;z-index:-252083200;mso-position-horizontal-relative:page;mso-position-vertical-relative:page" filled="f" stroked="f">
          <v:textbox inset="0,0,0,0">
            <w:txbxContent>
              <w:p w:rsidR="008325B8" w:rsidRDefault="00AE3012">
                <w:pPr>
                  <w:spacing w:before="1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Č</w:t>
                </w:r>
                <w:r>
                  <w:rPr>
                    <w:rFonts w:ascii="Calibri" w:hAnsi="Calibri"/>
                    <w:b/>
                    <w:sz w:val="20"/>
                  </w:rPr>
                  <w:t>LÁNEK 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5328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108204</wp:posOffset>
          </wp:positionV>
          <wp:extent cx="2077940" cy="118719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7940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pt;margin-top:103pt;width:43.5pt;height:13.55pt;z-index:-252080128;mso-position-horizontal-relative:page;mso-position-vertical-relative:page" filled="f" stroked="f">
          <v:textbox inset="0,0,0,0">
            <w:txbxContent>
              <w:p w:rsidR="008325B8" w:rsidRDefault="00AE3012">
                <w:pPr>
                  <w:spacing w:before="1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Č</w:t>
                </w:r>
                <w:r>
                  <w:rPr>
                    <w:rFonts w:ascii="Calibri" w:hAnsi="Calibri"/>
                    <w:b/>
                    <w:sz w:val="20"/>
                  </w:rPr>
                  <w:t>LÁNEK 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5B8" w:rsidRDefault="00AE301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238400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108204</wp:posOffset>
          </wp:positionV>
          <wp:extent cx="2077940" cy="11871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7940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452"/>
    <w:multiLevelType w:val="multilevel"/>
    <w:tmpl w:val="6BBEDF6E"/>
    <w:lvl w:ilvl="0">
      <w:start w:val="8"/>
      <w:numFmt w:val="decimal"/>
      <w:lvlText w:val="%1"/>
      <w:lvlJc w:val="left"/>
      <w:pPr>
        <w:ind w:left="829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600"/>
      </w:pPr>
      <w:rPr>
        <w:rFonts w:hint="default"/>
      </w:rPr>
    </w:lvl>
    <w:lvl w:ilvl="3">
      <w:numFmt w:val="bullet"/>
      <w:lvlText w:val="•"/>
      <w:lvlJc w:val="left"/>
      <w:pPr>
        <w:ind w:left="3551" w:hanging="600"/>
      </w:pPr>
      <w:rPr>
        <w:rFonts w:hint="default"/>
      </w:rPr>
    </w:lvl>
    <w:lvl w:ilvl="4">
      <w:numFmt w:val="bullet"/>
      <w:lvlText w:val="•"/>
      <w:lvlJc w:val="left"/>
      <w:pPr>
        <w:ind w:left="4462" w:hanging="600"/>
      </w:pPr>
      <w:rPr>
        <w:rFonts w:hint="default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</w:rPr>
    </w:lvl>
    <w:lvl w:ilvl="6">
      <w:numFmt w:val="bullet"/>
      <w:lvlText w:val="•"/>
      <w:lvlJc w:val="left"/>
      <w:pPr>
        <w:ind w:left="6283" w:hanging="600"/>
      </w:pPr>
      <w:rPr>
        <w:rFonts w:hint="default"/>
      </w:rPr>
    </w:lvl>
    <w:lvl w:ilvl="7">
      <w:numFmt w:val="bullet"/>
      <w:lvlText w:val="•"/>
      <w:lvlJc w:val="left"/>
      <w:pPr>
        <w:ind w:left="7194" w:hanging="600"/>
      </w:pPr>
      <w:rPr>
        <w:rFonts w:hint="default"/>
      </w:rPr>
    </w:lvl>
    <w:lvl w:ilvl="8">
      <w:numFmt w:val="bullet"/>
      <w:lvlText w:val="•"/>
      <w:lvlJc w:val="left"/>
      <w:pPr>
        <w:ind w:left="8105" w:hanging="600"/>
      </w:pPr>
      <w:rPr>
        <w:rFonts w:hint="default"/>
      </w:rPr>
    </w:lvl>
  </w:abstractNum>
  <w:abstractNum w:abstractNumId="1" w15:restartNumberingAfterBreak="0">
    <w:nsid w:val="177C2648"/>
    <w:multiLevelType w:val="multilevel"/>
    <w:tmpl w:val="0B66C9E6"/>
    <w:lvl w:ilvl="0">
      <w:start w:val="7"/>
      <w:numFmt w:val="decimal"/>
      <w:lvlText w:val="%1"/>
      <w:lvlJc w:val="left"/>
      <w:pPr>
        <w:ind w:left="829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600"/>
      </w:pPr>
      <w:rPr>
        <w:rFonts w:hint="default"/>
      </w:rPr>
    </w:lvl>
    <w:lvl w:ilvl="3">
      <w:numFmt w:val="bullet"/>
      <w:lvlText w:val="•"/>
      <w:lvlJc w:val="left"/>
      <w:pPr>
        <w:ind w:left="3551" w:hanging="600"/>
      </w:pPr>
      <w:rPr>
        <w:rFonts w:hint="default"/>
      </w:rPr>
    </w:lvl>
    <w:lvl w:ilvl="4">
      <w:numFmt w:val="bullet"/>
      <w:lvlText w:val="•"/>
      <w:lvlJc w:val="left"/>
      <w:pPr>
        <w:ind w:left="4462" w:hanging="600"/>
      </w:pPr>
      <w:rPr>
        <w:rFonts w:hint="default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</w:rPr>
    </w:lvl>
    <w:lvl w:ilvl="6">
      <w:numFmt w:val="bullet"/>
      <w:lvlText w:val="•"/>
      <w:lvlJc w:val="left"/>
      <w:pPr>
        <w:ind w:left="6283" w:hanging="600"/>
      </w:pPr>
      <w:rPr>
        <w:rFonts w:hint="default"/>
      </w:rPr>
    </w:lvl>
    <w:lvl w:ilvl="7">
      <w:numFmt w:val="bullet"/>
      <w:lvlText w:val="•"/>
      <w:lvlJc w:val="left"/>
      <w:pPr>
        <w:ind w:left="7194" w:hanging="600"/>
      </w:pPr>
      <w:rPr>
        <w:rFonts w:hint="default"/>
      </w:rPr>
    </w:lvl>
    <w:lvl w:ilvl="8">
      <w:numFmt w:val="bullet"/>
      <w:lvlText w:val="•"/>
      <w:lvlJc w:val="left"/>
      <w:pPr>
        <w:ind w:left="8105" w:hanging="600"/>
      </w:pPr>
      <w:rPr>
        <w:rFonts w:hint="default"/>
      </w:rPr>
    </w:lvl>
  </w:abstractNum>
  <w:abstractNum w:abstractNumId="2" w15:restartNumberingAfterBreak="0">
    <w:nsid w:val="2D5B45D7"/>
    <w:multiLevelType w:val="multilevel"/>
    <w:tmpl w:val="1722C29C"/>
    <w:lvl w:ilvl="0">
      <w:start w:val="4"/>
      <w:numFmt w:val="decimal"/>
      <w:lvlText w:val="%1"/>
      <w:lvlJc w:val="left"/>
      <w:pPr>
        <w:ind w:left="829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7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721"/>
      </w:pPr>
      <w:rPr>
        <w:rFonts w:hint="default"/>
      </w:rPr>
    </w:lvl>
    <w:lvl w:ilvl="3">
      <w:numFmt w:val="bullet"/>
      <w:lvlText w:val="•"/>
      <w:lvlJc w:val="left"/>
      <w:pPr>
        <w:ind w:left="3551" w:hanging="721"/>
      </w:pPr>
      <w:rPr>
        <w:rFonts w:hint="default"/>
      </w:rPr>
    </w:lvl>
    <w:lvl w:ilvl="4">
      <w:numFmt w:val="bullet"/>
      <w:lvlText w:val="•"/>
      <w:lvlJc w:val="left"/>
      <w:pPr>
        <w:ind w:left="4462" w:hanging="721"/>
      </w:pPr>
      <w:rPr>
        <w:rFonts w:hint="default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</w:rPr>
    </w:lvl>
    <w:lvl w:ilvl="6">
      <w:numFmt w:val="bullet"/>
      <w:lvlText w:val="•"/>
      <w:lvlJc w:val="left"/>
      <w:pPr>
        <w:ind w:left="6283" w:hanging="721"/>
      </w:pPr>
      <w:rPr>
        <w:rFonts w:hint="default"/>
      </w:rPr>
    </w:lvl>
    <w:lvl w:ilvl="7">
      <w:numFmt w:val="bullet"/>
      <w:lvlText w:val="•"/>
      <w:lvlJc w:val="left"/>
      <w:pPr>
        <w:ind w:left="7194" w:hanging="721"/>
      </w:pPr>
      <w:rPr>
        <w:rFonts w:hint="default"/>
      </w:rPr>
    </w:lvl>
    <w:lvl w:ilvl="8">
      <w:numFmt w:val="bullet"/>
      <w:lvlText w:val="•"/>
      <w:lvlJc w:val="left"/>
      <w:pPr>
        <w:ind w:left="8105" w:hanging="721"/>
      </w:pPr>
      <w:rPr>
        <w:rFonts w:hint="default"/>
      </w:rPr>
    </w:lvl>
  </w:abstractNum>
  <w:abstractNum w:abstractNumId="3" w15:restartNumberingAfterBreak="0">
    <w:nsid w:val="34A61179"/>
    <w:multiLevelType w:val="multilevel"/>
    <w:tmpl w:val="68B2054C"/>
    <w:lvl w:ilvl="0">
      <w:start w:val="6"/>
      <w:numFmt w:val="decimal"/>
      <w:lvlText w:val="%1"/>
      <w:lvlJc w:val="left"/>
      <w:pPr>
        <w:ind w:left="829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60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600"/>
      </w:pPr>
      <w:rPr>
        <w:rFonts w:hint="default"/>
      </w:rPr>
    </w:lvl>
    <w:lvl w:ilvl="3">
      <w:numFmt w:val="bullet"/>
      <w:lvlText w:val="•"/>
      <w:lvlJc w:val="left"/>
      <w:pPr>
        <w:ind w:left="3551" w:hanging="600"/>
      </w:pPr>
      <w:rPr>
        <w:rFonts w:hint="default"/>
      </w:rPr>
    </w:lvl>
    <w:lvl w:ilvl="4">
      <w:numFmt w:val="bullet"/>
      <w:lvlText w:val="•"/>
      <w:lvlJc w:val="left"/>
      <w:pPr>
        <w:ind w:left="4462" w:hanging="600"/>
      </w:pPr>
      <w:rPr>
        <w:rFonts w:hint="default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</w:rPr>
    </w:lvl>
    <w:lvl w:ilvl="6">
      <w:numFmt w:val="bullet"/>
      <w:lvlText w:val="•"/>
      <w:lvlJc w:val="left"/>
      <w:pPr>
        <w:ind w:left="6283" w:hanging="600"/>
      </w:pPr>
      <w:rPr>
        <w:rFonts w:hint="default"/>
      </w:rPr>
    </w:lvl>
    <w:lvl w:ilvl="7">
      <w:numFmt w:val="bullet"/>
      <w:lvlText w:val="•"/>
      <w:lvlJc w:val="left"/>
      <w:pPr>
        <w:ind w:left="7194" w:hanging="600"/>
      </w:pPr>
      <w:rPr>
        <w:rFonts w:hint="default"/>
      </w:rPr>
    </w:lvl>
    <w:lvl w:ilvl="8">
      <w:numFmt w:val="bullet"/>
      <w:lvlText w:val="•"/>
      <w:lvlJc w:val="left"/>
      <w:pPr>
        <w:ind w:left="8105" w:hanging="600"/>
      </w:pPr>
      <w:rPr>
        <w:rFonts w:hint="default"/>
      </w:rPr>
    </w:lvl>
  </w:abstractNum>
  <w:abstractNum w:abstractNumId="4" w15:restartNumberingAfterBreak="0">
    <w:nsid w:val="52886421"/>
    <w:multiLevelType w:val="multilevel"/>
    <w:tmpl w:val="72627E3A"/>
    <w:lvl w:ilvl="0">
      <w:start w:val="5"/>
      <w:numFmt w:val="decimal"/>
      <w:lvlText w:val="%1"/>
      <w:lvlJc w:val="left"/>
      <w:pPr>
        <w:ind w:left="829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7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721"/>
      </w:pPr>
      <w:rPr>
        <w:rFonts w:hint="default"/>
      </w:rPr>
    </w:lvl>
    <w:lvl w:ilvl="3">
      <w:numFmt w:val="bullet"/>
      <w:lvlText w:val="•"/>
      <w:lvlJc w:val="left"/>
      <w:pPr>
        <w:ind w:left="3551" w:hanging="721"/>
      </w:pPr>
      <w:rPr>
        <w:rFonts w:hint="default"/>
      </w:rPr>
    </w:lvl>
    <w:lvl w:ilvl="4">
      <w:numFmt w:val="bullet"/>
      <w:lvlText w:val="•"/>
      <w:lvlJc w:val="left"/>
      <w:pPr>
        <w:ind w:left="4462" w:hanging="721"/>
      </w:pPr>
      <w:rPr>
        <w:rFonts w:hint="default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</w:rPr>
    </w:lvl>
    <w:lvl w:ilvl="6">
      <w:numFmt w:val="bullet"/>
      <w:lvlText w:val="•"/>
      <w:lvlJc w:val="left"/>
      <w:pPr>
        <w:ind w:left="6283" w:hanging="721"/>
      </w:pPr>
      <w:rPr>
        <w:rFonts w:hint="default"/>
      </w:rPr>
    </w:lvl>
    <w:lvl w:ilvl="7">
      <w:numFmt w:val="bullet"/>
      <w:lvlText w:val="•"/>
      <w:lvlJc w:val="left"/>
      <w:pPr>
        <w:ind w:left="7194" w:hanging="721"/>
      </w:pPr>
      <w:rPr>
        <w:rFonts w:hint="default"/>
      </w:rPr>
    </w:lvl>
    <w:lvl w:ilvl="8">
      <w:numFmt w:val="bullet"/>
      <w:lvlText w:val="•"/>
      <w:lvlJc w:val="left"/>
      <w:pPr>
        <w:ind w:left="8105" w:hanging="721"/>
      </w:pPr>
      <w:rPr>
        <w:rFonts w:hint="default"/>
      </w:rPr>
    </w:lvl>
  </w:abstractNum>
  <w:abstractNum w:abstractNumId="5" w15:restartNumberingAfterBreak="0">
    <w:nsid w:val="5D0A19E5"/>
    <w:multiLevelType w:val="multilevel"/>
    <w:tmpl w:val="0E20621A"/>
    <w:lvl w:ilvl="0">
      <w:start w:val="2"/>
      <w:numFmt w:val="decimal"/>
      <w:lvlText w:val="%1"/>
      <w:lvlJc w:val="left"/>
      <w:pPr>
        <w:ind w:left="829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7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721"/>
      </w:pPr>
      <w:rPr>
        <w:rFonts w:hint="default"/>
      </w:rPr>
    </w:lvl>
    <w:lvl w:ilvl="3">
      <w:numFmt w:val="bullet"/>
      <w:lvlText w:val="•"/>
      <w:lvlJc w:val="left"/>
      <w:pPr>
        <w:ind w:left="3551" w:hanging="721"/>
      </w:pPr>
      <w:rPr>
        <w:rFonts w:hint="default"/>
      </w:rPr>
    </w:lvl>
    <w:lvl w:ilvl="4">
      <w:numFmt w:val="bullet"/>
      <w:lvlText w:val="•"/>
      <w:lvlJc w:val="left"/>
      <w:pPr>
        <w:ind w:left="4462" w:hanging="721"/>
      </w:pPr>
      <w:rPr>
        <w:rFonts w:hint="default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</w:rPr>
    </w:lvl>
    <w:lvl w:ilvl="6">
      <w:numFmt w:val="bullet"/>
      <w:lvlText w:val="•"/>
      <w:lvlJc w:val="left"/>
      <w:pPr>
        <w:ind w:left="6283" w:hanging="721"/>
      </w:pPr>
      <w:rPr>
        <w:rFonts w:hint="default"/>
      </w:rPr>
    </w:lvl>
    <w:lvl w:ilvl="7">
      <w:numFmt w:val="bullet"/>
      <w:lvlText w:val="•"/>
      <w:lvlJc w:val="left"/>
      <w:pPr>
        <w:ind w:left="7194" w:hanging="721"/>
      </w:pPr>
      <w:rPr>
        <w:rFonts w:hint="default"/>
      </w:rPr>
    </w:lvl>
    <w:lvl w:ilvl="8">
      <w:numFmt w:val="bullet"/>
      <w:lvlText w:val="•"/>
      <w:lvlJc w:val="left"/>
      <w:pPr>
        <w:ind w:left="8105" w:hanging="721"/>
      </w:pPr>
      <w:rPr>
        <w:rFonts w:hint="default"/>
      </w:rPr>
    </w:lvl>
  </w:abstractNum>
  <w:abstractNum w:abstractNumId="6" w15:restartNumberingAfterBreak="0">
    <w:nsid w:val="6B8517A5"/>
    <w:multiLevelType w:val="multilevel"/>
    <w:tmpl w:val="1C2E699C"/>
    <w:lvl w:ilvl="0">
      <w:start w:val="3"/>
      <w:numFmt w:val="decimal"/>
      <w:lvlText w:val="%1"/>
      <w:lvlJc w:val="left"/>
      <w:pPr>
        <w:ind w:left="83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7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57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474" w:hanging="721"/>
      </w:pPr>
      <w:rPr>
        <w:rFonts w:hint="default"/>
      </w:rPr>
    </w:lvl>
    <w:lvl w:ilvl="5">
      <w:numFmt w:val="bullet"/>
      <w:lvlText w:val="•"/>
      <w:lvlJc w:val="left"/>
      <w:pPr>
        <w:ind w:left="5383" w:hanging="721"/>
      </w:pPr>
      <w:rPr>
        <w:rFonts w:hint="default"/>
      </w:rPr>
    </w:lvl>
    <w:lvl w:ilvl="6">
      <w:numFmt w:val="bullet"/>
      <w:lvlText w:val="•"/>
      <w:lvlJc w:val="left"/>
      <w:pPr>
        <w:ind w:left="6291" w:hanging="721"/>
      </w:pPr>
      <w:rPr>
        <w:rFonts w:hint="default"/>
      </w:rPr>
    </w:lvl>
    <w:lvl w:ilvl="7">
      <w:numFmt w:val="bullet"/>
      <w:lvlText w:val="•"/>
      <w:lvlJc w:val="left"/>
      <w:pPr>
        <w:ind w:left="7200" w:hanging="721"/>
      </w:pPr>
      <w:rPr>
        <w:rFonts w:hint="default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</w:rPr>
    </w:lvl>
  </w:abstractNum>
  <w:abstractNum w:abstractNumId="7" w15:restartNumberingAfterBreak="0">
    <w:nsid w:val="7A794409"/>
    <w:multiLevelType w:val="multilevel"/>
    <w:tmpl w:val="1644811C"/>
    <w:lvl w:ilvl="0">
      <w:start w:val="1"/>
      <w:numFmt w:val="decimal"/>
      <w:lvlText w:val="%1"/>
      <w:lvlJc w:val="left"/>
      <w:pPr>
        <w:ind w:left="829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72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641" w:hanging="721"/>
      </w:pPr>
      <w:rPr>
        <w:rFonts w:hint="default"/>
      </w:rPr>
    </w:lvl>
    <w:lvl w:ilvl="3">
      <w:numFmt w:val="bullet"/>
      <w:lvlText w:val="•"/>
      <w:lvlJc w:val="left"/>
      <w:pPr>
        <w:ind w:left="3551" w:hanging="721"/>
      </w:pPr>
      <w:rPr>
        <w:rFonts w:hint="default"/>
      </w:rPr>
    </w:lvl>
    <w:lvl w:ilvl="4">
      <w:numFmt w:val="bullet"/>
      <w:lvlText w:val="•"/>
      <w:lvlJc w:val="left"/>
      <w:pPr>
        <w:ind w:left="4462" w:hanging="721"/>
      </w:pPr>
      <w:rPr>
        <w:rFonts w:hint="default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</w:rPr>
    </w:lvl>
    <w:lvl w:ilvl="6">
      <w:numFmt w:val="bullet"/>
      <w:lvlText w:val="•"/>
      <w:lvlJc w:val="left"/>
      <w:pPr>
        <w:ind w:left="6283" w:hanging="721"/>
      </w:pPr>
      <w:rPr>
        <w:rFonts w:hint="default"/>
      </w:rPr>
    </w:lvl>
    <w:lvl w:ilvl="7">
      <w:numFmt w:val="bullet"/>
      <w:lvlText w:val="•"/>
      <w:lvlJc w:val="left"/>
      <w:pPr>
        <w:ind w:left="7194" w:hanging="721"/>
      </w:pPr>
      <w:rPr>
        <w:rFonts w:hint="default"/>
      </w:rPr>
    </w:lvl>
    <w:lvl w:ilvl="8">
      <w:numFmt w:val="bullet"/>
      <w:lvlText w:val="•"/>
      <w:lvlJc w:val="left"/>
      <w:pPr>
        <w:ind w:left="8105" w:hanging="7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5B8"/>
    <w:rsid w:val="00703B1D"/>
    <w:rsid w:val="008325B8"/>
    <w:rsid w:val="00A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24E55B7"/>
  <w15:docId w15:val="{96F6BBBB-750F-45F2-92D9-5974AB9F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ind w:left="406"/>
      <w:outlineLvl w:val="1"/>
    </w:pPr>
    <w:rPr>
      <w:rFonts w:ascii="Calibri" w:eastAsia="Calibri" w:hAnsi="Calibri" w:cs="Calibri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69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uiPriority w:val="9"/>
    <w:unhideWhenUsed/>
    <w:qFormat/>
    <w:pPr>
      <w:ind w:left="332" w:right="346"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29" w:right="123" w:hanging="72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u~ívání programového vybavení 2021</dc:title>
  <dc:creator>jitkasedlackova</dc:creator>
  <cp:lastModifiedBy>Martin Kahánek (ŘED)</cp:lastModifiedBy>
  <cp:revision>2</cp:revision>
  <dcterms:created xsi:type="dcterms:W3CDTF">2023-02-07T12:15:00Z</dcterms:created>
  <dcterms:modified xsi:type="dcterms:W3CDTF">2023-02-07T12:16:00Z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2023-02-07T00:00:00Z</vt:filetime>
  </property>
</Properties>
</file>