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92F1" w14:textId="77777777" w:rsidR="00A33800" w:rsidRDefault="006B52DA">
      <w:pPr>
        <w:pStyle w:val="Headerorfooter20"/>
        <w:framePr w:wrap="none" w:vAnchor="page" w:hAnchor="page" w:x="1118" w:y="701"/>
        <w:shd w:val="clear" w:color="auto" w:fill="auto"/>
      </w:pPr>
      <w:r>
        <w:rPr>
          <w:lang w:val="cs-CZ" w:eastAsia="cs-CZ" w:bidi="cs-CZ"/>
        </w:rPr>
        <w:t xml:space="preserve">Q </w:t>
      </w:r>
      <w:r>
        <w:t>Quantcom</w:t>
      </w:r>
    </w:p>
    <w:p w14:paraId="4F6F92F2" w14:textId="77777777" w:rsidR="00A33800" w:rsidRDefault="006B52DA">
      <w:pPr>
        <w:pStyle w:val="Headerorfooter0"/>
        <w:framePr w:wrap="none" w:vAnchor="page" w:hAnchor="page" w:x="6643" w:y="871"/>
        <w:shd w:val="clear" w:color="auto" w:fill="auto"/>
      </w:pPr>
      <w:r>
        <w:rPr>
          <w:rStyle w:val="Headerorfooter1"/>
          <w:b/>
          <w:bCs/>
        </w:rPr>
        <w:t>Propojujeme profesionály</w:t>
      </w:r>
    </w:p>
    <w:p w14:paraId="4F6F92F3" w14:textId="77777777" w:rsidR="00A33800" w:rsidRDefault="006B52DA">
      <w:pPr>
        <w:pStyle w:val="Heading20"/>
        <w:framePr w:w="9782" w:h="304" w:hRule="exact" w:wrap="none" w:vAnchor="page" w:hAnchor="page" w:x="1056" w:y="2710"/>
        <w:shd w:val="clear" w:color="auto" w:fill="auto"/>
        <w:spacing w:after="0"/>
        <w:ind w:right="100"/>
      </w:pPr>
      <w:bookmarkStart w:id="0" w:name="bookmark0"/>
      <w:r>
        <w:t>Smlouva o vzájemné spolupráci</w:t>
      </w:r>
      <w:bookmarkEnd w:id="0"/>
    </w:p>
    <w:p w14:paraId="4F6F92F4" w14:textId="77777777" w:rsidR="00A33800" w:rsidRDefault="006B52DA">
      <w:pPr>
        <w:pStyle w:val="Heading30"/>
        <w:framePr w:w="9782" w:h="5241" w:hRule="exact" w:wrap="none" w:vAnchor="page" w:hAnchor="page" w:x="1056" w:y="3778"/>
        <w:shd w:val="clear" w:color="auto" w:fill="auto"/>
        <w:spacing w:before="0"/>
      </w:pPr>
      <w:bookmarkStart w:id="1" w:name="bookmark1"/>
      <w:r>
        <w:t>Hudební divadlo Karlín, příspěvková organizace</w:t>
      </w:r>
      <w:bookmarkEnd w:id="1"/>
    </w:p>
    <w:p w14:paraId="4F6F92F5" w14:textId="77777777" w:rsidR="00A33800" w:rsidRDefault="006B52DA">
      <w:pPr>
        <w:pStyle w:val="Bodytext20"/>
        <w:framePr w:w="9782" w:h="5241" w:hRule="exact" w:wrap="none" w:vAnchor="page" w:hAnchor="page" w:x="1056" w:y="3778"/>
        <w:shd w:val="clear" w:color="auto" w:fill="auto"/>
        <w:tabs>
          <w:tab w:val="left" w:pos="1368"/>
        </w:tabs>
        <w:ind w:firstLine="0"/>
      </w:pPr>
      <w:r>
        <w:t>se sídlem:</w:t>
      </w:r>
      <w:r>
        <w:tab/>
        <w:t>Křižíkova 283/10, 186 00, Praha 8</w:t>
      </w:r>
    </w:p>
    <w:p w14:paraId="4F6F92F6" w14:textId="77777777" w:rsidR="00A33800" w:rsidRDefault="006B52DA">
      <w:pPr>
        <w:pStyle w:val="Bodytext20"/>
        <w:framePr w:w="9782" w:h="5241" w:hRule="exact" w:wrap="none" w:vAnchor="page" w:hAnchor="page" w:x="1056" w:y="3778"/>
        <w:shd w:val="clear" w:color="auto" w:fill="auto"/>
        <w:tabs>
          <w:tab w:val="left" w:pos="1368"/>
        </w:tabs>
        <w:ind w:firstLine="0"/>
      </w:pPr>
      <w:r>
        <w:t>IČ:</w:t>
      </w:r>
      <w:r>
        <w:tab/>
        <w:t>00064335</w:t>
      </w:r>
    </w:p>
    <w:p w14:paraId="4F6F92F7" w14:textId="77777777" w:rsidR="00A33800" w:rsidRDefault="006B52DA">
      <w:pPr>
        <w:pStyle w:val="Bodytext20"/>
        <w:framePr w:w="9782" w:h="5241" w:hRule="exact" w:wrap="none" w:vAnchor="page" w:hAnchor="page" w:x="1056" w:y="3778"/>
        <w:shd w:val="clear" w:color="auto" w:fill="auto"/>
        <w:tabs>
          <w:tab w:val="left" w:pos="1368"/>
        </w:tabs>
        <w:ind w:firstLine="0"/>
      </w:pPr>
      <w:r>
        <w:t>DIČ:</w:t>
      </w:r>
      <w:r>
        <w:tab/>
        <w:t>CZ00064335</w:t>
      </w:r>
    </w:p>
    <w:p w14:paraId="4F6F92F8" w14:textId="77777777" w:rsidR="00A33800" w:rsidRDefault="006B52DA">
      <w:pPr>
        <w:pStyle w:val="Bodytext20"/>
        <w:framePr w:w="9782" w:h="5241" w:hRule="exact" w:wrap="none" w:vAnchor="page" w:hAnchor="page" w:x="1056" w:y="3778"/>
        <w:shd w:val="clear" w:color="auto" w:fill="auto"/>
        <w:tabs>
          <w:tab w:val="left" w:pos="1368"/>
        </w:tabs>
        <w:ind w:firstLine="0"/>
      </w:pPr>
      <w:r>
        <w:t>zastoupená:</w:t>
      </w:r>
      <w:r>
        <w:tab/>
        <w:t>Egonem Kulhánkem, ředitelem společnosti</w:t>
      </w:r>
    </w:p>
    <w:p w14:paraId="4F6F92F9" w14:textId="77777777" w:rsidR="00A33800" w:rsidRDefault="006B52DA">
      <w:pPr>
        <w:pStyle w:val="Bodytext20"/>
        <w:framePr w:w="9782" w:h="5241" w:hRule="exact" w:wrap="none" w:vAnchor="page" w:hAnchor="page" w:x="1056" w:y="3778"/>
        <w:shd w:val="clear" w:color="auto" w:fill="auto"/>
        <w:ind w:firstLine="0"/>
      </w:pPr>
      <w:r>
        <w:t>zapsaná v ŽR, 331 - Příspěvková organizace, 13130 - Místní vládní instituce</w:t>
      </w:r>
    </w:p>
    <w:p w14:paraId="4F6F92FA" w14:textId="77777777" w:rsidR="00A33800" w:rsidRDefault="006B52DA">
      <w:pPr>
        <w:pStyle w:val="Bodytext20"/>
        <w:framePr w:w="9782" w:h="5241" w:hRule="exact" w:wrap="none" w:vAnchor="page" w:hAnchor="page" w:x="1056" w:y="3778"/>
        <w:shd w:val="clear" w:color="auto" w:fill="auto"/>
        <w:ind w:firstLine="0"/>
      </w:pPr>
      <w:r>
        <w:t>(dále jen „Partner")</w:t>
      </w:r>
    </w:p>
    <w:p w14:paraId="4F6F92FB" w14:textId="77777777" w:rsidR="00A33800" w:rsidRDefault="006B52DA">
      <w:pPr>
        <w:pStyle w:val="Bodytext20"/>
        <w:framePr w:w="9782" w:h="5241" w:hRule="exact" w:wrap="none" w:vAnchor="page" w:hAnchor="page" w:x="1056" w:y="3778"/>
        <w:shd w:val="clear" w:color="auto" w:fill="auto"/>
        <w:ind w:firstLine="0"/>
      </w:pPr>
      <w:r>
        <w:t>a</w:t>
      </w:r>
    </w:p>
    <w:p w14:paraId="4F6F92FC" w14:textId="77777777" w:rsidR="00A33800" w:rsidRDefault="006B52DA">
      <w:pPr>
        <w:pStyle w:val="Bodytext30"/>
        <w:framePr w:w="9782" w:h="5241" w:hRule="exact" w:wrap="none" w:vAnchor="page" w:hAnchor="page" w:x="1056" w:y="3778"/>
        <w:shd w:val="clear" w:color="auto" w:fill="auto"/>
      </w:pPr>
      <w:r>
        <w:t>Quantcom, a.s.</w:t>
      </w:r>
    </w:p>
    <w:p w14:paraId="4F6F92FD" w14:textId="77777777" w:rsidR="00A33800" w:rsidRDefault="006B52DA">
      <w:pPr>
        <w:pStyle w:val="Bodytext20"/>
        <w:framePr w:w="9782" w:h="5241" w:hRule="exact" w:wrap="none" w:vAnchor="page" w:hAnchor="page" w:x="1056" w:y="3778"/>
        <w:shd w:val="clear" w:color="auto" w:fill="auto"/>
        <w:tabs>
          <w:tab w:val="left" w:pos="1368"/>
        </w:tabs>
        <w:ind w:firstLine="0"/>
      </w:pPr>
      <w:r>
        <w:t>se sídlem:</w:t>
      </w:r>
      <w:r>
        <w:tab/>
        <w:t>Křižíkova 36a/237, 186 00 Praha 8</w:t>
      </w:r>
    </w:p>
    <w:p w14:paraId="4F6F92FE" w14:textId="77777777" w:rsidR="00A33800" w:rsidRDefault="006B52DA">
      <w:pPr>
        <w:pStyle w:val="Bodytext20"/>
        <w:framePr w:w="9782" w:h="5241" w:hRule="exact" w:wrap="none" w:vAnchor="page" w:hAnchor="page" w:x="1056" w:y="3778"/>
        <w:shd w:val="clear" w:color="auto" w:fill="auto"/>
        <w:tabs>
          <w:tab w:val="left" w:pos="1368"/>
        </w:tabs>
        <w:ind w:firstLine="0"/>
      </w:pPr>
      <w:r>
        <w:t>IČ:</w:t>
      </w:r>
      <w:r>
        <w:tab/>
        <w:t>28175492</w:t>
      </w:r>
    </w:p>
    <w:p w14:paraId="4F6F92FF" w14:textId="77777777" w:rsidR="00A33800" w:rsidRDefault="006B52DA">
      <w:pPr>
        <w:pStyle w:val="Bodytext20"/>
        <w:framePr w:w="9782" w:h="5241" w:hRule="exact" w:wrap="none" w:vAnchor="page" w:hAnchor="page" w:x="1056" w:y="3778"/>
        <w:shd w:val="clear" w:color="auto" w:fill="auto"/>
        <w:tabs>
          <w:tab w:val="left" w:pos="1368"/>
        </w:tabs>
        <w:ind w:firstLine="0"/>
      </w:pPr>
      <w:r>
        <w:t>DIČ:</w:t>
      </w:r>
      <w:r>
        <w:tab/>
        <w:t>CZ 28175492</w:t>
      </w:r>
    </w:p>
    <w:p w14:paraId="4F6F9300" w14:textId="77777777" w:rsidR="00A33800" w:rsidRDefault="006B52DA">
      <w:pPr>
        <w:pStyle w:val="Bodytext20"/>
        <w:framePr w:w="9782" w:h="5241" w:hRule="exact" w:wrap="none" w:vAnchor="page" w:hAnchor="page" w:x="1056" w:y="3778"/>
        <w:shd w:val="clear" w:color="auto" w:fill="auto"/>
        <w:tabs>
          <w:tab w:val="left" w:pos="1368"/>
        </w:tabs>
        <w:ind w:firstLine="0"/>
      </w:pPr>
      <w:r>
        <w:t>zastoupená:</w:t>
      </w:r>
      <w:r>
        <w:tab/>
        <w:t>Zdeňkem Sivkem, předsedou představenstva společnosti</w:t>
      </w:r>
    </w:p>
    <w:p w14:paraId="4F6F9301" w14:textId="77777777" w:rsidR="00A33800" w:rsidRDefault="006B52DA">
      <w:pPr>
        <w:pStyle w:val="Bodytext20"/>
        <w:framePr w:w="9782" w:h="5241" w:hRule="exact" w:wrap="none" w:vAnchor="page" w:hAnchor="page" w:x="1056" w:y="3778"/>
        <w:shd w:val="clear" w:color="auto" w:fill="auto"/>
        <w:ind w:right="3020" w:firstLine="0"/>
        <w:jc w:val="left"/>
      </w:pPr>
      <w:r>
        <w:t xml:space="preserve">zapsaná v </w:t>
      </w:r>
      <w:r>
        <w:rPr>
          <w:lang w:val="en-US" w:eastAsia="en-US" w:bidi="en-US"/>
        </w:rPr>
        <w:t xml:space="preserve">OR, </w:t>
      </w:r>
      <w:r>
        <w:t>vedeného Městským soudem v Praze oddíl B, vložka 12529 (dále jen „Quantcom")</w:t>
      </w:r>
    </w:p>
    <w:p w14:paraId="4F6F9302" w14:textId="77777777" w:rsidR="00A33800" w:rsidRDefault="006B52DA">
      <w:pPr>
        <w:pStyle w:val="Bodytext20"/>
        <w:framePr w:wrap="none" w:vAnchor="page" w:hAnchor="page" w:x="1056" w:y="9573"/>
        <w:shd w:val="clear" w:color="auto" w:fill="auto"/>
        <w:spacing w:line="224" w:lineRule="exact"/>
        <w:ind w:firstLine="0"/>
      </w:pPr>
      <w:r>
        <w:t>(dále jen „Smluvní strany")</w:t>
      </w:r>
    </w:p>
    <w:p w14:paraId="4F6F9303" w14:textId="77777777" w:rsidR="00A33800" w:rsidRDefault="006B52DA">
      <w:pPr>
        <w:pStyle w:val="Heading40"/>
        <w:framePr w:w="9782" w:h="3387" w:hRule="exact" w:wrap="none" w:vAnchor="page" w:hAnchor="page" w:x="1056" w:y="10571"/>
        <w:shd w:val="clear" w:color="auto" w:fill="auto"/>
        <w:spacing w:before="0"/>
        <w:ind w:right="100"/>
      </w:pPr>
      <w:bookmarkStart w:id="2" w:name="bookmark2"/>
      <w:r>
        <w:t>uzavírají Smlouvu o vzájemné spolupráci</w:t>
      </w:r>
      <w:bookmarkEnd w:id="2"/>
    </w:p>
    <w:p w14:paraId="4F6F9304" w14:textId="77777777" w:rsidR="00A33800" w:rsidRDefault="006B52DA">
      <w:pPr>
        <w:pStyle w:val="Bodytext20"/>
        <w:framePr w:w="9782" w:h="3387" w:hRule="exact" w:wrap="none" w:vAnchor="page" w:hAnchor="page" w:x="1056" w:y="10571"/>
        <w:shd w:val="clear" w:color="auto" w:fill="auto"/>
        <w:spacing w:after="120" w:line="224" w:lineRule="exact"/>
        <w:ind w:firstLine="0"/>
      </w:pPr>
      <w:r>
        <w:t>s ust. § 1746 odst. 2, zákona č. 89/2012 Sb., občanským zákoníkem, ve znění pozdějších předpisů (dále jen</w:t>
      </w:r>
    </w:p>
    <w:p w14:paraId="4F6F9305" w14:textId="77777777" w:rsidR="00A33800" w:rsidRDefault="006B52DA">
      <w:pPr>
        <w:pStyle w:val="Heading40"/>
        <w:framePr w:w="9782" w:h="3387" w:hRule="exact" w:wrap="none" w:vAnchor="page" w:hAnchor="page" w:x="1056" w:y="10571"/>
        <w:shd w:val="clear" w:color="auto" w:fill="auto"/>
        <w:spacing w:before="0" w:after="183"/>
        <w:ind w:right="100"/>
      </w:pPr>
      <w:bookmarkStart w:id="3" w:name="bookmark3"/>
      <w:r>
        <w:t>„Smlouva"</w:t>
      </w:r>
      <w:r w:rsidRPr="0053590B">
        <w:rPr>
          <w:b w:val="0"/>
        </w:rPr>
        <w:t>).</w:t>
      </w:r>
      <w:bookmarkEnd w:id="3"/>
    </w:p>
    <w:p w14:paraId="4F6F9306" w14:textId="77777777" w:rsidR="00A33800" w:rsidRDefault="006B52DA">
      <w:pPr>
        <w:pStyle w:val="Heading40"/>
        <w:framePr w:w="9782" w:h="3387" w:hRule="exact" w:wrap="none" w:vAnchor="page" w:hAnchor="page" w:x="1056" w:y="10571"/>
        <w:shd w:val="clear" w:color="auto" w:fill="auto"/>
        <w:spacing w:before="0" w:after="0" w:line="346" w:lineRule="exact"/>
        <w:ind w:right="100"/>
      </w:pPr>
      <w:bookmarkStart w:id="4" w:name="bookmark4"/>
      <w:r>
        <w:t>Preambule</w:t>
      </w:r>
      <w:bookmarkEnd w:id="4"/>
    </w:p>
    <w:p w14:paraId="4F6F9307" w14:textId="77777777" w:rsidR="00A33800" w:rsidRDefault="006B52DA">
      <w:pPr>
        <w:pStyle w:val="Bodytext20"/>
        <w:framePr w:w="9782" w:h="3387" w:hRule="exact" w:wrap="none" w:vAnchor="page" w:hAnchor="page" w:x="1056" w:y="10571"/>
        <w:numPr>
          <w:ilvl w:val="0"/>
          <w:numId w:val="1"/>
        </w:numPr>
        <w:shd w:val="clear" w:color="auto" w:fill="auto"/>
        <w:tabs>
          <w:tab w:val="left" w:pos="782"/>
        </w:tabs>
        <w:ind w:left="800" w:hanging="380"/>
        <w:jc w:val="left"/>
      </w:pPr>
      <w:r>
        <w:t>Partner Hudební divadlo Karlín, příspěvková organizace Hlavního města Prahy, produkující a uvádějící divadelní představení / muzikály.</w:t>
      </w:r>
    </w:p>
    <w:p w14:paraId="4F6F9308" w14:textId="77777777" w:rsidR="00A33800" w:rsidRDefault="006B52DA">
      <w:pPr>
        <w:pStyle w:val="Bodytext20"/>
        <w:framePr w:w="9782" w:h="3387" w:hRule="exact" w:wrap="none" w:vAnchor="page" w:hAnchor="page" w:x="1056" w:y="10571"/>
        <w:numPr>
          <w:ilvl w:val="0"/>
          <w:numId w:val="1"/>
        </w:numPr>
        <w:shd w:val="clear" w:color="auto" w:fill="auto"/>
        <w:tabs>
          <w:tab w:val="left" w:pos="782"/>
        </w:tabs>
        <w:ind w:left="800" w:hanging="380"/>
        <w:jc w:val="left"/>
      </w:pPr>
      <w:r>
        <w:t>Quantcom, a.s. je společností podnikající zejména v oblasti telekomunikačních služeb. Quantcom poskytuje Partnerovi službu PROFIINTERTNET na základě Smlouvy č. 78045 a Produktové specifikace služby č. 78045-75070-5 (dále jen Smluvní dokumenty).</w:t>
      </w:r>
    </w:p>
    <w:p w14:paraId="4F6F9309" w14:textId="77777777" w:rsidR="00A33800" w:rsidRDefault="00A33800">
      <w:pPr>
        <w:rPr>
          <w:sz w:val="2"/>
          <w:szCs w:val="2"/>
        </w:rPr>
        <w:sectPr w:rsidR="00A338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F6F930A" w14:textId="66A43A3A" w:rsidR="00A33800" w:rsidRDefault="0053590B">
      <w:pPr>
        <w:pStyle w:val="Headerorfooter20"/>
        <w:framePr w:wrap="none" w:vAnchor="page" w:hAnchor="page" w:x="1179" w:y="731"/>
        <w:shd w:val="clear" w:color="auto" w:fill="auto"/>
      </w:pPr>
      <w:r>
        <w:rPr>
          <w:lang w:val="cs-CZ" w:eastAsia="cs-CZ" w:bidi="cs-CZ"/>
        </w:rPr>
        <w:lastRenderedPageBreak/>
        <w:t>Q</w:t>
      </w:r>
      <w:r w:rsidR="006B52DA">
        <w:rPr>
          <w:lang w:val="cs-CZ" w:eastAsia="cs-CZ" w:bidi="cs-CZ"/>
        </w:rPr>
        <w:t xml:space="preserve"> </w:t>
      </w:r>
      <w:r w:rsidR="006B52DA">
        <w:t>Quantcom</w:t>
      </w:r>
    </w:p>
    <w:p w14:paraId="4F6F930B" w14:textId="77777777" w:rsidR="00A33800" w:rsidRDefault="006B52DA">
      <w:pPr>
        <w:pStyle w:val="Headerorfooter0"/>
        <w:framePr w:wrap="none" w:vAnchor="page" w:hAnchor="page" w:x="6694" w:y="891"/>
        <w:shd w:val="clear" w:color="auto" w:fill="auto"/>
      </w:pPr>
      <w:r>
        <w:rPr>
          <w:rStyle w:val="Headerorfooter1"/>
          <w:b/>
          <w:bCs/>
        </w:rPr>
        <w:t>Propojujeme profesionály</w:t>
      </w:r>
    </w:p>
    <w:p w14:paraId="4F6F930C" w14:textId="77777777" w:rsidR="00A33800" w:rsidRDefault="006B52DA">
      <w:pPr>
        <w:pStyle w:val="Heading40"/>
        <w:framePr w:w="9782" w:h="636" w:hRule="exact" w:wrap="none" w:vAnchor="page" w:hAnchor="page" w:x="1164" w:y="1805"/>
        <w:shd w:val="clear" w:color="auto" w:fill="auto"/>
        <w:spacing w:before="0" w:after="120"/>
        <w:ind w:right="40"/>
      </w:pPr>
      <w:bookmarkStart w:id="5" w:name="bookmark5"/>
      <w:r>
        <w:t>Článek I</w:t>
      </w:r>
      <w:bookmarkEnd w:id="5"/>
    </w:p>
    <w:p w14:paraId="4F6F930D" w14:textId="77777777" w:rsidR="00A33800" w:rsidRDefault="006B52DA">
      <w:pPr>
        <w:pStyle w:val="Heading40"/>
        <w:framePr w:w="9782" w:h="636" w:hRule="exact" w:wrap="none" w:vAnchor="page" w:hAnchor="page" w:x="1164" w:y="1805"/>
        <w:shd w:val="clear" w:color="auto" w:fill="auto"/>
        <w:spacing w:before="0" w:after="0"/>
        <w:ind w:right="40"/>
      </w:pPr>
      <w:bookmarkStart w:id="6" w:name="bookmark6"/>
      <w:r>
        <w:t>Předmět smlouvy</w:t>
      </w:r>
      <w:bookmarkEnd w:id="6"/>
    </w:p>
    <w:p w14:paraId="4F6F930E" w14:textId="77777777" w:rsidR="00A33800" w:rsidRDefault="006B52DA">
      <w:pPr>
        <w:pStyle w:val="Bodytext20"/>
        <w:framePr w:w="9782" w:h="11645" w:hRule="exact" w:wrap="none" w:vAnchor="page" w:hAnchor="page" w:x="1164" w:y="2914"/>
        <w:numPr>
          <w:ilvl w:val="0"/>
          <w:numId w:val="2"/>
        </w:numPr>
        <w:shd w:val="clear" w:color="auto" w:fill="auto"/>
        <w:tabs>
          <w:tab w:val="left" w:pos="740"/>
        </w:tabs>
        <w:spacing w:line="341" w:lineRule="exact"/>
        <w:ind w:left="780" w:hanging="360"/>
        <w:jc w:val="left"/>
      </w:pPr>
      <w:r>
        <w:t>Partner se zavazuje za dále uvedených podmínek poskytnout společnosti Quantcom propagační a reklamní služby a to v rozsahu definovaném v článku II této Smlouvy. Partner odpovídá za právní nezávadnost reklamní činnosti a za obsah reklamní činnosti. Reklamní činnost nesmí být v rozporu s platnými právními předpisy a poškozovat dobré jméno Quantcom.</w:t>
      </w:r>
    </w:p>
    <w:p w14:paraId="4F6F930F" w14:textId="77777777" w:rsidR="00A33800" w:rsidRDefault="006B52DA">
      <w:pPr>
        <w:pStyle w:val="Bodytext20"/>
        <w:framePr w:w="9782" w:h="11645" w:hRule="exact" w:wrap="none" w:vAnchor="page" w:hAnchor="page" w:x="1164" w:y="2914"/>
        <w:numPr>
          <w:ilvl w:val="0"/>
          <w:numId w:val="2"/>
        </w:numPr>
        <w:shd w:val="clear" w:color="auto" w:fill="auto"/>
        <w:tabs>
          <w:tab w:val="left" w:pos="754"/>
        </w:tabs>
        <w:spacing w:after="394" w:line="341" w:lineRule="exact"/>
        <w:ind w:left="780" w:hanging="360"/>
        <w:jc w:val="left"/>
      </w:pPr>
      <w:r>
        <w:t xml:space="preserve">Quantcom se zavazuje poskytovat Partnerovi služby elektronických komunikací a to v rozsahu definovaném v článku </w:t>
      </w:r>
      <w:r>
        <w:rPr>
          <w:lang w:val="en-US" w:eastAsia="en-US" w:bidi="en-US"/>
        </w:rPr>
        <w:t xml:space="preserve">III </w:t>
      </w:r>
      <w:r>
        <w:t>této Smlouvy.</w:t>
      </w:r>
    </w:p>
    <w:p w14:paraId="4F6F9310" w14:textId="77777777" w:rsidR="00A33800" w:rsidRDefault="006B52DA">
      <w:pPr>
        <w:pStyle w:val="Heading40"/>
        <w:framePr w:w="9782" w:h="11645" w:hRule="exact" w:wrap="none" w:vAnchor="page" w:hAnchor="page" w:x="1164" w:y="2914"/>
        <w:shd w:val="clear" w:color="auto" w:fill="auto"/>
        <w:spacing w:before="0" w:after="120"/>
        <w:ind w:right="40"/>
      </w:pPr>
      <w:bookmarkStart w:id="7" w:name="bookmark7"/>
      <w:r>
        <w:t>Článek II</w:t>
      </w:r>
      <w:bookmarkEnd w:id="7"/>
    </w:p>
    <w:p w14:paraId="4F6F9311" w14:textId="77777777" w:rsidR="00A33800" w:rsidRDefault="006B52DA">
      <w:pPr>
        <w:pStyle w:val="Heading40"/>
        <w:framePr w:w="9782" w:h="11645" w:hRule="exact" w:wrap="none" w:vAnchor="page" w:hAnchor="page" w:x="1164" w:y="2914"/>
        <w:shd w:val="clear" w:color="auto" w:fill="auto"/>
        <w:spacing w:before="0" w:after="640"/>
        <w:ind w:right="40"/>
      </w:pPr>
      <w:bookmarkStart w:id="8" w:name="bookmark8"/>
      <w:r>
        <w:t>Povinnosti Partnera</w:t>
      </w:r>
      <w:bookmarkEnd w:id="8"/>
    </w:p>
    <w:p w14:paraId="4F6F9312" w14:textId="77777777" w:rsidR="00A33800" w:rsidRDefault="006B52DA">
      <w:pPr>
        <w:pStyle w:val="Bodytext20"/>
        <w:framePr w:w="9782" w:h="11645" w:hRule="exact" w:wrap="none" w:vAnchor="page" w:hAnchor="page" w:x="1164" w:y="2914"/>
        <w:numPr>
          <w:ilvl w:val="0"/>
          <w:numId w:val="3"/>
        </w:numPr>
        <w:shd w:val="clear" w:color="auto" w:fill="auto"/>
        <w:tabs>
          <w:tab w:val="left" w:pos="715"/>
        </w:tabs>
        <w:spacing w:after="379" w:line="224" w:lineRule="exact"/>
        <w:ind w:left="680" w:hanging="360"/>
        <w:jc w:val="left"/>
      </w:pPr>
      <w:r>
        <w:t>Partner se zavazuje zajistit propagaci společnosti Quantcom spočívající zejména v:</w:t>
      </w:r>
    </w:p>
    <w:p w14:paraId="4F6F9313" w14:textId="77777777" w:rsidR="00A33800" w:rsidRDefault="006B52DA">
      <w:pPr>
        <w:pStyle w:val="Bodytext20"/>
        <w:framePr w:w="9782" w:h="11645" w:hRule="exact" w:wrap="none" w:vAnchor="page" w:hAnchor="page" w:x="1164" w:y="2914"/>
        <w:numPr>
          <w:ilvl w:val="0"/>
          <w:numId w:val="4"/>
        </w:numPr>
        <w:shd w:val="clear" w:color="auto" w:fill="auto"/>
        <w:tabs>
          <w:tab w:val="left" w:pos="1842"/>
        </w:tabs>
        <w:spacing w:line="350" w:lineRule="exact"/>
        <w:ind w:left="1840" w:right="840" w:hanging="360"/>
        <w:jc w:val="left"/>
      </w:pPr>
      <w:r>
        <w:t xml:space="preserve">zveřejnění loga společnosti Quantcom, a.s. na webových Stánkách </w:t>
      </w:r>
      <w:hyperlink r:id="rId7" w:history="1">
        <w:r>
          <w:rPr>
            <w:rStyle w:val="Bodytext21"/>
          </w:rPr>
          <w:t>www.hdk.cz</w:t>
        </w:r>
      </w:hyperlink>
      <w:r>
        <w:rPr>
          <w:rStyle w:val="Bodytext22"/>
        </w:rPr>
        <w:t xml:space="preserve">, </w:t>
      </w:r>
      <w:r>
        <w:t>v tiskovinách a newsletterech</w:t>
      </w:r>
    </w:p>
    <w:p w14:paraId="4F6F9314" w14:textId="77777777" w:rsidR="00A33800" w:rsidRDefault="006B52DA">
      <w:pPr>
        <w:pStyle w:val="Bodytext20"/>
        <w:framePr w:w="9782" w:h="11645" w:hRule="exact" w:wrap="none" w:vAnchor="page" w:hAnchor="page" w:x="1164" w:y="2914"/>
        <w:numPr>
          <w:ilvl w:val="0"/>
          <w:numId w:val="4"/>
        </w:numPr>
        <w:shd w:val="clear" w:color="auto" w:fill="auto"/>
        <w:tabs>
          <w:tab w:val="left" w:pos="1842"/>
        </w:tabs>
        <w:spacing w:line="350" w:lineRule="exact"/>
        <w:ind w:left="1840" w:hanging="360"/>
        <w:jc w:val="left"/>
      </w:pPr>
      <w:r>
        <w:t>poskytnutí VIP vstupů na premiéry divadelních představení pořádaných v prostorách Hudebního divadla Karlín v rozsahu 4*2 / ročně</w:t>
      </w:r>
    </w:p>
    <w:p w14:paraId="4F6F9315" w14:textId="77777777" w:rsidR="00A33800" w:rsidRDefault="006B52DA">
      <w:pPr>
        <w:pStyle w:val="Bodytext20"/>
        <w:framePr w:w="9782" w:h="11645" w:hRule="exact" w:wrap="none" w:vAnchor="page" w:hAnchor="page" w:x="1164" w:y="2914"/>
        <w:numPr>
          <w:ilvl w:val="0"/>
          <w:numId w:val="4"/>
        </w:numPr>
        <w:shd w:val="clear" w:color="auto" w:fill="auto"/>
        <w:tabs>
          <w:tab w:val="left" w:pos="1842"/>
        </w:tabs>
        <w:spacing w:after="120" w:line="350" w:lineRule="exact"/>
        <w:ind w:left="1840" w:hanging="360"/>
        <w:jc w:val="left"/>
      </w:pPr>
      <w:r>
        <w:t>umístění reklamy Quantcom na digitálních bannerech ve foyer divadla v počtu 10 ks na výšku (9:16) a 11 ks na šířku (16:9)</w:t>
      </w:r>
    </w:p>
    <w:p w14:paraId="4F6F9316" w14:textId="77777777" w:rsidR="00A33800" w:rsidRDefault="006B52DA">
      <w:pPr>
        <w:pStyle w:val="Bodytext20"/>
        <w:framePr w:w="9782" w:h="11645" w:hRule="exact" w:wrap="none" w:vAnchor="page" w:hAnchor="page" w:x="1164" w:y="2914"/>
        <w:numPr>
          <w:ilvl w:val="0"/>
          <w:numId w:val="3"/>
        </w:numPr>
        <w:shd w:val="clear" w:color="auto" w:fill="auto"/>
        <w:tabs>
          <w:tab w:val="left" w:pos="715"/>
        </w:tabs>
        <w:spacing w:line="350" w:lineRule="exact"/>
        <w:ind w:left="680" w:hanging="360"/>
        <w:jc w:val="left"/>
      </w:pPr>
      <w:r>
        <w:t>Partner není oprávněn měnit a upravovat reklamní označení Quantcom bez předchozího souhlasu Quantcom.</w:t>
      </w:r>
    </w:p>
    <w:p w14:paraId="4F6F9317" w14:textId="77777777" w:rsidR="00A33800" w:rsidRDefault="006B52DA">
      <w:pPr>
        <w:pStyle w:val="Bodytext20"/>
        <w:framePr w:w="9782" w:h="11645" w:hRule="exact" w:wrap="none" w:vAnchor="page" w:hAnchor="page" w:x="1164" w:y="2914"/>
        <w:numPr>
          <w:ilvl w:val="0"/>
          <w:numId w:val="3"/>
        </w:numPr>
        <w:shd w:val="clear" w:color="auto" w:fill="auto"/>
        <w:tabs>
          <w:tab w:val="left" w:pos="715"/>
        </w:tabs>
        <w:spacing w:line="341" w:lineRule="exact"/>
        <w:ind w:left="680" w:hanging="360"/>
        <w:jc w:val="left"/>
      </w:pPr>
      <w:r>
        <w:t>Partner je povinen postupovat při zajišťování předmětu smlouvy s odbornou péčí, pracovat na profesionální úrovni v souladu se zájmy Quantcom a tyto chránit.</w:t>
      </w:r>
    </w:p>
    <w:p w14:paraId="4F6F9318" w14:textId="51D07661" w:rsidR="00A33800" w:rsidRDefault="006B52DA">
      <w:pPr>
        <w:pStyle w:val="Bodytext20"/>
        <w:framePr w:w="9782" w:h="11645" w:hRule="exact" w:wrap="none" w:vAnchor="page" w:hAnchor="page" w:x="1164" w:y="2914"/>
        <w:numPr>
          <w:ilvl w:val="0"/>
          <w:numId w:val="3"/>
        </w:numPr>
        <w:shd w:val="clear" w:color="auto" w:fill="auto"/>
        <w:tabs>
          <w:tab w:val="left" w:pos="715"/>
        </w:tabs>
        <w:spacing w:after="574" w:line="341" w:lineRule="exact"/>
        <w:ind w:left="680" w:hanging="360"/>
        <w:jc w:val="left"/>
      </w:pPr>
      <w:r>
        <w:t xml:space="preserve">Celkový finanční objem za poskytnuté plnění Partnera činí </w:t>
      </w:r>
      <w:r w:rsidR="008A5CD3">
        <w:t>xx</w:t>
      </w:r>
      <w:r>
        <w:t xml:space="preserve"> Kč bez DPH ročně.</w:t>
      </w:r>
    </w:p>
    <w:p w14:paraId="4F6F9319" w14:textId="77777777" w:rsidR="00A33800" w:rsidRDefault="006B52DA">
      <w:pPr>
        <w:pStyle w:val="Heading40"/>
        <w:framePr w:w="9782" w:h="11645" w:hRule="exact" w:wrap="none" w:vAnchor="page" w:hAnchor="page" w:x="1164" w:y="2914"/>
        <w:shd w:val="clear" w:color="auto" w:fill="auto"/>
        <w:spacing w:before="0" w:after="300"/>
        <w:ind w:right="40"/>
      </w:pPr>
      <w:bookmarkStart w:id="9" w:name="bookmark9"/>
      <w:r>
        <w:t xml:space="preserve">Článek </w:t>
      </w:r>
      <w:r>
        <w:rPr>
          <w:lang w:val="en-US" w:eastAsia="en-US" w:bidi="en-US"/>
        </w:rPr>
        <w:t>III</w:t>
      </w:r>
      <w:bookmarkEnd w:id="9"/>
    </w:p>
    <w:p w14:paraId="4F6F931A" w14:textId="77777777" w:rsidR="00A33800" w:rsidRDefault="006B52DA">
      <w:pPr>
        <w:pStyle w:val="Heading40"/>
        <w:framePr w:w="9782" w:h="11645" w:hRule="exact" w:wrap="none" w:vAnchor="page" w:hAnchor="page" w:x="1164" w:y="2914"/>
        <w:shd w:val="clear" w:color="auto" w:fill="auto"/>
        <w:spacing w:before="0" w:after="547"/>
        <w:ind w:right="40"/>
      </w:pPr>
      <w:bookmarkStart w:id="10" w:name="bookmark10"/>
      <w:r>
        <w:t>Povinnosti Quantcom</w:t>
      </w:r>
      <w:bookmarkEnd w:id="10"/>
    </w:p>
    <w:p w14:paraId="4F6F931B" w14:textId="51E2B9DF" w:rsidR="00A33800" w:rsidRDefault="006B52DA">
      <w:pPr>
        <w:pStyle w:val="Bodytext20"/>
        <w:framePr w:w="9782" w:h="11645" w:hRule="exact" w:wrap="none" w:vAnchor="page" w:hAnchor="page" w:x="1164" w:y="2914"/>
        <w:numPr>
          <w:ilvl w:val="0"/>
          <w:numId w:val="5"/>
        </w:numPr>
        <w:shd w:val="clear" w:color="auto" w:fill="auto"/>
        <w:tabs>
          <w:tab w:val="left" w:pos="715"/>
        </w:tabs>
        <w:spacing w:line="341" w:lineRule="exact"/>
        <w:ind w:left="680" w:hanging="360"/>
        <w:jc w:val="left"/>
      </w:pPr>
      <w:r>
        <w:t xml:space="preserve">Quantcom se zavazuje poskytovat Partnerovi službu PROFI INTERNET na základě Smluvních dokumentů. Celkový finanční objem za poskytnuté plnění Quantcom činí </w:t>
      </w:r>
      <w:r w:rsidR="008A5CD3">
        <w:t>xx</w:t>
      </w:r>
      <w:r>
        <w:t xml:space="preserve"> Kč bez DPH ročně.</w:t>
      </w:r>
    </w:p>
    <w:p w14:paraId="4F6F931C" w14:textId="77777777" w:rsidR="00A33800" w:rsidRDefault="006B52DA">
      <w:pPr>
        <w:pStyle w:val="Bodytext20"/>
        <w:framePr w:w="9782" w:h="11645" w:hRule="exact" w:wrap="none" w:vAnchor="page" w:hAnchor="page" w:x="1164" w:y="2914"/>
        <w:numPr>
          <w:ilvl w:val="0"/>
          <w:numId w:val="5"/>
        </w:numPr>
        <w:shd w:val="clear" w:color="auto" w:fill="auto"/>
        <w:tabs>
          <w:tab w:val="left" w:pos="715"/>
        </w:tabs>
        <w:spacing w:line="341" w:lineRule="exact"/>
        <w:ind w:left="680" w:hanging="360"/>
        <w:jc w:val="left"/>
      </w:pPr>
      <w:r>
        <w:t>Quantcom se zavazuje poskytnout včas a předem Partnerovi všechny podklady potřebné pro bezchybné uplatnění svého reklamního označení či reklamních sloganů.</w:t>
      </w:r>
    </w:p>
    <w:p w14:paraId="4F6F931D" w14:textId="77777777" w:rsidR="00A33800" w:rsidRDefault="00A33800">
      <w:pPr>
        <w:rPr>
          <w:sz w:val="2"/>
          <w:szCs w:val="2"/>
        </w:rPr>
        <w:sectPr w:rsidR="00A338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F6F931E" w14:textId="32B73149" w:rsidR="00A33800" w:rsidRDefault="006B52DA">
      <w:pPr>
        <w:pStyle w:val="Headerorfooter20"/>
        <w:framePr w:wrap="none" w:vAnchor="page" w:hAnchor="page" w:x="1042" w:y="598"/>
        <w:shd w:val="clear" w:color="auto" w:fill="auto"/>
        <w:spacing w:line="782" w:lineRule="exact"/>
      </w:pPr>
      <w:r>
        <w:rPr>
          <w:rStyle w:val="Headerorfooter2Aldhabi65ptNotBold"/>
        </w:rPr>
        <w:lastRenderedPageBreak/>
        <w:t xml:space="preserve"> </w:t>
      </w:r>
      <w:r>
        <w:t>Q</w:t>
      </w:r>
      <w:r w:rsidR="00C14BB9">
        <w:t xml:space="preserve"> Q</w:t>
      </w:r>
      <w:r>
        <w:t>uantcom</w:t>
      </w:r>
    </w:p>
    <w:p w14:paraId="4F6F931F" w14:textId="77777777" w:rsidR="00A33800" w:rsidRDefault="006B52DA">
      <w:pPr>
        <w:pStyle w:val="Headerorfooter0"/>
        <w:framePr w:wrap="none" w:vAnchor="page" w:hAnchor="page" w:x="6557" w:y="896"/>
        <w:shd w:val="clear" w:color="auto" w:fill="auto"/>
      </w:pPr>
      <w:r>
        <w:rPr>
          <w:rStyle w:val="Headerorfooter1"/>
          <w:b/>
          <w:bCs/>
        </w:rPr>
        <w:t>Propojujeme profesionály</w:t>
      </w:r>
    </w:p>
    <w:p w14:paraId="4F6F9320" w14:textId="77777777" w:rsidR="00A33800" w:rsidRDefault="006B52DA">
      <w:pPr>
        <w:pStyle w:val="Heading40"/>
        <w:framePr w:w="9547" w:h="1066" w:hRule="exact" w:wrap="none" w:vAnchor="page" w:hAnchor="page" w:x="1282" w:y="1248"/>
        <w:shd w:val="clear" w:color="auto" w:fill="auto"/>
        <w:spacing w:before="0" w:after="0" w:line="504" w:lineRule="exact"/>
        <w:ind w:left="180"/>
      </w:pPr>
      <w:bookmarkStart w:id="11" w:name="bookmark11"/>
      <w:r>
        <w:t>Článek IV</w:t>
      </w:r>
      <w:r>
        <w:br/>
        <w:t>Cenové ujednání</w:t>
      </w:r>
      <w:bookmarkEnd w:id="11"/>
    </w:p>
    <w:p w14:paraId="4F6F9321" w14:textId="0DCEC677" w:rsidR="00A33800" w:rsidRDefault="00D313AD">
      <w:pPr>
        <w:pStyle w:val="Bodytext20"/>
        <w:framePr w:w="9547" w:h="5989" w:hRule="exact" w:wrap="none" w:vAnchor="page" w:hAnchor="page" w:x="1282" w:y="2778"/>
        <w:numPr>
          <w:ilvl w:val="0"/>
          <w:numId w:val="6"/>
        </w:numPr>
        <w:shd w:val="clear" w:color="auto" w:fill="auto"/>
        <w:tabs>
          <w:tab w:val="left" w:pos="354"/>
        </w:tabs>
        <w:spacing w:after="387" w:line="224" w:lineRule="exact"/>
        <w:ind w:firstLine="0"/>
        <w:jc w:val="left"/>
      </w:pPr>
      <w:r>
        <w:t xml:space="preserve">  </w:t>
      </w:r>
      <w:r w:rsidR="006B52DA">
        <w:t>Obě smluvní strany se dohodly na vzájemném započtení závazků a pohledávek a to 1x za rok.</w:t>
      </w:r>
    </w:p>
    <w:p w14:paraId="4F6F9322" w14:textId="6D33F6F5" w:rsidR="00A33800" w:rsidRDefault="00D313AD">
      <w:pPr>
        <w:pStyle w:val="Bodytext20"/>
        <w:framePr w:w="9547" w:h="5989" w:hRule="exact" w:wrap="none" w:vAnchor="page" w:hAnchor="page" w:x="1282" w:y="2778"/>
        <w:numPr>
          <w:ilvl w:val="0"/>
          <w:numId w:val="6"/>
        </w:numPr>
        <w:shd w:val="clear" w:color="auto" w:fill="auto"/>
        <w:tabs>
          <w:tab w:val="left" w:pos="354"/>
        </w:tabs>
        <w:spacing w:after="300" w:line="341" w:lineRule="exact"/>
        <w:ind w:left="500"/>
        <w:jc w:val="left"/>
      </w:pPr>
      <w:r>
        <w:t xml:space="preserve">  </w:t>
      </w:r>
      <w:r w:rsidR="006B52DA">
        <w:t xml:space="preserve">Quantcom vystaví k 31.12.2023 fakturu na částku </w:t>
      </w:r>
      <w:r w:rsidR="008A5CD3">
        <w:t>xx</w:t>
      </w:r>
      <w:r w:rsidR="006B52DA">
        <w:t>,- Kč bez DPH (období 1.1. 2023 - 31.12. 2023) na základě Smluvních dokumentů se splatností 14 dní. Fakturu s poznámkou „neplatit - zápočtem" zašle na e-mailovou adresu Partnera</w:t>
      </w:r>
      <w:r w:rsidR="006B52DA">
        <w:rPr>
          <w:lang w:val="en-US" w:eastAsia="en-US" w:bidi="en-US"/>
        </w:rPr>
        <w:t>.</w:t>
      </w:r>
    </w:p>
    <w:p w14:paraId="4F6F9324" w14:textId="66D4C35E" w:rsidR="00A33800" w:rsidRDefault="006B52DA" w:rsidP="008A5CD3">
      <w:pPr>
        <w:pStyle w:val="Bodytext20"/>
        <w:framePr w:w="9547" w:h="5989" w:hRule="exact" w:wrap="none" w:vAnchor="page" w:hAnchor="page" w:x="1282" w:y="2778"/>
        <w:shd w:val="clear" w:color="auto" w:fill="auto"/>
        <w:spacing w:line="341" w:lineRule="exact"/>
        <w:ind w:left="500" w:firstLine="0"/>
        <w:jc w:val="left"/>
      </w:pPr>
      <w:r>
        <w:t xml:space="preserve">Partner ihned po obdržení výše zmíněného daňového dokladu vystaví daňový doklad ve výši </w:t>
      </w:r>
      <w:r w:rsidR="008A5CD3">
        <w:t>xx</w:t>
      </w:r>
      <w:r>
        <w:t>,- Kč bez DPH (období 1.1. 2023 - 31.12. 2023) zároveň s potvrzením vzájemného vyrovnání pohledávek, tyto dokumenty zašle elektronicky na e-mailovou adresu</w:t>
      </w:r>
      <w:r w:rsidR="008A5CD3">
        <w:t xml:space="preserve"> </w:t>
      </w:r>
      <w:r>
        <w:t>Quantcom podepíše potvrzení o vzájemném vyrovnání pohledávek a zašle zpět elektronicky na emailovou adresu Partnera</w:t>
      </w:r>
      <w:r>
        <w:rPr>
          <w:lang w:val="en-US" w:eastAsia="en-US" w:bidi="en-US"/>
        </w:rPr>
        <w:t>.</w:t>
      </w:r>
    </w:p>
    <w:p w14:paraId="4F6F9325" w14:textId="77777777" w:rsidR="00A33800" w:rsidRDefault="006B52DA">
      <w:pPr>
        <w:pStyle w:val="Bodytext20"/>
        <w:framePr w:w="9547" w:h="5989" w:hRule="exact" w:wrap="none" w:vAnchor="page" w:hAnchor="page" w:x="1282" w:y="2778"/>
        <w:numPr>
          <w:ilvl w:val="0"/>
          <w:numId w:val="6"/>
        </w:numPr>
        <w:shd w:val="clear" w:color="auto" w:fill="auto"/>
        <w:tabs>
          <w:tab w:val="left" w:pos="354"/>
        </w:tabs>
        <w:ind w:left="500"/>
      </w:pPr>
      <w:r>
        <w:t>V případě, že jedna ze smluvních stran nesplní své povinnosti vyplývající z tohoto článku Smlouvy, je povinna uhradit fakturu řádně vystavenou druhou smluvní stranou ve lhůtě splatnosti stanovené touto fakturou.</w:t>
      </w:r>
    </w:p>
    <w:p w14:paraId="4F6F9326" w14:textId="77777777" w:rsidR="00A33800" w:rsidRDefault="006B52DA">
      <w:pPr>
        <w:pStyle w:val="Bodytext20"/>
        <w:framePr w:w="9547" w:h="5989" w:hRule="exact" w:wrap="none" w:vAnchor="page" w:hAnchor="page" w:x="1282" w:y="2778"/>
        <w:numPr>
          <w:ilvl w:val="0"/>
          <w:numId w:val="6"/>
        </w:numPr>
        <w:shd w:val="clear" w:color="auto" w:fill="auto"/>
        <w:tabs>
          <w:tab w:val="left" w:pos="354"/>
        </w:tabs>
        <w:ind w:left="500"/>
        <w:jc w:val="left"/>
      </w:pPr>
      <w:r>
        <w:t>V případě prodlení, vad v realizaci reklamní činnosti nebo poskytnutí částečného plnění má Quantcom právo na přiměřenou slevu nebo odpovídající kompenzaci. Ostatní práva a povinnosti nejsou tímto ustanovením dotčena.</w:t>
      </w:r>
    </w:p>
    <w:p w14:paraId="4F6F9327" w14:textId="77777777" w:rsidR="00A33800" w:rsidRDefault="006B52DA">
      <w:pPr>
        <w:pStyle w:val="Heading40"/>
        <w:framePr w:w="9547" w:h="636" w:hRule="exact" w:wrap="none" w:vAnchor="page" w:hAnchor="page" w:x="1282" w:y="9293"/>
        <w:shd w:val="clear" w:color="auto" w:fill="auto"/>
        <w:spacing w:before="0" w:after="140"/>
        <w:ind w:right="80"/>
      </w:pPr>
      <w:bookmarkStart w:id="12" w:name="bookmark12"/>
      <w:r>
        <w:t>Článek V.</w:t>
      </w:r>
      <w:bookmarkEnd w:id="12"/>
    </w:p>
    <w:p w14:paraId="4F6F9328" w14:textId="77777777" w:rsidR="00A33800" w:rsidRDefault="006B52DA">
      <w:pPr>
        <w:pStyle w:val="Heading40"/>
        <w:framePr w:w="9547" w:h="636" w:hRule="exact" w:wrap="none" w:vAnchor="page" w:hAnchor="page" w:x="1282" w:y="9293"/>
        <w:shd w:val="clear" w:color="auto" w:fill="auto"/>
        <w:spacing w:before="0" w:after="0"/>
        <w:ind w:right="80"/>
      </w:pPr>
      <w:bookmarkStart w:id="13" w:name="bookmark13"/>
      <w:r>
        <w:t>Obchodní tajemství</w:t>
      </w:r>
      <w:bookmarkEnd w:id="13"/>
    </w:p>
    <w:p w14:paraId="4F6F9329" w14:textId="77777777" w:rsidR="00A33800" w:rsidRDefault="006B52DA">
      <w:pPr>
        <w:pStyle w:val="Bodytext20"/>
        <w:framePr w:w="9547" w:h="1785" w:hRule="exact" w:wrap="none" w:vAnchor="page" w:hAnchor="page" w:x="1282" w:y="10563"/>
        <w:shd w:val="clear" w:color="auto" w:fill="auto"/>
        <w:ind w:firstLine="0"/>
        <w:jc w:val="left"/>
      </w:pPr>
      <w:r>
        <w:t>Smluvní strany se zavazují, že uchovají v tajnosti veškeré informace, které o sobě navzájem získaly v průběhu plnění předmětu této smlouvy a které nejsou veřejně přístupné. V této souvislosti se zavazují zajistit utajování těchto informací též všemi zaměstnanci smluvních stran i dalšími osobami, které pověří dílčími úkoly v souvislou s realizací této Smlouvy. Ustanovení tohoto článku se vztahuje jak na období platnosti této smlouvy, tak na období po jejím ukončení.</w:t>
      </w:r>
    </w:p>
    <w:p w14:paraId="4F6F932A" w14:textId="77777777" w:rsidR="00A33800" w:rsidRDefault="006B52DA">
      <w:pPr>
        <w:pStyle w:val="Heading40"/>
        <w:framePr w:w="9547" w:h="2368" w:hRule="exact" w:wrap="none" w:vAnchor="page" w:hAnchor="page" w:x="1282" w:y="12873"/>
        <w:shd w:val="clear" w:color="auto" w:fill="auto"/>
        <w:spacing w:before="0" w:after="300"/>
        <w:ind w:right="80"/>
      </w:pPr>
      <w:bookmarkStart w:id="14" w:name="bookmark14"/>
      <w:r>
        <w:t>Článek VI.</w:t>
      </w:r>
      <w:bookmarkEnd w:id="14"/>
    </w:p>
    <w:p w14:paraId="4F6F932B" w14:textId="77777777" w:rsidR="00A33800" w:rsidRDefault="006B52DA">
      <w:pPr>
        <w:pStyle w:val="Heading40"/>
        <w:framePr w:w="9547" w:h="2368" w:hRule="exact" w:wrap="none" w:vAnchor="page" w:hAnchor="page" w:x="1282" w:y="12873"/>
        <w:shd w:val="clear" w:color="auto" w:fill="auto"/>
        <w:spacing w:before="0" w:after="203"/>
        <w:ind w:right="80"/>
      </w:pPr>
      <w:bookmarkStart w:id="15" w:name="bookmark15"/>
      <w:r>
        <w:t>Platnost smlouvy</w:t>
      </w:r>
      <w:bookmarkEnd w:id="15"/>
    </w:p>
    <w:p w14:paraId="4F6F932C" w14:textId="77777777" w:rsidR="00A33800" w:rsidRDefault="006B52DA">
      <w:pPr>
        <w:pStyle w:val="Bodytext20"/>
        <w:framePr w:w="9547" w:h="2368" w:hRule="exact" w:wrap="none" w:vAnchor="page" w:hAnchor="page" w:x="1282" w:y="12873"/>
        <w:numPr>
          <w:ilvl w:val="0"/>
          <w:numId w:val="7"/>
        </w:numPr>
        <w:shd w:val="clear" w:color="auto" w:fill="auto"/>
        <w:tabs>
          <w:tab w:val="left" w:pos="354"/>
        </w:tabs>
        <w:ind w:left="380" w:hanging="380"/>
        <w:jc w:val="left"/>
      </w:pPr>
      <w:r>
        <w:t>Tato Smlouva se uzavírá na dobu určitou a to od 1.1.2023 - 31.12.2023. Tato Smlouva je ukončena uplynutím doby, na kterou byla uzavřena, pokud se smluvní strany nedohodnou písemně jinak.</w:t>
      </w:r>
    </w:p>
    <w:p w14:paraId="4F6F932D" w14:textId="77777777" w:rsidR="00A33800" w:rsidRDefault="006B52DA">
      <w:pPr>
        <w:pStyle w:val="Bodytext20"/>
        <w:framePr w:w="9547" w:h="2368" w:hRule="exact" w:wrap="none" w:vAnchor="page" w:hAnchor="page" w:x="1282" w:y="12873"/>
        <w:numPr>
          <w:ilvl w:val="0"/>
          <w:numId w:val="7"/>
        </w:numPr>
        <w:shd w:val="clear" w:color="auto" w:fill="auto"/>
        <w:tabs>
          <w:tab w:val="left" w:pos="354"/>
        </w:tabs>
        <w:ind w:left="380" w:hanging="380"/>
        <w:jc w:val="left"/>
      </w:pPr>
      <w:r>
        <w:t>Ukončením účinnosti této Smlouvy pozbývají účinnosti i Smluvní dokumenty, pokud se smluvní strany nedohodnou jinak.</w:t>
      </w:r>
    </w:p>
    <w:p w14:paraId="4F6F932E" w14:textId="77777777" w:rsidR="00A33800" w:rsidRDefault="00A33800">
      <w:pPr>
        <w:rPr>
          <w:sz w:val="2"/>
          <w:szCs w:val="2"/>
        </w:rPr>
        <w:sectPr w:rsidR="00A338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F6F932F" w14:textId="15D49820" w:rsidR="00A33800" w:rsidRDefault="00745C71">
      <w:pPr>
        <w:pStyle w:val="Headerorfooter20"/>
        <w:framePr w:wrap="none" w:vAnchor="page" w:hAnchor="page" w:x="1097" w:y="727"/>
        <w:shd w:val="clear" w:color="auto" w:fill="auto"/>
      </w:pPr>
      <w:r>
        <w:rPr>
          <w:lang w:val="cs-CZ" w:eastAsia="cs-CZ" w:bidi="cs-CZ"/>
        </w:rPr>
        <w:lastRenderedPageBreak/>
        <w:t>Q</w:t>
      </w:r>
      <w:r w:rsidR="006B52DA">
        <w:rPr>
          <w:lang w:val="cs-CZ" w:eastAsia="cs-CZ" w:bidi="cs-CZ"/>
        </w:rPr>
        <w:t xml:space="preserve"> </w:t>
      </w:r>
      <w:r w:rsidR="006B52DA">
        <w:t>Quantcom</w:t>
      </w:r>
    </w:p>
    <w:p w14:paraId="4F6F9330" w14:textId="77777777" w:rsidR="00A33800" w:rsidRDefault="006B52DA">
      <w:pPr>
        <w:pStyle w:val="Headerorfooter0"/>
        <w:framePr w:wrap="none" w:vAnchor="page" w:hAnchor="page" w:x="6608" w:y="863"/>
        <w:shd w:val="clear" w:color="auto" w:fill="auto"/>
      </w:pPr>
      <w:r>
        <w:rPr>
          <w:rStyle w:val="Headerorfooter1"/>
          <w:b/>
          <w:bCs/>
        </w:rPr>
        <w:t>Propojujeme profesionály</w:t>
      </w:r>
    </w:p>
    <w:p w14:paraId="4F6F9331" w14:textId="77777777" w:rsidR="00A33800" w:rsidRDefault="006B52DA">
      <w:pPr>
        <w:pStyle w:val="Bodytext20"/>
        <w:framePr w:w="9754" w:h="763" w:hRule="exact" w:wrap="none" w:vAnchor="page" w:hAnchor="page" w:x="1112" w:y="1348"/>
        <w:numPr>
          <w:ilvl w:val="0"/>
          <w:numId w:val="7"/>
        </w:numPr>
        <w:shd w:val="clear" w:color="auto" w:fill="auto"/>
        <w:tabs>
          <w:tab w:val="left" w:pos="672"/>
        </w:tabs>
        <w:spacing w:line="350" w:lineRule="exact"/>
        <w:ind w:left="680" w:hanging="360"/>
        <w:jc w:val="left"/>
      </w:pPr>
      <w:r>
        <w:t>Tato Smlouva nabývá platnosti dnem podpisu oběma smluvními stranami a účinnosti dnem uveřejnění podle Zákona č. 340/2015 Sb. o registru smluv.</w:t>
      </w:r>
    </w:p>
    <w:p w14:paraId="4F6F9332" w14:textId="77777777" w:rsidR="00A33800" w:rsidRDefault="006B52DA">
      <w:pPr>
        <w:pStyle w:val="Bodytext20"/>
        <w:framePr w:w="9754" w:h="4541" w:hRule="exact" w:wrap="none" w:vAnchor="page" w:hAnchor="page" w:x="1112" w:y="3726"/>
        <w:numPr>
          <w:ilvl w:val="0"/>
          <w:numId w:val="8"/>
        </w:numPr>
        <w:shd w:val="clear" w:color="auto" w:fill="auto"/>
        <w:tabs>
          <w:tab w:val="left" w:pos="672"/>
        </w:tabs>
        <w:spacing w:line="341" w:lineRule="exact"/>
        <w:ind w:left="680" w:hanging="360"/>
        <w:jc w:val="left"/>
      </w:pPr>
      <w:r>
        <w:t>Tuto Smlouvu lze změnit pouze písemnými dodatky k této Smlouvě.</w:t>
      </w:r>
    </w:p>
    <w:p w14:paraId="4F6F9333" w14:textId="77777777" w:rsidR="00A33800" w:rsidRDefault="006B52DA">
      <w:pPr>
        <w:pStyle w:val="Bodytext20"/>
        <w:framePr w:w="9754" w:h="4541" w:hRule="exact" w:wrap="none" w:vAnchor="page" w:hAnchor="page" w:x="1112" w:y="3726"/>
        <w:numPr>
          <w:ilvl w:val="0"/>
          <w:numId w:val="8"/>
        </w:numPr>
        <w:shd w:val="clear" w:color="auto" w:fill="auto"/>
        <w:tabs>
          <w:tab w:val="left" w:pos="672"/>
        </w:tabs>
        <w:spacing w:line="341" w:lineRule="exact"/>
        <w:ind w:left="680" w:hanging="360"/>
        <w:jc w:val="left"/>
      </w:pPr>
      <w:r>
        <w:t>Pokud by mělo být některé ustanovení této Smlouvy neplatné pro rozpor s obecně platnými předpisy nebo by se v průběhu plnění této Smlouvy neplatným stalo, sjednává se, že tato neplatnost nemá vliv na platnost ostatních ustanovení této Smlouvy a na její celkovou platnost a účinnosti. Smluvní strany jsou povinny takové neplatné ustanovení nahradit ustanovením či ujednáním novým, které bude sjednáno v duchu ostatních ustanovení této Smlouvy.</w:t>
      </w:r>
    </w:p>
    <w:p w14:paraId="4F6F9334" w14:textId="77777777" w:rsidR="00A33800" w:rsidRDefault="006B52DA">
      <w:pPr>
        <w:pStyle w:val="Bodytext20"/>
        <w:framePr w:w="9754" w:h="4541" w:hRule="exact" w:wrap="none" w:vAnchor="page" w:hAnchor="page" w:x="1112" w:y="3726"/>
        <w:numPr>
          <w:ilvl w:val="0"/>
          <w:numId w:val="8"/>
        </w:numPr>
        <w:shd w:val="clear" w:color="auto" w:fill="auto"/>
        <w:tabs>
          <w:tab w:val="left" w:pos="672"/>
        </w:tabs>
        <w:spacing w:line="341" w:lineRule="exact"/>
        <w:ind w:left="680" w:hanging="360"/>
        <w:jc w:val="left"/>
      </w:pPr>
      <w:r>
        <w:t>Tato Smlouva je vyhotovena ve dvou vyhotoveních vždy s platností originálu, každá ze smluvních stran obdrží po jednom.</w:t>
      </w:r>
    </w:p>
    <w:p w14:paraId="4F6F9335" w14:textId="77777777" w:rsidR="00A33800" w:rsidRDefault="006B52DA">
      <w:pPr>
        <w:pStyle w:val="Bodytext20"/>
        <w:framePr w:w="9754" w:h="4541" w:hRule="exact" w:wrap="none" w:vAnchor="page" w:hAnchor="page" w:x="1112" w:y="3726"/>
        <w:numPr>
          <w:ilvl w:val="0"/>
          <w:numId w:val="8"/>
        </w:numPr>
        <w:shd w:val="clear" w:color="auto" w:fill="auto"/>
        <w:tabs>
          <w:tab w:val="left" w:pos="672"/>
        </w:tabs>
        <w:spacing w:line="341" w:lineRule="exact"/>
        <w:ind w:left="680" w:hanging="360"/>
        <w:jc w:val="left"/>
      </w:pPr>
      <w:r>
        <w:t>Tato Smlouva se řídí českým právem, zejména obchodním zákoníkem a souvisejícími předpisy, a řešení případných sporů z této smlouvy podléhá českým soudům.</w:t>
      </w:r>
    </w:p>
    <w:p w14:paraId="4F6F9336" w14:textId="77777777" w:rsidR="00A33800" w:rsidRDefault="006B52DA">
      <w:pPr>
        <w:pStyle w:val="Bodytext20"/>
        <w:framePr w:w="9754" w:h="4541" w:hRule="exact" w:wrap="none" w:vAnchor="page" w:hAnchor="page" w:x="1112" w:y="3726"/>
        <w:numPr>
          <w:ilvl w:val="0"/>
          <w:numId w:val="8"/>
        </w:numPr>
        <w:shd w:val="clear" w:color="auto" w:fill="auto"/>
        <w:tabs>
          <w:tab w:val="left" w:pos="672"/>
        </w:tabs>
        <w:spacing w:line="341" w:lineRule="exact"/>
        <w:ind w:left="680" w:hanging="360"/>
        <w:jc w:val="left"/>
      </w:pPr>
      <w:r>
        <w:t>Obě smluvní strany prohlašují, že s obsahem této Smlouvy byly řádně seznámeny a jejímu obsahu porozuměly, že tuto Smlouvu uzavírají na základě své svobodné a pravé vůle, nikoliv v tísni za nápadně nevýhodných podmínek.</w:t>
      </w:r>
    </w:p>
    <w:p w14:paraId="4F6F9337" w14:textId="77777777" w:rsidR="00A33800" w:rsidRDefault="006B52DA">
      <w:pPr>
        <w:pStyle w:val="Bodytext20"/>
        <w:framePr w:w="9754" w:h="1290" w:hRule="exact" w:wrap="none" w:vAnchor="page" w:hAnchor="page" w:x="1112" w:y="9157"/>
        <w:shd w:val="clear" w:color="auto" w:fill="auto"/>
        <w:spacing w:after="820" w:line="224" w:lineRule="exact"/>
        <w:ind w:firstLine="0"/>
        <w:jc w:val="left"/>
      </w:pPr>
      <w:r>
        <w:t>V Praze dne 2.1.2023</w:t>
      </w:r>
    </w:p>
    <w:p w14:paraId="4F6F9338" w14:textId="77777777" w:rsidR="00A33800" w:rsidRDefault="006B52DA">
      <w:pPr>
        <w:pStyle w:val="Bodytext20"/>
        <w:framePr w:w="9754" w:h="1290" w:hRule="exact" w:wrap="none" w:vAnchor="page" w:hAnchor="page" w:x="1112" w:y="9157"/>
        <w:shd w:val="clear" w:color="auto" w:fill="auto"/>
        <w:tabs>
          <w:tab w:val="left" w:pos="6685"/>
        </w:tabs>
        <w:spacing w:line="224" w:lineRule="exact"/>
        <w:ind w:left="200" w:firstLine="0"/>
      </w:pPr>
      <w:r>
        <w:t>Za Hudební divadlo Karlín, p o.</w:t>
      </w:r>
      <w:r>
        <w:tab/>
        <w:t>Za Quantcom, a.s.</w:t>
      </w:r>
    </w:p>
    <w:p w14:paraId="4F6F9339" w14:textId="77777777" w:rsidR="00A33800" w:rsidRDefault="006B52DA">
      <w:pPr>
        <w:pStyle w:val="Heading40"/>
        <w:framePr w:w="9754" w:h="295" w:hRule="exact" w:wrap="none" w:vAnchor="page" w:hAnchor="page" w:x="1112" w:y="2799"/>
        <w:shd w:val="clear" w:color="auto" w:fill="auto"/>
        <w:spacing w:before="0" w:after="0"/>
        <w:ind w:right="280"/>
      </w:pPr>
      <w:bookmarkStart w:id="16" w:name="bookmark16"/>
      <w:r>
        <w:t>Článek VII.</w:t>
      </w:r>
      <w:bookmarkEnd w:id="16"/>
    </w:p>
    <w:p w14:paraId="4F6F933A" w14:textId="77777777" w:rsidR="00A33800" w:rsidRDefault="006B52DA">
      <w:pPr>
        <w:pStyle w:val="Heading40"/>
        <w:framePr w:w="9754" w:h="281" w:hRule="exact" w:wrap="none" w:vAnchor="page" w:hAnchor="page" w:x="1112" w:y="3311"/>
        <w:shd w:val="clear" w:color="auto" w:fill="auto"/>
        <w:spacing w:before="0" w:after="0"/>
        <w:ind w:right="280"/>
      </w:pPr>
      <w:bookmarkStart w:id="17" w:name="bookmark17"/>
      <w:r>
        <w:t>Další ustanovení</w:t>
      </w:r>
      <w:bookmarkEnd w:id="17"/>
    </w:p>
    <w:p w14:paraId="4F6F933B" w14:textId="77777777" w:rsidR="00A33800" w:rsidRDefault="006B52DA">
      <w:pPr>
        <w:pStyle w:val="Bodytext40"/>
        <w:framePr w:wrap="none" w:vAnchor="page" w:hAnchor="page" w:x="1784" w:y="10551"/>
        <w:shd w:val="clear" w:color="auto" w:fill="auto"/>
      </w:pPr>
      <w:r>
        <w:rPr>
          <w:rStyle w:val="Bodytext41"/>
          <w:b/>
          <w:bCs/>
        </w:rPr>
        <w:t>Karlín</w:t>
      </w:r>
    </w:p>
    <w:p w14:paraId="4F6F933C" w14:textId="77777777" w:rsidR="00A33800" w:rsidRDefault="006B52DA" w:rsidP="006B52DA">
      <w:pPr>
        <w:pStyle w:val="Bodytext50"/>
        <w:framePr w:w="1992" w:h="646" w:hRule="exact" w:wrap="none" w:vAnchor="page" w:hAnchor="page" w:x="3204" w:y="10724"/>
        <w:shd w:val="clear" w:color="auto" w:fill="auto"/>
      </w:pPr>
      <w:r>
        <w:t>Bc. Jan Lepša</w:t>
      </w:r>
    </w:p>
    <w:p w14:paraId="202ACA07" w14:textId="77777777" w:rsidR="006B52DA" w:rsidRDefault="006B52DA" w:rsidP="006B52DA">
      <w:pPr>
        <w:pStyle w:val="Bodytext60"/>
        <w:framePr w:w="1992" w:h="646" w:hRule="exact" w:wrap="none" w:vAnchor="page" w:hAnchor="page" w:x="3204" w:y="10724"/>
        <w:shd w:val="clear" w:color="auto" w:fill="auto"/>
        <w:rPr>
          <w:rStyle w:val="Bodytext61"/>
        </w:rPr>
      </w:pPr>
      <w:r>
        <w:t>2023</w:t>
      </w:r>
      <w:r>
        <w:rPr>
          <w:rStyle w:val="Bodytext61"/>
        </w:rPr>
        <w:t>.</w:t>
      </w:r>
      <w:r>
        <w:t>01.27</w:t>
      </w:r>
      <w:r>
        <w:rPr>
          <w:rStyle w:val="Bodytext61"/>
        </w:rPr>
        <w:t xml:space="preserve"> </w:t>
      </w:r>
    </w:p>
    <w:p w14:paraId="4F6F933D" w14:textId="0E3EF432" w:rsidR="00A33800" w:rsidRDefault="006B52DA" w:rsidP="006B52DA">
      <w:pPr>
        <w:pStyle w:val="Bodytext60"/>
        <w:framePr w:w="1992" w:h="646" w:hRule="exact" w:wrap="none" w:vAnchor="page" w:hAnchor="page" w:x="3204" w:y="10724"/>
        <w:shd w:val="clear" w:color="auto" w:fill="auto"/>
      </w:pPr>
      <w:r>
        <w:t>15</w:t>
      </w:r>
      <w:r>
        <w:rPr>
          <w:rStyle w:val="Bodytext61"/>
        </w:rPr>
        <w:t>:</w:t>
      </w:r>
      <w:r>
        <w:t>00:49</w:t>
      </w:r>
      <w:r>
        <w:rPr>
          <w:rStyle w:val="Bodytext61"/>
        </w:rPr>
        <w:t xml:space="preserve"> +</w:t>
      </w:r>
      <w:r>
        <w:t>01</w:t>
      </w:r>
      <w:r>
        <w:rPr>
          <w:rStyle w:val="Bodytext61"/>
        </w:rPr>
        <w:t>'</w:t>
      </w:r>
      <w:r>
        <w:t>00</w:t>
      </w:r>
      <w:r>
        <w:rPr>
          <w:rStyle w:val="Bodytext61"/>
        </w:rPr>
        <w:t>'</w:t>
      </w:r>
    </w:p>
    <w:p w14:paraId="4F6F933E" w14:textId="36F53FEE" w:rsidR="00A33800" w:rsidRPr="006B52DA" w:rsidRDefault="006B52DA">
      <w:pPr>
        <w:pStyle w:val="Heading10"/>
        <w:framePr w:wrap="none" w:vAnchor="page" w:hAnchor="page" w:x="6344" w:y="10655"/>
        <w:shd w:val="clear" w:color="auto" w:fill="auto"/>
        <w:rPr>
          <w:b w:val="0"/>
          <w:sz w:val="32"/>
          <w:szCs w:val="32"/>
        </w:rPr>
      </w:pPr>
      <w:bookmarkStart w:id="18" w:name="bookmark18"/>
      <w:r w:rsidRPr="006B52DA">
        <w:rPr>
          <w:b w:val="0"/>
          <w:sz w:val="32"/>
          <w:szCs w:val="32"/>
        </w:rPr>
        <w:t>Jiří Kutílek</w:t>
      </w:r>
      <w:bookmarkEnd w:id="18"/>
    </w:p>
    <w:p w14:paraId="007B4C3D" w14:textId="77777777" w:rsidR="006B52DA" w:rsidRDefault="006B52DA" w:rsidP="006B52DA">
      <w:pPr>
        <w:pStyle w:val="Bodytext70"/>
        <w:framePr w:w="1795" w:h="991" w:hRule="exact" w:wrap="none" w:vAnchor="page" w:hAnchor="page" w:x="8168" w:y="10456"/>
        <w:shd w:val="clear" w:color="auto" w:fill="auto"/>
      </w:pPr>
      <w:r>
        <w:t xml:space="preserve">Digitálně podepsal </w:t>
      </w:r>
    </w:p>
    <w:p w14:paraId="4F6F9340" w14:textId="25045663" w:rsidR="00A33800" w:rsidRDefault="006B52DA" w:rsidP="006B52DA">
      <w:pPr>
        <w:pStyle w:val="Bodytext70"/>
        <w:framePr w:w="1795" w:h="991" w:hRule="exact" w:wrap="none" w:vAnchor="page" w:hAnchor="page" w:x="8168" w:y="10456"/>
        <w:shd w:val="clear" w:color="auto" w:fill="auto"/>
      </w:pPr>
      <w:r>
        <w:t>Jiří Kutilek</w:t>
      </w:r>
    </w:p>
    <w:p w14:paraId="7BE0A31C" w14:textId="77777777" w:rsidR="006B52DA" w:rsidRDefault="006B52DA" w:rsidP="006B52DA">
      <w:pPr>
        <w:pStyle w:val="Bodytext70"/>
        <w:framePr w:w="1795" w:h="991" w:hRule="exact" w:wrap="none" w:vAnchor="page" w:hAnchor="page" w:x="8168" w:y="10456"/>
        <w:shd w:val="clear" w:color="auto" w:fill="auto"/>
        <w:ind w:left="9"/>
      </w:pPr>
      <w:r>
        <w:t xml:space="preserve">Datum: 2023.01.27 </w:t>
      </w:r>
    </w:p>
    <w:p w14:paraId="4F6F9341" w14:textId="05439F32" w:rsidR="00A33800" w:rsidRDefault="006B52DA" w:rsidP="006B52DA">
      <w:pPr>
        <w:pStyle w:val="Bodytext70"/>
        <w:framePr w:w="1795" w:h="991" w:hRule="exact" w:wrap="none" w:vAnchor="page" w:hAnchor="page" w:x="8168" w:y="10456"/>
        <w:shd w:val="clear" w:color="auto" w:fill="auto"/>
        <w:ind w:left="9"/>
      </w:pPr>
      <w:r>
        <w:t>11:11:04</w:t>
      </w:r>
      <w:r>
        <w:rPr>
          <w:rStyle w:val="Bodytext7MicrosoftYaHeiUI4pt"/>
        </w:rPr>
        <w:t>+</w:t>
      </w:r>
      <w:r>
        <w:rPr>
          <w:rStyle w:val="Bodytext7MicrosoftYaHeiUI6pt"/>
        </w:rPr>
        <w:t>01</w:t>
      </w:r>
      <w:r>
        <w:rPr>
          <w:rStyle w:val="Bodytext7MicrosoftYaHeiUI4pt"/>
        </w:rPr>
        <w:t>'</w:t>
      </w:r>
      <w:r>
        <w:rPr>
          <w:rStyle w:val="Bodytext7MicrosoftYaHeiUI6pt"/>
        </w:rPr>
        <w:t>00</w:t>
      </w:r>
      <w:r>
        <w:rPr>
          <w:rStyle w:val="Bodytext7MicrosoftYaHeiUI4pt"/>
        </w:rPr>
        <w:t>'</w:t>
      </w:r>
    </w:p>
    <w:p w14:paraId="4F6F9342" w14:textId="77777777" w:rsidR="00A33800" w:rsidRDefault="006B52DA">
      <w:pPr>
        <w:pStyle w:val="Headerorfooter30"/>
        <w:framePr w:wrap="none" w:vAnchor="page" w:hAnchor="page" w:x="1395" w:y="11686"/>
        <w:shd w:val="clear" w:color="auto" w:fill="auto"/>
      </w:pPr>
      <w:r>
        <w:t>Egon Kulhánek</w:t>
      </w:r>
    </w:p>
    <w:p w14:paraId="4F6F9343" w14:textId="77777777" w:rsidR="00A33800" w:rsidRDefault="006B52DA">
      <w:pPr>
        <w:pStyle w:val="Headerorfooter30"/>
        <w:framePr w:wrap="none" w:vAnchor="page" w:hAnchor="page" w:x="6406" w:y="11677"/>
        <w:shd w:val="clear" w:color="auto" w:fill="auto"/>
      </w:pPr>
      <w:r>
        <w:t>Zdeněk Sivek</w:t>
      </w:r>
    </w:p>
    <w:p w14:paraId="4F6F9344" w14:textId="77777777" w:rsidR="00A33800" w:rsidRDefault="00A33800">
      <w:pPr>
        <w:rPr>
          <w:sz w:val="2"/>
          <w:szCs w:val="2"/>
        </w:rPr>
      </w:pPr>
    </w:p>
    <w:sectPr w:rsidR="00A3380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C49AB" w14:textId="77777777" w:rsidR="002C04B8" w:rsidRDefault="002C04B8">
      <w:r>
        <w:separator/>
      </w:r>
    </w:p>
  </w:endnote>
  <w:endnote w:type="continuationSeparator" w:id="0">
    <w:p w14:paraId="2ADDCB9A" w14:textId="77777777" w:rsidR="002C04B8" w:rsidRDefault="002C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dhabi">
    <w:altName w:val="Times New Roman"/>
    <w:charset w:val="B2"/>
    <w:family w:val="auto"/>
    <w:pitch w:val="variable"/>
    <w:sig w:usb0="80002007" w:usb1="80000000" w:usb2="00000008" w:usb3="00000000" w:csb0="0000004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A2D62" w14:textId="77777777" w:rsidR="002C04B8" w:rsidRDefault="002C04B8"/>
  </w:footnote>
  <w:footnote w:type="continuationSeparator" w:id="0">
    <w:p w14:paraId="140B5D41" w14:textId="77777777" w:rsidR="002C04B8" w:rsidRDefault="002C04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60F"/>
    <w:multiLevelType w:val="multilevel"/>
    <w:tmpl w:val="35E642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56F1C"/>
    <w:multiLevelType w:val="multilevel"/>
    <w:tmpl w:val="C8AAAD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097AC6"/>
    <w:multiLevelType w:val="multilevel"/>
    <w:tmpl w:val="BBD8EF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B267A8"/>
    <w:multiLevelType w:val="multilevel"/>
    <w:tmpl w:val="B3181EC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C91790"/>
    <w:multiLevelType w:val="multilevel"/>
    <w:tmpl w:val="557C0E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61515C"/>
    <w:multiLevelType w:val="multilevel"/>
    <w:tmpl w:val="D8C48E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3B1FC3"/>
    <w:multiLevelType w:val="multilevel"/>
    <w:tmpl w:val="4ACE57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C43D5B"/>
    <w:multiLevelType w:val="multilevel"/>
    <w:tmpl w:val="353C9E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8701722">
    <w:abstractNumId w:val="1"/>
  </w:num>
  <w:num w:numId="2" w16cid:durableId="1336568843">
    <w:abstractNumId w:val="2"/>
  </w:num>
  <w:num w:numId="3" w16cid:durableId="416025965">
    <w:abstractNumId w:val="6"/>
  </w:num>
  <w:num w:numId="4" w16cid:durableId="1000886749">
    <w:abstractNumId w:val="3"/>
  </w:num>
  <w:num w:numId="5" w16cid:durableId="509636482">
    <w:abstractNumId w:val="0"/>
  </w:num>
  <w:num w:numId="6" w16cid:durableId="145898551">
    <w:abstractNumId w:val="4"/>
  </w:num>
  <w:num w:numId="7" w16cid:durableId="1077897233">
    <w:abstractNumId w:val="5"/>
  </w:num>
  <w:num w:numId="8" w16cid:durableId="904684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800"/>
    <w:rsid w:val="002C04B8"/>
    <w:rsid w:val="0053590B"/>
    <w:rsid w:val="006B52DA"/>
    <w:rsid w:val="00745C71"/>
    <w:rsid w:val="008A5CD3"/>
    <w:rsid w:val="0094297B"/>
    <w:rsid w:val="00A33800"/>
    <w:rsid w:val="00C14BB9"/>
    <w:rsid w:val="00D3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92F1"/>
  <w15:docId w15:val="{8C125B3F-76C1-4E7E-A1D5-29054E19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 w:val="0"/>
      <w:iCs w:val="0"/>
      <w:smallCaps w:val="0"/>
      <w:strike w:val="0"/>
      <w:sz w:val="54"/>
      <w:szCs w:val="54"/>
      <w:u w:val="none"/>
      <w:lang w:val="en-US" w:eastAsia="en-US" w:bidi="en-US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79EF3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B5DB1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B5DB1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erorfooter2Aldhabi65ptNotBold">
    <w:name w:val="Header or footer (2) + Aldhabi;65 pt;Not Bold"/>
    <w:basedOn w:val="Headerorfooter2"/>
    <w:rPr>
      <w:rFonts w:ascii="Aldhabi" w:eastAsia="Aldhabi" w:hAnsi="Aldhabi" w:cs="Aldhabi"/>
      <w:b/>
      <w:bCs/>
      <w:i w:val="0"/>
      <w:iCs w:val="0"/>
      <w:smallCaps w:val="0"/>
      <w:strike w:val="0"/>
      <w:color w:val="000000"/>
      <w:spacing w:val="0"/>
      <w:w w:val="100"/>
      <w:position w:val="0"/>
      <w:sz w:val="130"/>
      <w:szCs w:val="13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Verdana" w:eastAsia="Verdana" w:hAnsi="Verdana" w:cs="Verdan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1">
    <w:name w:val="Body text (4)"/>
    <w:basedOn w:val="Bodytext4"/>
    <w:rPr>
      <w:rFonts w:ascii="Verdana" w:eastAsia="Verdana" w:hAnsi="Verdana" w:cs="Verdana"/>
      <w:b/>
      <w:bCs/>
      <w:i w:val="0"/>
      <w:iCs w:val="0"/>
      <w:smallCaps w:val="0"/>
      <w:strike w:val="0"/>
      <w:color w:val="F75482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1">
    <w:name w:val="Body text (6)"/>
    <w:basedOn w:val="Bodytext6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MicrosoftYaHeiUI4pt">
    <w:name w:val="Body text (7) + Microsoft YaHei UI;4 pt"/>
    <w:basedOn w:val="Bodytext7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7MicrosoftYaHeiUI6pt">
    <w:name w:val="Body text (7) + Microsoft YaHei UI;6 pt"/>
    <w:basedOn w:val="Bodytext7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Headerorfooter3">
    <w:name w:val="Header or footer (3)_"/>
    <w:basedOn w:val="Standardnpsmoodstavce"/>
    <w:link w:val="Headerorfooter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604" w:lineRule="exact"/>
    </w:pPr>
    <w:rPr>
      <w:rFonts w:ascii="Arial" w:eastAsia="Arial" w:hAnsi="Arial" w:cs="Arial"/>
      <w:b/>
      <w:bCs/>
      <w:sz w:val="54"/>
      <w:szCs w:val="54"/>
      <w:lang w:val="en-US" w:eastAsia="en-US" w:bidi="en-US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380" w:lineRule="exact"/>
    </w:pPr>
    <w:rPr>
      <w:rFonts w:ascii="Arial" w:eastAsia="Arial" w:hAnsi="Arial" w:cs="Arial"/>
      <w:b/>
      <w:bCs/>
      <w:sz w:val="34"/>
      <w:szCs w:val="34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900" w:line="246" w:lineRule="exac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900" w:line="346" w:lineRule="exact"/>
      <w:jc w:val="both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346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346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80" w:line="224" w:lineRule="exact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34" w:lineRule="exact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56" w:lineRule="exact"/>
    </w:pPr>
    <w:rPr>
      <w:rFonts w:ascii="Microsoft YaHei UI" w:eastAsia="Microsoft YaHei UI" w:hAnsi="Microsoft YaHei UI" w:cs="Microsoft YaHei UI"/>
      <w:sz w:val="14"/>
      <w:szCs w:val="1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68" w:lineRule="exact"/>
    </w:pPr>
    <w:rPr>
      <w:rFonts w:ascii="Microsoft YaHei UI" w:eastAsia="Microsoft YaHei UI" w:hAnsi="Microsoft YaHei UI" w:cs="Microsoft YaHei UI"/>
      <w:sz w:val="14"/>
      <w:szCs w:val="14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80" w:lineRule="exac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82" w:lineRule="exact"/>
    </w:pPr>
    <w:rPr>
      <w:rFonts w:ascii="Arial" w:eastAsia="Arial" w:hAnsi="Arial" w:cs="Arial"/>
      <w:sz w:val="14"/>
      <w:szCs w:val="14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920</Words>
  <Characters>5432</Characters>
  <Application>Microsoft Office Word</Application>
  <DocSecurity>0</DocSecurity>
  <Lines>45</Lines>
  <Paragraphs>12</Paragraphs>
  <ScaleCrop>false</ScaleCrop>
  <Company>Hudební divadlo Karlín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7</cp:revision>
  <dcterms:created xsi:type="dcterms:W3CDTF">2023-01-30T10:34:00Z</dcterms:created>
  <dcterms:modified xsi:type="dcterms:W3CDTF">2023-02-07T11:17:00Z</dcterms:modified>
</cp:coreProperties>
</file>