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566" w14:textId="38F7D70E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3C462F">
        <w:rPr>
          <w:rFonts w:asciiTheme="minorHAnsi" w:hAnsiTheme="minorHAnsi" w:cs="Times New Roman"/>
          <w:sz w:val="28"/>
        </w:rPr>
        <w:t>4</w:t>
      </w:r>
      <w:r w:rsidRPr="00CF48FB">
        <w:rPr>
          <w:rFonts w:asciiTheme="minorHAnsi" w:hAnsiTheme="minorHAnsi" w:cs="Times New Roman"/>
          <w:sz w:val="28"/>
        </w:rPr>
        <w:t xml:space="preserve"> </w:t>
      </w:r>
      <w:r w:rsidR="004F35E1" w:rsidRPr="00CF48FB">
        <w:rPr>
          <w:rFonts w:asciiTheme="minorHAnsi" w:hAnsiTheme="minorHAnsi" w:cs="Times New Roman"/>
          <w:sz w:val="28"/>
        </w:rPr>
        <w:t>NPÚ 450/</w:t>
      </w:r>
      <w:r w:rsidR="00FF19AA">
        <w:rPr>
          <w:rFonts w:asciiTheme="minorHAnsi" w:hAnsiTheme="minorHAnsi" w:cs="Times New Roman"/>
          <w:sz w:val="28"/>
        </w:rPr>
        <w:t>96036</w:t>
      </w:r>
      <w:r w:rsidR="005C7733">
        <w:rPr>
          <w:rFonts w:asciiTheme="minorHAnsi" w:hAnsiTheme="minorHAnsi" w:cs="Times New Roman"/>
          <w:sz w:val="28"/>
        </w:rPr>
        <w:t>/</w:t>
      </w:r>
      <w:r w:rsidR="004F35E1" w:rsidRPr="00CF48FB">
        <w:rPr>
          <w:rFonts w:asciiTheme="minorHAnsi" w:hAnsiTheme="minorHAnsi" w:cs="Times New Roman"/>
          <w:sz w:val="28"/>
        </w:rPr>
        <w:t>20</w:t>
      </w:r>
      <w:r w:rsidR="006275A1">
        <w:rPr>
          <w:rFonts w:asciiTheme="minorHAnsi" w:hAnsiTheme="minorHAnsi" w:cs="Times New Roman"/>
          <w:sz w:val="28"/>
        </w:rPr>
        <w:t>2</w:t>
      </w:r>
      <w:r w:rsidR="00F00677">
        <w:rPr>
          <w:rFonts w:asciiTheme="minorHAnsi" w:hAnsiTheme="minorHAnsi" w:cs="Times New Roman"/>
          <w:sz w:val="28"/>
        </w:rPr>
        <w:t>2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43AC5FA8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 w:rsidR="00F00677">
        <w:rPr>
          <w:rFonts w:asciiTheme="minorHAnsi" w:hAnsiTheme="minorHAnsi" w:cs="Times New Roman"/>
          <w:color w:val="000000"/>
          <w:sz w:val="22"/>
          <w:szCs w:val="22"/>
        </w:rPr>
        <w:t>68448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</w:t>
      </w:r>
      <w:r w:rsidR="006275A1"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F00677">
        <w:rPr>
          <w:rFonts w:asciiTheme="minorHAnsi" w:hAnsiTheme="minorHAnsi" w:cs="Times New Roman"/>
          <w:color w:val="000000"/>
          <w:sz w:val="22"/>
          <w:szCs w:val="22"/>
        </w:rPr>
        <w:t>1</w:t>
      </w:r>
    </w:p>
    <w:p w14:paraId="07CEFD40" w14:textId="5A4837C5" w:rsidR="00F00677" w:rsidRPr="00F00677" w:rsidRDefault="00F00677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>KLVZ</w:t>
      </w:r>
      <w:r w:rsidR="00FF19AA">
        <w:rPr>
          <w:rFonts w:asciiTheme="minorHAnsi" w:hAnsiTheme="minorHAnsi" w:cs="Times New Roman"/>
          <w:bCs/>
          <w:color w:val="000000"/>
          <w:sz w:val="22"/>
          <w:szCs w:val="22"/>
        </w:rPr>
        <w:t>/NPU-</w:t>
      </w:r>
      <w:r w:rsidRPr="00F00677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450/59/2021</w:t>
      </w:r>
    </w:p>
    <w:p w14:paraId="37AFD8C5" w14:textId="6941EAA9" w:rsidR="00555EBB" w:rsidRPr="00CA2123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36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</w:t>
      </w:r>
      <w:r w:rsidRPr="00295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zhotovitele: </w:t>
      </w:r>
      <w:r w:rsidR="00295360" w:rsidRPr="00CA2123">
        <w:rPr>
          <w:rFonts w:asciiTheme="minorHAnsi" w:hAnsiTheme="minorHAnsi" w:cstheme="minorHAnsi"/>
          <w:b/>
          <w:bCs/>
          <w:sz w:val="22"/>
          <w:szCs w:val="22"/>
        </w:rPr>
        <w:t>2021/216</w:t>
      </w:r>
    </w:p>
    <w:p w14:paraId="2E5B2CF8" w14:textId="56933259" w:rsidR="004F35E1" w:rsidRPr="00F00677" w:rsidRDefault="004F35E1" w:rsidP="00F00677">
      <w:pPr>
        <w:pStyle w:val="Nadpis1"/>
        <w:pBdr>
          <w:bottom w:val="single" w:sz="4" w:space="0" w:color="auto"/>
        </w:pBdr>
        <w:spacing w:line="252" w:lineRule="auto"/>
        <w:rPr>
          <w:rFonts w:asciiTheme="minorHAnsi" w:hAnsiTheme="minorHAnsi"/>
          <w:b w:val="0"/>
          <w:bCs w:val="0"/>
          <w:sz w:val="2"/>
          <w:szCs w:val="22"/>
        </w:rPr>
      </w:pPr>
    </w:p>
    <w:p w14:paraId="2A5F5435" w14:textId="77777777" w:rsidR="006A37A7" w:rsidRPr="00822004" w:rsidRDefault="006A37A7" w:rsidP="006A37A7">
      <w:pPr>
        <w:jc w:val="left"/>
        <w:rPr>
          <w:rFonts w:asciiTheme="minorHAnsi" w:eastAsia="Times New Roman" w:hAnsiTheme="minorHAnsi" w:cs="Times New Roman"/>
          <w:sz w:val="10"/>
          <w:szCs w:val="22"/>
          <w:lang w:eastAsia="cs-CZ"/>
        </w:rPr>
      </w:pPr>
    </w:p>
    <w:p w14:paraId="42434DD2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2B0D529F" w14:textId="19DE96E1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392775B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se sídlem Valdštejnské náměstí 162/3, 118 01 Praha 1 - Malá Strana</w:t>
      </w:r>
    </w:p>
    <w:p w14:paraId="39DC43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F00677">
        <w:rPr>
          <w:rFonts w:asciiTheme="minorHAnsi" w:hAnsiTheme="minorHAnsi" w:cstheme="minorHAnsi"/>
          <w:b/>
          <w:bCs/>
          <w:sz w:val="20"/>
          <w:szCs w:val="20"/>
        </w:rPr>
        <w:t>Ing. Petrem Šubíkem, ředitelem Územní památkové správy v Kroměříži</w:t>
      </w:r>
    </w:p>
    <w:p w14:paraId="5223CF85" w14:textId="0D1ACD84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věcná jednání: </w:t>
      </w:r>
      <w:r w:rsidR="00FF19AA">
        <w:rPr>
          <w:rFonts w:asciiTheme="minorHAnsi" w:hAnsiTheme="minorHAnsi" w:cstheme="minorHAnsi"/>
          <w:b/>
          <w:bCs/>
        </w:rPr>
        <w:t>xxxxxxxxxxxxxxxx</w:t>
      </w:r>
      <w:r w:rsidRPr="00F00677">
        <w:rPr>
          <w:rFonts w:asciiTheme="minorHAnsi" w:hAnsiTheme="minorHAnsi" w:cstheme="minorHAnsi"/>
          <w:b/>
          <w:bCs/>
        </w:rPr>
        <w:t xml:space="preserve"> SZ Lysice</w:t>
      </w:r>
    </w:p>
    <w:p w14:paraId="22712AC8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věci technické: </w:t>
      </w:r>
    </w:p>
    <w:p w14:paraId="42DD0C8A" w14:textId="15C976EC" w:rsidR="00F00677" w:rsidRPr="00F00677" w:rsidRDefault="00FF19AA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xxxxxxxxxxxxxxxxx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 e-mail: </w:t>
      </w:r>
      <w:r>
        <w:t>xxxxxxxxxxxx</w:t>
      </w:r>
      <w:r w:rsidR="00F00677" w:rsidRPr="00F00677">
        <w:rPr>
          <w:rFonts w:asciiTheme="minorHAnsi" w:hAnsiTheme="minorHAnsi" w:cstheme="minorHAnsi"/>
          <w:bCs/>
        </w:rPr>
        <w:t xml:space="preserve"> </w:t>
      </w:r>
      <w:r w:rsidR="00F00677" w:rsidRPr="00F00677">
        <w:rPr>
          <w:rFonts w:asciiTheme="minorHAnsi" w:hAnsiTheme="minorHAnsi" w:cstheme="minorHAnsi"/>
          <w:b/>
          <w:bCs/>
        </w:rPr>
        <w:t xml:space="preserve">tel. </w:t>
      </w:r>
      <w:r>
        <w:rPr>
          <w:rFonts w:asciiTheme="minorHAnsi" w:hAnsiTheme="minorHAnsi" w:cstheme="minorHAnsi"/>
          <w:b/>
          <w:bCs/>
        </w:rPr>
        <w:t>xxxxxxxxxxxxxxxx</w:t>
      </w:r>
    </w:p>
    <w:p w14:paraId="3536E133" w14:textId="4CAE73D3" w:rsidR="00F00677" w:rsidRPr="00F00677" w:rsidRDefault="00FF19AA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r>
        <w:t>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 tel. </w:t>
      </w:r>
      <w:r>
        <w:rPr>
          <w:rFonts w:asciiTheme="minorHAnsi" w:hAnsiTheme="minorHAnsi" w:cstheme="minorHAnsi"/>
          <w:b/>
          <w:bCs/>
        </w:rPr>
        <w:t>xxxxxxxxxxxxxxx</w:t>
      </w:r>
    </w:p>
    <w:p w14:paraId="156A3DEB" w14:textId="568D7822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objednatele – technik bezpečnosti práce – </w:t>
      </w:r>
      <w:r w:rsidR="00FF19AA">
        <w:rPr>
          <w:rFonts w:asciiTheme="minorHAnsi" w:hAnsiTheme="minorHAnsi" w:cstheme="minorHAnsi"/>
          <w:b/>
          <w:bCs/>
        </w:rPr>
        <w:t>xxxxxxxxxxxxxx</w:t>
      </w:r>
    </w:p>
    <w:p w14:paraId="4E78E0BC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technický dozor stavebníka (TDS) a koordinátor BOZP: </w:t>
      </w:r>
    </w:p>
    <w:p w14:paraId="27D6126D" w14:textId="781E3EFC" w:rsidR="00F00677" w:rsidRPr="00F00677" w:rsidRDefault="00FF19AA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tel. </w:t>
      </w:r>
      <w:r>
        <w:rPr>
          <w:rFonts w:asciiTheme="minorHAnsi" w:hAnsiTheme="minorHAnsi" w:cstheme="minorHAnsi"/>
          <w:b/>
          <w:bCs/>
        </w:rPr>
        <w:t>xxxxxxxxxxxxxxxxxxx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e-mail: </w:t>
      </w:r>
      <w:hyperlink r:id="rId8" w:history="1">
        <w:r>
          <w:rPr>
            <w:rStyle w:val="Hypertextovodkaz"/>
            <w:rFonts w:asciiTheme="minorHAnsi" w:hAnsiTheme="minorHAnsi" w:cstheme="minorHAnsi"/>
            <w:b/>
            <w:bCs/>
          </w:rPr>
          <w:t>xxxxxxxxxxxxxxx</w:t>
        </w:r>
      </w:hyperlink>
      <w:r w:rsidR="00F00677">
        <w:rPr>
          <w:rFonts w:asciiTheme="minorHAnsi" w:hAnsiTheme="minorHAnsi" w:cstheme="minorHAnsi"/>
          <w:b/>
          <w:bCs/>
        </w:rPr>
        <w:t xml:space="preserve"> </w:t>
      </w:r>
    </w:p>
    <w:p w14:paraId="5A8D9FF6" w14:textId="30AAA8F2" w:rsidR="00F00677" w:rsidRPr="00F00677" w:rsidRDefault="00F00677" w:rsidP="00F00677">
      <w:pPr>
        <w:widowControl w:val="0"/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Bankovní spojení: Česká národní banka, č.ú.</w:t>
      </w:r>
      <w:r>
        <w:rPr>
          <w:rFonts w:asciiTheme="minorHAnsi" w:hAnsiTheme="minorHAnsi" w:cstheme="minorHAnsi"/>
        </w:rPr>
        <w:t>:</w:t>
      </w:r>
      <w:r w:rsidRPr="00F00677">
        <w:rPr>
          <w:rFonts w:asciiTheme="minorHAnsi" w:hAnsiTheme="minorHAnsi" w:cstheme="minorHAnsi"/>
        </w:rPr>
        <w:t xml:space="preserve"> 59636011/0710 (pro příjem dotace)</w:t>
      </w:r>
    </w:p>
    <w:p w14:paraId="063E7B56" w14:textId="77777777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a 500005-60039011/0710 (pro ostatní platby)</w:t>
      </w:r>
    </w:p>
    <w:p w14:paraId="1E201978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10"/>
          <w:szCs w:val="20"/>
        </w:rPr>
      </w:pPr>
    </w:p>
    <w:p w14:paraId="260E32FD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F00677">
        <w:rPr>
          <w:rFonts w:asciiTheme="minorHAnsi" w:hAnsiTheme="minorHAnsi" w:cstheme="minorHAnsi"/>
          <w:sz w:val="20"/>
          <w:szCs w:val="20"/>
        </w:rPr>
        <w:t>:</w:t>
      </w:r>
    </w:p>
    <w:p w14:paraId="09C6D5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14:paraId="2C06B9AE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14:paraId="177C5F1E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sz w:val="10"/>
          <w:szCs w:val="20"/>
        </w:rPr>
      </w:pPr>
    </w:p>
    <w:p w14:paraId="190E0581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F00677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F00677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49F5EFAB" w14:textId="77777777" w:rsidR="00F00677" w:rsidRPr="00822004" w:rsidRDefault="00F00677" w:rsidP="00F00677">
      <w:pPr>
        <w:widowControl w:val="0"/>
        <w:rPr>
          <w:rFonts w:asciiTheme="minorHAnsi" w:eastAsia="MS Mincho" w:hAnsiTheme="minorHAnsi" w:cstheme="minorHAnsi"/>
          <w:sz w:val="10"/>
        </w:rPr>
      </w:pPr>
    </w:p>
    <w:p w14:paraId="7AF849BC" w14:textId="77777777" w:rsidR="00F00677" w:rsidRPr="00F00677" w:rsidRDefault="00F00677" w:rsidP="00F00677">
      <w:pPr>
        <w:widowControl w:val="0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>a</w:t>
      </w:r>
    </w:p>
    <w:p w14:paraId="2231B09A" w14:textId="77777777" w:rsidR="00F00677" w:rsidRPr="00822004" w:rsidRDefault="00F00677" w:rsidP="00F00677">
      <w:pPr>
        <w:widowControl w:val="0"/>
        <w:tabs>
          <w:tab w:val="left" w:pos="1985"/>
        </w:tabs>
        <w:rPr>
          <w:rFonts w:asciiTheme="minorHAnsi" w:hAnsiTheme="minorHAnsi" w:cstheme="minorHAnsi"/>
          <w:b/>
          <w:bCs/>
          <w:sz w:val="10"/>
        </w:rPr>
      </w:pPr>
    </w:p>
    <w:p w14:paraId="6750CECC" w14:textId="507DC3FE" w:rsidR="00F00677" w:rsidRPr="00F00677" w:rsidRDefault="00F00677" w:rsidP="00F00677">
      <w:pPr>
        <w:widowControl w:val="0"/>
        <w:tabs>
          <w:tab w:val="left" w:pos="1985"/>
        </w:tabs>
        <w:ind w:hanging="70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F00677">
        <w:rPr>
          <w:rFonts w:asciiTheme="minorHAnsi" w:hAnsiTheme="minorHAnsi" w:cstheme="minorHAnsi"/>
          <w:b/>
        </w:rPr>
        <w:t>Společnost Lysice Zahrada</w:t>
      </w:r>
    </w:p>
    <w:p w14:paraId="221A538F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se sídlem Na Vinici 948/13, 412 01 Litoměřice</w:t>
      </w:r>
    </w:p>
    <w:p w14:paraId="67045A8E" w14:textId="76D98EF6" w:rsidR="00F00677" w:rsidRPr="00F00677" w:rsidRDefault="00F00677" w:rsidP="00F00677">
      <w:pPr>
        <w:pStyle w:val="Prosttext"/>
        <w:widowControl w:val="0"/>
        <w:tabs>
          <w:tab w:val="left" w:pos="0"/>
        </w:tabs>
        <w:jc w:val="both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 xml:space="preserve">Bankovní spojení: </w:t>
      </w:r>
      <w:r w:rsidR="00FF19AA">
        <w:rPr>
          <w:rFonts w:asciiTheme="minorHAnsi" w:eastAsia="MS Mincho" w:hAnsiTheme="minorHAnsi" w:cstheme="minorHAnsi"/>
        </w:rPr>
        <w:t>xxxxxxxxxxxxxxxxxxx</w:t>
      </w:r>
      <w:r w:rsidRPr="00F00677">
        <w:rPr>
          <w:rFonts w:asciiTheme="minorHAnsi" w:eastAsia="MS Mincho" w:hAnsiTheme="minorHAnsi" w:cstheme="minorHAnsi"/>
        </w:rPr>
        <w:t xml:space="preserve">., č. ú.: </w:t>
      </w:r>
      <w:r w:rsidR="00FF19AA">
        <w:rPr>
          <w:rFonts w:asciiTheme="minorHAnsi" w:hAnsiTheme="minorHAnsi" w:cstheme="minorHAnsi"/>
          <w:b/>
          <w:bCs/>
        </w:rPr>
        <w:t>xxxxxxxxxxxxxxxxxx</w:t>
      </w:r>
    </w:p>
    <w:p w14:paraId="2D12EFF9" w14:textId="77777777" w:rsidR="00F00677" w:rsidRPr="00822004" w:rsidRDefault="00F00677" w:rsidP="00822004">
      <w:pPr>
        <w:pStyle w:val="Import3"/>
        <w:widowControl w:val="0"/>
        <w:suppressAutoHyphens w:val="0"/>
        <w:spacing w:line="240" w:lineRule="auto"/>
        <w:rPr>
          <w:rFonts w:asciiTheme="minorHAnsi" w:hAnsiTheme="minorHAnsi" w:cstheme="minorHAnsi"/>
          <w:b/>
          <w:sz w:val="10"/>
        </w:rPr>
      </w:pPr>
    </w:p>
    <w:p w14:paraId="4A8CFCFF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  <w:bCs/>
          <w:i/>
        </w:rPr>
      </w:pPr>
      <w:r w:rsidRPr="00F00677">
        <w:rPr>
          <w:rFonts w:asciiTheme="minorHAnsi" w:hAnsiTheme="minorHAnsi" w:cstheme="minorHAnsi"/>
          <w:b/>
          <w:bCs/>
        </w:rPr>
        <w:t>Vedoucí účastník společnosti:</w:t>
      </w:r>
      <w:r w:rsidRPr="00F00677">
        <w:rPr>
          <w:rFonts w:asciiTheme="minorHAnsi" w:hAnsiTheme="minorHAnsi" w:cstheme="minorHAnsi"/>
          <w:b/>
          <w:bCs/>
        </w:rPr>
        <w:tab/>
        <w:t xml:space="preserve">Gardenline s.r.o.       </w:t>
      </w:r>
      <w:r w:rsidRPr="00F00677">
        <w:rPr>
          <w:rFonts w:asciiTheme="minorHAnsi" w:hAnsiTheme="minorHAnsi" w:cstheme="minorHAnsi"/>
          <w:bCs/>
        </w:rPr>
        <w:t xml:space="preserve">                </w:t>
      </w:r>
    </w:p>
    <w:p w14:paraId="1DD29ECD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se sídlem: </w:t>
      </w:r>
      <w:r w:rsidRPr="00F00677">
        <w:rPr>
          <w:rFonts w:asciiTheme="minorHAnsi" w:hAnsiTheme="minorHAnsi" w:cstheme="minorHAnsi"/>
        </w:rPr>
        <w:tab/>
        <w:t>Na Vinici 948/13, 412 01 Litoměřice</w:t>
      </w:r>
    </w:p>
    <w:p w14:paraId="3422E1FC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IČ:                   </w:t>
      </w:r>
      <w:r w:rsidRPr="00F00677">
        <w:rPr>
          <w:rFonts w:asciiTheme="minorHAnsi" w:hAnsiTheme="minorHAnsi" w:cstheme="minorHAnsi"/>
        </w:rPr>
        <w:tab/>
        <w:t xml:space="preserve">27263827 </w:t>
      </w:r>
    </w:p>
    <w:p w14:paraId="39444D46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DIČ:                   </w:t>
      </w:r>
      <w:r w:rsidRPr="00F00677">
        <w:rPr>
          <w:rFonts w:asciiTheme="minorHAnsi" w:hAnsiTheme="minorHAnsi" w:cstheme="minorHAnsi"/>
        </w:rPr>
        <w:tab/>
        <w:t>CZ27263827</w:t>
      </w:r>
    </w:p>
    <w:p w14:paraId="0C555046" w14:textId="615E6C7A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zastoupen: </w:t>
      </w:r>
      <w:r w:rsidRPr="00F00677">
        <w:rPr>
          <w:rFonts w:asciiTheme="minorHAnsi" w:hAnsiTheme="minorHAnsi" w:cstheme="minorHAnsi"/>
        </w:rPr>
        <w:tab/>
      </w:r>
      <w:r w:rsidR="00FF19AA">
        <w:rPr>
          <w:rFonts w:asciiTheme="minorHAnsi" w:hAnsiTheme="minorHAnsi" w:cstheme="minorHAnsi"/>
        </w:rPr>
        <w:t>xxxxxxxxxxxxxxxxxxx</w:t>
      </w:r>
    </w:p>
    <w:p w14:paraId="3FF538BD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na základě zmocnění podle smlouvy o společnosti </w:t>
      </w:r>
    </w:p>
    <w:p w14:paraId="3D8E840D" w14:textId="77777777" w:rsidR="00F00677" w:rsidRPr="00F00677" w:rsidRDefault="00F00677" w:rsidP="00F00677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zapsaný v obchodním rejstříku vedeném Krajským soudem v Ústí nad Labem, oddíl C, vložka 21435</w:t>
      </w:r>
    </w:p>
    <w:p w14:paraId="1F6CB4F3" w14:textId="77777777" w:rsidR="00F00677" w:rsidRPr="00822004" w:rsidRDefault="00F00677" w:rsidP="00F00677">
      <w:pPr>
        <w:widowControl w:val="0"/>
        <w:rPr>
          <w:rFonts w:asciiTheme="minorHAnsi" w:hAnsiTheme="minorHAnsi" w:cstheme="minorHAnsi"/>
          <w:b/>
          <w:bCs/>
          <w:sz w:val="10"/>
          <w:highlight w:val="yellow"/>
        </w:rPr>
      </w:pPr>
    </w:p>
    <w:p w14:paraId="28669A08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  <w:bCs/>
          <w:i/>
        </w:rPr>
      </w:pPr>
      <w:r w:rsidRPr="00F00677">
        <w:rPr>
          <w:rFonts w:asciiTheme="minorHAnsi" w:hAnsiTheme="minorHAnsi" w:cstheme="minorHAnsi"/>
          <w:b/>
          <w:bCs/>
        </w:rPr>
        <w:t>Člen společnosti:</w:t>
      </w:r>
      <w:r w:rsidRPr="00F00677">
        <w:rPr>
          <w:rFonts w:asciiTheme="minorHAnsi" w:hAnsiTheme="minorHAnsi" w:cstheme="minorHAnsi"/>
          <w:b/>
          <w:bCs/>
        </w:rPr>
        <w:tab/>
      </w:r>
      <w:r w:rsidRPr="00F00677">
        <w:rPr>
          <w:rFonts w:asciiTheme="minorHAnsi" w:hAnsiTheme="minorHAnsi" w:cstheme="minorHAnsi"/>
          <w:b/>
          <w:bCs/>
        </w:rPr>
        <w:tab/>
      </w:r>
      <w:r w:rsidRPr="00F00677">
        <w:rPr>
          <w:rFonts w:asciiTheme="minorHAnsi" w:hAnsiTheme="minorHAnsi" w:cstheme="minorHAnsi"/>
          <w:b/>
          <w:bCs/>
        </w:rPr>
        <w:tab/>
        <w:t xml:space="preserve">ARCHATT, s.r.o.       </w:t>
      </w:r>
      <w:r w:rsidRPr="00F00677">
        <w:rPr>
          <w:rFonts w:asciiTheme="minorHAnsi" w:hAnsiTheme="minorHAnsi" w:cstheme="minorHAnsi"/>
          <w:bCs/>
        </w:rPr>
        <w:t xml:space="preserve">                </w:t>
      </w:r>
    </w:p>
    <w:p w14:paraId="032FF0E3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se sídlem: </w:t>
      </w:r>
      <w:r w:rsidRPr="00F00677">
        <w:rPr>
          <w:rFonts w:asciiTheme="minorHAnsi" w:hAnsiTheme="minorHAnsi" w:cstheme="minorHAnsi"/>
        </w:rPr>
        <w:tab/>
        <w:t>Branky 291/16, 664 49 Ostopovice</w:t>
      </w:r>
    </w:p>
    <w:p w14:paraId="6138EEFB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IČ:                   </w:t>
      </w:r>
      <w:r w:rsidRPr="00F00677">
        <w:rPr>
          <w:rFonts w:asciiTheme="minorHAnsi" w:hAnsiTheme="minorHAnsi" w:cstheme="minorHAnsi"/>
        </w:rPr>
        <w:tab/>
        <w:t xml:space="preserve">46960180 </w:t>
      </w:r>
    </w:p>
    <w:p w14:paraId="60350E11" w14:textId="77777777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DIČ:                   </w:t>
      </w:r>
      <w:r w:rsidRPr="00F00677">
        <w:rPr>
          <w:rFonts w:asciiTheme="minorHAnsi" w:hAnsiTheme="minorHAnsi" w:cstheme="minorHAnsi"/>
        </w:rPr>
        <w:tab/>
        <w:t>CZ46960180</w:t>
      </w:r>
    </w:p>
    <w:p w14:paraId="6E698ED2" w14:textId="605D4E6B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 xml:space="preserve">zastoupen: </w:t>
      </w:r>
      <w:r w:rsidRPr="00F00677">
        <w:rPr>
          <w:rFonts w:asciiTheme="minorHAnsi" w:hAnsiTheme="minorHAnsi" w:cstheme="minorHAnsi"/>
        </w:rPr>
        <w:tab/>
      </w:r>
      <w:r w:rsidR="00FF19AA">
        <w:rPr>
          <w:rFonts w:asciiTheme="minorHAnsi" w:hAnsiTheme="minorHAnsi" w:cstheme="minorHAnsi"/>
        </w:rPr>
        <w:t>xxxxxxxxxxxxxxxxxxx</w:t>
      </w:r>
    </w:p>
    <w:p w14:paraId="6298F6AA" w14:textId="77777777" w:rsidR="00F00677" w:rsidRPr="00F00677" w:rsidRDefault="00F00677" w:rsidP="00F00677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zapsaný v obchodním rejstříku vedeném Krajským soudem v Brně, oddíl C, vložka 6214</w:t>
      </w:r>
    </w:p>
    <w:p w14:paraId="03D4D858" w14:textId="77777777" w:rsidR="00F00677" w:rsidRPr="00822004" w:rsidRDefault="00F00677" w:rsidP="00F00677">
      <w:pPr>
        <w:rPr>
          <w:rFonts w:asciiTheme="minorHAnsi" w:hAnsiTheme="minorHAnsi" w:cstheme="minorHAnsi"/>
          <w:sz w:val="10"/>
        </w:rPr>
      </w:pPr>
    </w:p>
    <w:p w14:paraId="150FF0B1" w14:textId="0A414A72" w:rsidR="003C2E2A" w:rsidRDefault="00F00677" w:rsidP="00F00677">
      <w:pPr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</w:rPr>
        <w:t>(dále jen „</w:t>
      </w:r>
      <w:r w:rsidRPr="00F00677">
        <w:rPr>
          <w:rFonts w:asciiTheme="minorHAnsi" w:hAnsiTheme="minorHAnsi" w:cstheme="minorHAnsi"/>
          <w:b/>
          <w:bCs/>
        </w:rPr>
        <w:t>zhotovitel“)</w:t>
      </w:r>
    </w:p>
    <w:p w14:paraId="01B2ED9B" w14:textId="77777777" w:rsidR="00CA2123" w:rsidRPr="00F00677" w:rsidRDefault="00CA2123" w:rsidP="00F00677">
      <w:pPr>
        <w:rPr>
          <w:rFonts w:asciiTheme="minorHAnsi" w:hAnsiTheme="minorHAnsi" w:cstheme="minorHAnsi"/>
        </w:rPr>
      </w:pPr>
    </w:p>
    <w:p w14:paraId="6297C9FD" w14:textId="015EA870" w:rsidR="00727D3D" w:rsidRDefault="00C3743D" w:rsidP="00822004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Předmět dodatku</w:t>
      </w:r>
    </w:p>
    <w:p w14:paraId="27707D0C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09C6A5F3" w14:textId="2E7E6905" w:rsidR="00AE354A" w:rsidRPr="00CA2123" w:rsidRDefault="00822004" w:rsidP="00CA2123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CA2123">
        <w:rPr>
          <w:rFonts w:asciiTheme="minorHAnsi" w:hAnsiTheme="minorHAnsi" w:cstheme="minorHAnsi"/>
        </w:rPr>
        <w:t xml:space="preserve">Smluvní strany konstatují, že dne 9. 9. 2021 uzavřely Smlouvu o dílo, jejímž předmětem je </w:t>
      </w:r>
      <w:bookmarkStart w:id="0" w:name="_Ref29209901"/>
      <w:r w:rsidRPr="00CA2123">
        <w:rPr>
          <w:rFonts w:asciiTheme="minorHAnsi" w:hAnsiTheme="minorHAnsi" w:cstheme="minorHAnsi"/>
        </w:rPr>
        <w:t xml:space="preserve">závazek zhotovitele provést </w:t>
      </w:r>
      <w:bookmarkStart w:id="1" w:name="_Ref29231109"/>
      <w:r w:rsidRPr="00CA2123">
        <w:rPr>
          <w:rFonts w:asciiTheme="minorHAnsi" w:hAnsiTheme="minorHAnsi" w:cstheme="minorHAnsi"/>
        </w:rPr>
        <w:t>svým jménem, na své náklady a na své nebezpečí pro objednatele dílo s názvem „SZ Lysice – obnova zámecké zahrady a zahradnictví – 2. výzva“</w:t>
      </w:r>
      <w:bookmarkEnd w:id="1"/>
      <w:r w:rsidR="00F845B3" w:rsidRPr="00CA2123">
        <w:rPr>
          <w:rFonts w:asciiTheme="minorHAnsi" w:hAnsiTheme="minorHAnsi" w:cstheme="minorHAnsi"/>
        </w:rPr>
        <w:t xml:space="preserve"> ve znění Dodatku č. 1 </w:t>
      </w:r>
      <w:r w:rsidR="00CA2123" w:rsidRPr="00CA2123">
        <w:rPr>
          <w:rFonts w:asciiTheme="minorHAnsi" w:hAnsiTheme="minorHAnsi" w:cstheme="minorHAnsi"/>
        </w:rPr>
        <w:t>z</w:t>
      </w:r>
      <w:r w:rsidR="00F845B3" w:rsidRPr="00CA2123">
        <w:rPr>
          <w:rFonts w:asciiTheme="minorHAnsi" w:hAnsiTheme="minorHAnsi" w:cstheme="minorHAnsi"/>
        </w:rPr>
        <w:t xml:space="preserve">e dne </w:t>
      </w:r>
      <w:r w:rsidR="00CA2123" w:rsidRPr="00CA2123">
        <w:rPr>
          <w:rFonts w:asciiTheme="minorHAnsi" w:hAnsiTheme="minorHAnsi" w:cstheme="minorHAnsi"/>
        </w:rPr>
        <w:t>21. 10. 2021</w:t>
      </w:r>
      <w:r w:rsidR="003C462F" w:rsidRPr="00AB6196">
        <w:rPr>
          <w:rFonts w:asciiTheme="minorHAnsi" w:hAnsiTheme="minorHAnsi" w:cstheme="minorHAnsi"/>
        </w:rPr>
        <w:t>,</w:t>
      </w:r>
      <w:r w:rsidR="00426A23" w:rsidRPr="00AB6196">
        <w:rPr>
          <w:rFonts w:asciiTheme="minorHAnsi" w:hAnsiTheme="minorHAnsi" w:cstheme="minorHAnsi"/>
        </w:rPr>
        <w:t xml:space="preserve"> Dodatku č. 2 ze dne </w:t>
      </w:r>
      <w:r w:rsidR="00AB6196" w:rsidRPr="00AB6196">
        <w:rPr>
          <w:rFonts w:asciiTheme="minorHAnsi" w:hAnsiTheme="minorHAnsi" w:cstheme="minorHAnsi"/>
        </w:rPr>
        <w:t xml:space="preserve">24. 10. 2022 </w:t>
      </w:r>
      <w:r w:rsidR="003C462F" w:rsidRPr="00AB6196">
        <w:rPr>
          <w:rFonts w:asciiTheme="minorHAnsi" w:hAnsiTheme="minorHAnsi" w:cstheme="minorHAnsi"/>
        </w:rPr>
        <w:t xml:space="preserve">a Dodatku č. 3 ze dne </w:t>
      </w:r>
      <w:r w:rsidR="00AB6196" w:rsidRPr="00AB6196">
        <w:rPr>
          <w:rFonts w:asciiTheme="minorHAnsi" w:hAnsiTheme="minorHAnsi" w:cstheme="minorHAnsi"/>
        </w:rPr>
        <w:t>24. 10. 2022</w:t>
      </w:r>
      <w:bookmarkEnd w:id="0"/>
      <w:r w:rsidR="00AB6196" w:rsidRPr="00AB6196">
        <w:rPr>
          <w:rFonts w:asciiTheme="minorHAnsi" w:hAnsiTheme="minorHAnsi" w:cstheme="minorHAnsi"/>
        </w:rPr>
        <w:t xml:space="preserve">. </w:t>
      </w:r>
      <w:r w:rsidR="00F845B3" w:rsidRPr="00CA2123">
        <w:rPr>
          <w:rFonts w:asciiTheme="minorHAnsi" w:hAnsiTheme="minorHAnsi" w:cstheme="minorHAnsi"/>
        </w:rPr>
        <w:t>Dílo</w:t>
      </w:r>
      <w:r w:rsidR="00CA2123">
        <w:rPr>
          <w:rFonts w:asciiTheme="minorHAnsi" w:hAnsiTheme="minorHAnsi" w:cstheme="minorHAnsi"/>
        </w:rPr>
        <w:t xml:space="preserve"> </w:t>
      </w:r>
      <w:r w:rsidR="00F845B3" w:rsidRPr="00CA2123">
        <w:rPr>
          <w:rFonts w:asciiTheme="minorHAnsi" w:hAnsiTheme="minorHAnsi" w:cstheme="minorHAnsi"/>
        </w:rPr>
        <w:t xml:space="preserve">zahrnuje následující práce: obnova zahradnictví a zahrady SZ Lysice. Celkovou rekonstrukcí projde většina objektů zahradnictví (skleníky, zázemí, oranžerie atd.) včetně jedinečné technické památky – fíkovny s posuvnou střechou. Obnoví se užitné plochy, jako jsou pařeniště nebo kompostiště. Zároveň bude obnovena v plném rozsahu </w:t>
      </w:r>
      <w:r w:rsidR="00F845B3" w:rsidRPr="00CA2123">
        <w:rPr>
          <w:rFonts w:asciiTheme="minorHAnsi" w:hAnsiTheme="minorHAnsi" w:cstheme="minorHAnsi"/>
        </w:rPr>
        <w:lastRenderedPageBreak/>
        <w:t>zahrada zámku. Počítá se s kompletní úpravou výsadby. Dílo řeší také statiku všech poškozených částí opěrných zdí. Důležitou součástí díla je vytvoření zcela nového systému závlah a hospodaření s vodou.</w:t>
      </w:r>
    </w:p>
    <w:p w14:paraId="0896B320" w14:textId="77777777" w:rsidR="00434B72" w:rsidRPr="00822004" w:rsidRDefault="00434B72" w:rsidP="00CA2123">
      <w:pPr>
        <w:pStyle w:val="Odstavecseseznamem"/>
        <w:ind w:left="567"/>
        <w:rPr>
          <w:b/>
          <w:bCs/>
        </w:rPr>
      </w:pPr>
    </w:p>
    <w:p w14:paraId="663521AE" w14:textId="16401EE2" w:rsidR="002E554D" w:rsidRDefault="002E554D" w:rsidP="00CA2123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 xml:space="preserve">Poté, co stavební firma </w:t>
      </w:r>
      <w:r w:rsidR="00ED2C51">
        <w:rPr>
          <w:rFonts w:asciiTheme="minorHAnsi" w:hAnsiTheme="minorHAnsi" w:cstheme="minorHAnsi"/>
          <w:sz w:val="20"/>
          <w:szCs w:val="20"/>
          <w:u w:val="none"/>
        </w:rPr>
        <w:t>postavila lešení u objektů oranžerie a skleníku (SO 08), přehodnotila rozsah výměny klempířských prvků. Projekt počítal se 100% výměnou, po podrobném prozkoumání stávajících prvků jich bude většina pouze repasována. Naopak stav hřebenáčů a hromosvodového vedení je v havarijním stavu a je nutné je nahradit novými. Bez osazení nových hřebenáčů a nového hromosvodu nebude možné dílo dokončit bez vad. Střecha by nemohla být zkolaudována, hromosvod by nedostal kladnou revizi.</w:t>
      </w:r>
    </w:p>
    <w:p w14:paraId="03937AC0" w14:textId="34ED7003" w:rsidR="00CD77B0" w:rsidRPr="002E554D" w:rsidRDefault="00CD77B0" w:rsidP="00CD77B0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CA2123">
        <w:rPr>
          <w:sz w:val="20"/>
          <w:szCs w:val="20"/>
          <w:u w:val="none"/>
        </w:rPr>
        <w:t xml:space="preserve">Tyto skutečnosti a změny byly popsány ve změnovém listě č. </w:t>
      </w:r>
      <w:r w:rsidR="00ED2C51">
        <w:rPr>
          <w:sz w:val="20"/>
          <w:szCs w:val="20"/>
          <w:u w:val="none"/>
        </w:rPr>
        <w:t>9</w:t>
      </w:r>
      <w:r w:rsidRPr="00CA2123">
        <w:rPr>
          <w:sz w:val="20"/>
          <w:szCs w:val="20"/>
          <w:u w:val="none"/>
        </w:rPr>
        <w:t>, který je přílohou tohoto dodatku</w:t>
      </w:r>
      <w:r>
        <w:rPr>
          <w:sz w:val="20"/>
          <w:szCs w:val="20"/>
          <w:u w:val="none"/>
        </w:rPr>
        <w:t>.</w:t>
      </w:r>
    </w:p>
    <w:p w14:paraId="0C66BA5A" w14:textId="77777777" w:rsidR="002E554D" w:rsidRDefault="002E554D" w:rsidP="002E554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bCs/>
          <w:sz w:val="20"/>
          <w:szCs w:val="20"/>
          <w:u w:val="none"/>
        </w:rPr>
      </w:pPr>
    </w:p>
    <w:p w14:paraId="5FF6A101" w14:textId="10422B5B" w:rsidR="00FC7BA8" w:rsidRDefault="00ED2C51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 xml:space="preserve">Zhotovitel při pokračujících pracích a po nastudování dané části PD zjistil, že ze zadávací dokumentace byl v rámci úsporných opatření vyloučen objekt SO 10. Součástí tohoto objektu </w:t>
      </w:r>
      <w:r w:rsidR="00FC7BA8">
        <w:rPr>
          <w:bCs/>
          <w:sz w:val="20"/>
          <w:u w:val="none"/>
        </w:rPr>
        <w:t>ale byl i ovládací kabel pro samozavlažovací šachty se servopohony pro zahradu a zahradnictví. Bez tohoto prvku není možné zajistit ovladatelnost zavlažovacího systému.</w:t>
      </w:r>
    </w:p>
    <w:p w14:paraId="115440CA" w14:textId="0B43F379" w:rsidR="000D5585" w:rsidRPr="005558D1" w:rsidRDefault="000D5585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FC7BA8">
        <w:rPr>
          <w:sz w:val="20"/>
          <w:szCs w:val="20"/>
          <w:u w:val="none"/>
        </w:rPr>
        <w:t>10</w:t>
      </w:r>
      <w:r w:rsidRPr="00114911">
        <w:rPr>
          <w:sz w:val="20"/>
          <w:szCs w:val="20"/>
          <w:u w:val="none"/>
        </w:rPr>
        <w:t>, který je přílohou tohoto dodatku.</w:t>
      </w:r>
    </w:p>
    <w:p w14:paraId="55C67C31" w14:textId="77777777" w:rsidR="005558D1" w:rsidRDefault="005558D1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0171EB5A" w14:textId="74F49CF8" w:rsidR="00C46B72" w:rsidRDefault="00C46B72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C46B72">
        <w:rPr>
          <w:bCs/>
          <w:sz w:val="20"/>
          <w:u w:val="none"/>
        </w:rPr>
        <w:t>Dožilé a nepoužívané stávající podzemní rozvody kanalizace a vody nebyly odhaleny při průzku</w:t>
      </w:r>
      <w:r>
        <w:rPr>
          <w:bCs/>
          <w:sz w:val="20"/>
          <w:u w:val="none"/>
        </w:rPr>
        <w:t>mech a nebyly zakresleny do PD.</w:t>
      </w:r>
      <w:r w:rsidRPr="00C46B72">
        <w:rPr>
          <w:bCs/>
          <w:sz w:val="20"/>
          <w:u w:val="none"/>
        </w:rPr>
        <w:t xml:space="preserve"> Popsaná změna vyplynula až v průběhu provádění zemních prací pro nové sítě dle PD.</w:t>
      </w:r>
      <w:r>
        <w:rPr>
          <w:bCs/>
          <w:sz w:val="20"/>
          <w:u w:val="none"/>
        </w:rPr>
        <w:t xml:space="preserve"> Odstranění stávajících inženýrských sítí včetně starých šachet je vzhledem ke kolizi s nově budovanými rozvody nezbytné pro dokončení prací na inženýrských sítích.</w:t>
      </w:r>
    </w:p>
    <w:p w14:paraId="79E177D7" w14:textId="76152EEB" w:rsidR="000D5585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>Tyto skutečn</w:t>
      </w:r>
      <w:r>
        <w:rPr>
          <w:sz w:val="20"/>
          <w:szCs w:val="20"/>
          <w:u w:val="none"/>
        </w:rPr>
        <w:t>osti a změny byly zaznamenány v</w:t>
      </w:r>
      <w:r w:rsidRPr="00114911">
        <w:rPr>
          <w:sz w:val="20"/>
          <w:szCs w:val="20"/>
          <w:u w:val="none"/>
        </w:rPr>
        <w:t xml:space="preserve">e změnovém listě č. </w:t>
      </w:r>
      <w:r w:rsidR="00C46B72">
        <w:rPr>
          <w:sz w:val="20"/>
          <w:szCs w:val="20"/>
          <w:u w:val="none"/>
        </w:rPr>
        <w:t>11</w:t>
      </w:r>
      <w:r w:rsidR="00831890">
        <w:rPr>
          <w:sz w:val="20"/>
          <w:szCs w:val="20"/>
          <w:u w:val="none"/>
        </w:rPr>
        <w:t>,</w:t>
      </w:r>
      <w:r w:rsidRPr="00114911">
        <w:rPr>
          <w:sz w:val="20"/>
          <w:szCs w:val="20"/>
          <w:u w:val="none"/>
        </w:rPr>
        <w:t xml:space="preserve"> který je přílohou tohoto dodatku.</w:t>
      </w:r>
    </w:p>
    <w:p w14:paraId="6761D12D" w14:textId="77777777" w:rsidR="000D5585" w:rsidRPr="00BD4CA6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2169991B" w14:textId="67B46291" w:rsidR="00831890" w:rsidRDefault="00C46B72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 xml:space="preserve">Zadavatel se se zhotovitelem dohodli na úpravě rozsahu restaurování a na rozsahu výroby nových kusů terakotových váz. Originální kusy terakotových váz již nejsou ve stavu, kdy by bylo možno vystavit je dlouhodobě povětrnostním vlivům, jak předpokládala PD. </w:t>
      </w:r>
      <w:r w:rsidR="00E34FF3">
        <w:rPr>
          <w:bCs/>
          <w:sz w:val="20"/>
          <w:u w:val="none"/>
        </w:rPr>
        <w:t xml:space="preserve">Proto je nutné vyrobit jejich kopie a zároveň není nutné vyrábět rezervní kus pro případné náhrady poškozených originálů. </w:t>
      </w:r>
    </w:p>
    <w:p w14:paraId="1482CEBE" w14:textId="0E363CE8" w:rsidR="000D5585" w:rsidRDefault="000D5585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E34FF3">
        <w:rPr>
          <w:sz w:val="20"/>
          <w:szCs w:val="20"/>
          <w:u w:val="none"/>
        </w:rPr>
        <w:t>12</w:t>
      </w:r>
      <w:r w:rsidRPr="00114911">
        <w:rPr>
          <w:sz w:val="20"/>
          <w:szCs w:val="20"/>
          <w:u w:val="none"/>
        </w:rPr>
        <w:t>, který je přílohou tohoto dodatku.</w:t>
      </w:r>
    </w:p>
    <w:p w14:paraId="64D04977" w14:textId="77777777" w:rsidR="00AE354A" w:rsidRDefault="00AE354A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5BD24C15" w14:textId="19DDF8E4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 xml:space="preserve">Zhotovitel provedl podle PD prohloubenou analýzu zasolení konstrukcí a </w:t>
      </w:r>
      <w:r w:rsidR="008C4DAD">
        <w:rPr>
          <w:bCs/>
          <w:sz w:val="20"/>
          <w:u w:val="none"/>
        </w:rPr>
        <w:t xml:space="preserve">vnějších </w:t>
      </w:r>
      <w:r>
        <w:rPr>
          <w:bCs/>
          <w:sz w:val="20"/>
          <w:u w:val="none"/>
        </w:rPr>
        <w:t>omítek objektů zahrady</w:t>
      </w:r>
      <w:r w:rsidR="008C4DAD">
        <w:rPr>
          <w:bCs/>
          <w:sz w:val="20"/>
          <w:u w:val="none"/>
        </w:rPr>
        <w:t xml:space="preserve"> a zahradnictví</w:t>
      </w:r>
      <w:r>
        <w:rPr>
          <w:bCs/>
          <w:sz w:val="20"/>
          <w:u w:val="none"/>
        </w:rPr>
        <w:t xml:space="preserve">. Na základě výsledků tohoto průzkumu zhotovitel navrhnul nahradit </w:t>
      </w:r>
      <w:r w:rsidR="008C4DAD">
        <w:rPr>
          <w:bCs/>
          <w:sz w:val="20"/>
          <w:u w:val="none"/>
        </w:rPr>
        <w:t xml:space="preserve">vnější </w:t>
      </w:r>
      <w:r>
        <w:rPr>
          <w:bCs/>
          <w:sz w:val="20"/>
          <w:u w:val="none"/>
        </w:rPr>
        <w:t>omítky z PD omítkami odolnějšími, které lépe snesou zjištěný vysoký stav zasolení. Tímto se zvýší kvalita provedených prací a zajistí se jejich delší životnost. Změny jsou nezbytné pro dokončení prací.</w:t>
      </w:r>
    </w:p>
    <w:p w14:paraId="334D7201" w14:textId="2054247C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>
        <w:rPr>
          <w:sz w:val="20"/>
          <w:szCs w:val="20"/>
          <w:u w:val="none"/>
        </w:rPr>
        <w:t>13</w:t>
      </w:r>
      <w:r w:rsidRPr="00114911">
        <w:rPr>
          <w:sz w:val="20"/>
          <w:szCs w:val="20"/>
          <w:u w:val="none"/>
        </w:rPr>
        <w:t>, který je přílohou tohoto dodatku.</w:t>
      </w:r>
    </w:p>
    <w:p w14:paraId="4A4670F4" w14:textId="77777777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61411E9F" w14:textId="11C3A6AD" w:rsidR="008C4DAD" w:rsidRDefault="008C4DAD" w:rsidP="008C4DA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>Zhotovitel provedl podle PD prohloubenou analýzu zasolení konstrukcí a vnitřních omítek objektů zahrady a zahradnictví. Na základě výsledků tohoto průzkumu zhotovitel navrhnul nahradit vnitřní omítky z PD omítkami odolnějšími, které lépe snesou zjištěný vysoký stav zasolení. Tímto se zvýší kvalita provedených prací a zajistí se jejich delší životnost. Změny jsou nezbytné pro dokončení prací.</w:t>
      </w:r>
    </w:p>
    <w:p w14:paraId="6F566A83" w14:textId="29BD45A1" w:rsidR="008C4DAD" w:rsidRDefault="008C4DAD" w:rsidP="008C4DA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>
        <w:rPr>
          <w:sz w:val="20"/>
          <w:szCs w:val="20"/>
          <w:u w:val="none"/>
        </w:rPr>
        <w:t>14</w:t>
      </w:r>
      <w:r w:rsidRPr="00114911">
        <w:rPr>
          <w:sz w:val="20"/>
          <w:szCs w:val="20"/>
          <w:u w:val="none"/>
        </w:rPr>
        <w:t>, který je přílohou tohoto dodatku.</w:t>
      </w:r>
    </w:p>
    <w:p w14:paraId="3BE6BB8C" w14:textId="77777777" w:rsidR="008C4DAD" w:rsidRDefault="008C4DAD" w:rsidP="008C4DAD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0CBEC6A5" w14:textId="77777777" w:rsidR="00142F81" w:rsidRDefault="00142F81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 xml:space="preserve">Pro zajištění statické funkčnosti zemnících kotev v tížných zdech zahrady a zahradnictví je nutné vyrobit zámečnické kříže, které budou roznášet tlaky na větší plochu zdiva. </w:t>
      </w:r>
    </w:p>
    <w:p w14:paraId="637EE73B" w14:textId="77777777" w:rsidR="00142F81" w:rsidRDefault="00142F81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42F81">
        <w:rPr>
          <w:bCs/>
          <w:sz w:val="20"/>
          <w:u w:val="none"/>
        </w:rPr>
        <w:t>Tyto změny jsou nezbytné pro dokončení prací a jejich provedení nebo neprovedení navazuje na již probíhající stavební práce, proto je nelze oddělit a zadat zvlášť.</w:t>
      </w:r>
    </w:p>
    <w:p w14:paraId="629CA73D" w14:textId="0D38ED34" w:rsidR="00FB2824" w:rsidRDefault="00FB2824" w:rsidP="00FB2824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142F81">
        <w:rPr>
          <w:sz w:val="20"/>
          <w:szCs w:val="20"/>
          <w:u w:val="none"/>
        </w:rPr>
        <w:t>15</w:t>
      </w:r>
      <w:r w:rsidRPr="00114911">
        <w:rPr>
          <w:sz w:val="20"/>
          <w:szCs w:val="20"/>
          <w:u w:val="none"/>
        </w:rPr>
        <w:t>, který je přílohou tohoto dodatku.</w:t>
      </w:r>
    </w:p>
    <w:p w14:paraId="3D1B4FD4" w14:textId="77777777" w:rsidR="00FB2824" w:rsidRDefault="00FB2824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02EABC5F" w14:textId="096A9315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>Součástí zakázky má být dodání exteriérového turniketu do objektu tzv. Černé brány (SO 22). Tento objekt byl ale ze zakázky vyřazen a proto zhotovitel navrhuje instalovat turniket interiérový do jiné části zahrady, do chodby za sallou terrenou. Jde o ideální řešení z hlediska provozu.</w:t>
      </w:r>
    </w:p>
    <w:p w14:paraId="7E6E4354" w14:textId="4912A6D4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>
        <w:rPr>
          <w:sz w:val="20"/>
          <w:szCs w:val="20"/>
          <w:u w:val="none"/>
        </w:rPr>
        <w:t>16</w:t>
      </w:r>
      <w:r w:rsidRPr="00114911">
        <w:rPr>
          <w:sz w:val="20"/>
          <w:szCs w:val="20"/>
          <w:u w:val="none"/>
        </w:rPr>
        <w:t>, který je přílohou tohoto dodatku.</w:t>
      </w:r>
    </w:p>
    <w:p w14:paraId="6719DE0E" w14:textId="77777777" w:rsidR="00142F81" w:rsidRDefault="00142F81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3BEB354F" w14:textId="6FBB160A" w:rsidR="00CF5B7D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 xml:space="preserve">Po zahájení prací na rozvodech elektřiny zhotovitel zjistil, že ze zakázky </w:t>
      </w:r>
      <w:r w:rsidR="00CF5B7D">
        <w:rPr>
          <w:bCs/>
          <w:sz w:val="20"/>
          <w:u w:val="none"/>
        </w:rPr>
        <w:t>z důvodu škrtů vypadly objekty SO 05, SO 06, SO 07 a SO 09. V těchto objektech je ale umístěna elektroinstalace pro ostatní objekty v zahradnictví, které součástí zakázky jsou. Jde o uzavřený systém, který musí být dokončen v plné míře, jinak nebude zajištěna funkčnost žádné části. Dodávka a montáž elektroinstalace v těchto objektech je nezbytná.</w:t>
      </w:r>
    </w:p>
    <w:p w14:paraId="5A2F4AFE" w14:textId="77777777" w:rsidR="00CF5B7D" w:rsidRDefault="00CF5B7D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554DF999" w14:textId="01B11EE3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CF5B7D">
        <w:rPr>
          <w:sz w:val="20"/>
          <w:szCs w:val="20"/>
          <w:u w:val="none"/>
        </w:rPr>
        <w:t>17</w:t>
      </w:r>
      <w:r w:rsidRPr="00114911">
        <w:rPr>
          <w:sz w:val="20"/>
          <w:szCs w:val="20"/>
          <w:u w:val="none"/>
        </w:rPr>
        <w:t>, který je přílohou tohoto dodatku.</w:t>
      </w:r>
    </w:p>
    <w:p w14:paraId="51C9C8E1" w14:textId="77777777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4E1C83C1" w14:textId="0DCE52F7" w:rsidR="00142F81" w:rsidRDefault="00CF5B7D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>
        <w:rPr>
          <w:bCs/>
          <w:sz w:val="20"/>
          <w:u w:val="none"/>
        </w:rPr>
        <w:t xml:space="preserve">Zadavatel požaduje změnu typu a počtu košů do zahrady. Oproti PD budou koše nikoli dřevěné, ale litinové. Změna je žádoucí vzhledem k delší životnosti a nižším nárokům na údržbu. </w:t>
      </w:r>
    </w:p>
    <w:p w14:paraId="452C433E" w14:textId="7DABE997" w:rsidR="00142F81" w:rsidRDefault="00142F81" w:rsidP="00142F8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č. </w:t>
      </w:r>
      <w:r w:rsidR="00CF5B7D">
        <w:rPr>
          <w:sz w:val="20"/>
          <w:szCs w:val="20"/>
          <w:u w:val="none"/>
        </w:rPr>
        <w:t>18</w:t>
      </w:r>
      <w:r w:rsidRPr="00114911">
        <w:rPr>
          <w:sz w:val="20"/>
          <w:szCs w:val="20"/>
          <w:u w:val="none"/>
        </w:rPr>
        <w:t>, který je přílohou tohoto dodatku.</w:t>
      </w:r>
    </w:p>
    <w:p w14:paraId="2B6D3634" w14:textId="77777777" w:rsidR="00142F81" w:rsidRDefault="00142F81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4729028F" w14:textId="2D6B5668" w:rsidR="00FC3967" w:rsidRPr="00CA2123" w:rsidRDefault="0003672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</w:rPr>
      </w:pPr>
      <w:r w:rsidRPr="00CA2123">
        <w:rPr>
          <w:rFonts w:asciiTheme="minorHAnsi" w:hAnsiTheme="minorHAnsi"/>
          <w:sz w:val="20"/>
          <w:szCs w:val="20"/>
          <w:u w:val="none"/>
        </w:rPr>
        <w:t>Z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>měny zahrnují vícepráce a méněpráce, na které z</w:t>
      </w:r>
      <w:r w:rsidR="004000DA" w:rsidRPr="00CA2123">
        <w:rPr>
          <w:rFonts w:asciiTheme="minorHAnsi" w:hAnsiTheme="minorHAnsi"/>
          <w:sz w:val="20"/>
          <w:szCs w:val="20"/>
          <w:u w:val="none"/>
        </w:rPr>
        <w:t xml:space="preserve">hotovitel předložil objednateli 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>cenov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é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 xml:space="preserve"> nabídk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y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 xml:space="preserve">. </w:t>
      </w:r>
      <w:r w:rsidR="00905AF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Předmětné vícepráce nejsou ve smyslu záko</w:t>
      </w:r>
      <w:r w:rsidR="009D3D7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na č. 134/2016 Sb.,</w:t>
      </w:r>
      <w:r w:rsidR="000D5585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o zadávání veřejných zakázek, ve znění pozdějších</w:t>
      </w:r>
      <w:r w:rsidR="000D5585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předpisů, </w:t>
      </w:r>
      <w:r w:rsidR="00905AF0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>podstatnou změnou smlouvy.</w:t>
      </w:r>
      <w:r w:rsidR="003B6F65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</w:p>
    <w:p w14:paraId="0FB445A8" w14:textId="77777777" w:rsidR="00AE354A" w:rsidRDefault="00AE354A" w:rsidP="00CA2123">
      <w:pPr>
        <w:pStyle w:val="Odstavecseseznamem"/>
        <w:rPr>
          <w:rFonts w:asciiTheme="minorHAnsi" w:hAnsiTheme="minorHAnsi" w:cs="Palatino Linotype"/>
          <w:color w:val="000000"/>
        </w:rPr>
      </w:pPr>
    </w:p>
    <w:p w14:paraId="4F744585" w14:textId="6CDD058F" w:rsidR="00426A23" w:rsidRPr="007D1E67" w:rsidRDefault="00426A23" w:rsidP="007D1E6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</w:rPr>
      </w:pPr>
      <w:r w:rsidRPr="007D1E67">
        <w:rPr>
          <w:rFonts w:asciiTheme="minorHAnsi" w:hAnsiTheme="minorHAnsi"/>
          <w:sz w:val="20"/>
          <w:szCs w:val="20"/>
          <w:u w:val="none"/>
        </w:rPr>
        <w:t xml:space="preserve">Cena méněprací je vyčíslena na částku </w:t>
      </w:r>
      <w:r w:rsidR="00583A1C">
        <w:rPr>
          <w:rFonts w:asciiTheme="minorHAnsi" w:hAnsiTheme="minorHAnsi"/>
          <w:sz w:val="20"/>
          <w:szCs w:val="20"/>
          <w:u w:val="none"/>
        </w:rPr>
        <w:t>2.148</w:t>
      </w:r>
      <w:r w:rsidRPr="007D1E67">
        <w:rPr>
          <w:rFonts w:asciiTheme="minorHAnsi" w:hAnsiTheme="minorHAnsi"/>
          <w:sz w:val="20"/>
          <w:szCs w:val="20"/>
          <w:u w:val="none"/>
        </w:rPr>
        <w:t>.</w:t>
      </w:r>
      <w:r w:rsidR="00583A1C">
        <w:rPr>
          <w:rFonts w:asciiTheme="minorHAnsi" w:hAnsiTheme="minorHAnsi"/>
          <w:sz w:val="20"/>
          <w:szCs w:val="20"/>
          <w:u w:val="none"/>
        </w:rPr>
        <w:t>557</w:t>
      </w:r>
      <w:r w:rsidRPr="007D1E67">
        <w:rPr>
          <w:rFonts w:asciiTheme="minorHAnsi" w:hAnsiTheme="minorHAnsi"/>
          <w:sz w:val="20"/>
          <w:szCs w:val="20"/>
          <w:u w:val="none"/>
        </w:rPr>
        <w:t>,</w:t>
      </w:r>
      <w:r w:rsidR="00583A1C">
        <w:rPr>
          <w:rFonts w:asciiTheme="minorHAnsi" w:hAnsiTheme="minorHAnsi"/>
          <w:sz w:val="20"/>
          <w:szCs w:val="20"/>
          <w:u w:val="none"/>
        </w:rPr>
        <w:t>81</w:t>
      </w:r>
      <w:r w:rsidRPr="007D1E67">
        <w:rPr>
          <w:rFonts w:asciiTheme="minorHAnsi" w:hAnsiTheme="minorHAnsi"/>
          <w:sz w:val="20"/>
          <w:szCs w:val="20"/>
          <w:u w:val="none"/>
        </w:rPr>
        <w:t xml:space="preserve"> Kč bez DPH a cena víceprací je vyčíslena na částku</w:t>
      </w:r>
      <w:r w:rsidR="000879AF">
        <w:rPr>
          <w:rFonts w:asciiTheme="minorHAnsi" w:hAnsiTheme="minorHAnsi"/>
          <w:sz w:val="20"/>
          <w:szCs w:val="20"/>
          <w:u w:val="none"/>
        </w:rPr>
        <w:t xml:space="preserve"> </w:t>
      </w:r>
      <w:r w:rsidR="00583A1C">
        <w:rPr>
          <w:rFonts w:asciiTheme="minorHAnsi" w:hAnsiTheme="minorHAnsi"/>
          <w:sz w:val="20"/>
          <w:szCs w:val="20"/>
          <w:u w:val="none"/>
        </w:rPr>
        <w:t>4.</w:t>
      </w:r>
      <w:r w:rsidR="000879AF">
        <w:rPr>
          <w:rFonts w:asciiTheme="minorHAnsi" w:hAnsiTheme="minorHAnsi"/>
          <w:sz w:val="20"/>
          <w:szCs w:val="20"/>
          <w:u w:val="none"/>
        </w:rPr>
        <w:t>252</w:t>
      </w:r>
      <w:r w:rsidRPr="007D1E67">
        <w:rPr>
          <w:rFonts w:asciiTheme="minorHAnsi" w:hAnsiTheme="minorHAnsi"/>
          <w:sz w:val="20"/>
          <w:szCs w:val="20"/>
          <w:u w:val="none"/>
        </w:rPr>
        <w:t>.</w:t>
      </w:r>
      <w:r w:rsidR="000879AF">
        <w:rPr>
          <w:rFonts w:asciiTheme="minorHAnsi" w:hAnsiTheme="minorHAnsi"/>
          <w:sz w:val="20"/>
          <w:szCs w:val="20"/>
          <w:u w:val="none"/>
        </w:rPr>
        <w:t>033</w:t>
      </w:r>
      <w:r w:rsidRPr="007D1E67">
        <w:rPr>
          <w:rFonts w:asciiTheme="minorHAnsi" w:hAnsiTheme="minorHAnsi"/>
          <w:sz w:val="20"/>
          <w:szCs w:val="20"/>
          <w:u w:val="none"/>
        </w:rPr>
        <w:t>,</w:t>
      </w:r>
      <w:r w:rsidR="000879AF">
        <w:rPr>
          <w:rFonts w:asciiTheme="minorHAnsi" w:hAnsiTheme="minorHAnsi"/>
          <w:sz w:val="20"/>
          <w:szCs w:val="20"/>
          <w:u w:val="none"/>
        </w:rPr>
        <w:t>75</w:t>
      </w:r>
      <w:r w:rsidRPr="007D1E67">
        <w:rPr>
          <w:rFonts w:asciiTheme="minorHAnsi" w:hAnsiTheme="minorHAnsi"/>
          <w:sz w:val="20"/>
          <w:szCs w:val="20"/>
          <w:u w:val="none"/>
        </w:rPr>
        <w:t xml:space="preserve"> Kč</w:t>
      </w:r>
      <w:r w:rsidRPr="007D1E67">
        <w:rPr>
          <w:rFonts w:asciiTheme="minorHAnsi" w:hAnsiTheme="minorHAnsi"/>
          <w:color w:val="FF0000"/>
          <w:sz w:val="20"/>
          <w:szCs w:val="20"/>
          <w:u w:val="none"/>
        </w:rPr>
        <w:t xml:space="preserve"> </w:t>
      </w:r>
      <w:r w:rsidRPr="007D1E67">
        <w:rPr>
          <w:rFonts w:asciiTheme="minorHAnsi" w:hAnsiTheme="minorHAnsi"/>
          <w:sz w:val="20"/>
          <w:szCs w:val="20"/>
          <w:u w:val="none"/>
        </w:rPr>
        <w:t>bez DPH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. </w:t>
      </w:r>
      <w:r w:rsidR="00FC3967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Hodnota změny dle § 222 odst. 4 zákona č. 134/2016 Sb. je 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ve výši </w:t>
      </w:r>
      <w:r w:rsidR="00583A1C">
        <w:rPr>
          <w:rFonts w:asciiTheme="minorHAnsi" w:hAnsiTheme="minorHAnsi" w:cs="Palatino Linotype"/>
          <w:color w:val="000000"/>
          <w:sz w:val="20"/>
          <w:szCs w:val="20"/>
          <w:u w:val="none"/>
        </w:rPr>
        <w:t>6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400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591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56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Kč bez DPH, tedy </w:t>
      </w:r>
      <w:r w:rsidR="00583A1C">
        <w:rPr>
          <w:rFonts w:asciiTheme="minorHAnsi" w:hAnsiTheme="minorHAnsi" w:cs="Palatino Linotype"/>
          <w:color w:val="000000"/>
          <w:sz w:val="20"/>
          <w:szCs w:val="20"/>
          <w:u w:val="none"/>
        </w:rPr>
        <w:t>4,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41</w:t>
      </w:r>
      <w:r w:rsidR="00FC3967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% původní hodnoty zakázky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. Hodnota změny 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po započtení 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i předchozí</w:t>
      </w:r>
      <w:r w:rsidR="00DF19EA">
        <w:rPr>
          <w:rFonts w:asciiTheme="minorHAnsi" w:hAnsiTheme="minorHAnsi" w:cs="Palatino Linotype"/>
          <w:color w:val="000000"/>
          <w:sz w:val="20"/>
          <w:szCs w:val="20"/>
          <w:u w:val="none"/>
        </w:rPr>
        <w:t>ch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dodatk</w:t>
      </w:r>
      <w:r w:rsidR="00DF19EA">
        <w:rPr>
          <w:rFonts w:asciiTheme="minorHAnsi" w:hAnsiTheme="minorHAnsi" w:cs="Palatino Linotype"/>
          <w:color w:val="000000"/>
          <w:sz w:val="20"/>
          <w:szCs w:val="20"/>
          <w:u w:val="none"/>
        </w:rPr>
        <w:t>ů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je 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ve výši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5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,</w:t>
      </w:r>
      <w:r w:rsidR="000879AF">
        <w:rPr>
          <w:rFonts w:asciiTheme="minorHAnsi" w:hAnsiTheme="minorHAnsi" w:cs="Palatino Linotype"/>
          <w:color w:val="000000"/>
          <w:sz w:val="20"/>
          <w:szCs w:val="20"/>
          <w:u w:val="none"/>
        </w:rPr>
        <w:t>88%</w:t>
      </w:r>
      <w:r w:rsidR="00F5196C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původní hodnoty zakázky</w:t>
      </w:r>
      <w:r w:rsidR="00BA4BFA"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</w:p>
    <w:p w14:paraId="6E022777" w14:textId="77777777" w:rsidR="00426A23" w:rsidRDefault="00426A23" w:rsidP="007D1E67">
      <w:pPr>
        <w:pStyle w:val="Odstavecseseznamem"/>
        <w:rPr>
          <w:rFonts w:asciiTheme="minorHAnsi" w:hAnsiTheme="minorHAnsi"/>
          <w:b/>
        </w:rPr>
      </w:pPr>
    </w:p>
    <w:p w14:paraId="4A2410F0" w14:textId="77EBD7C0" w:rsidR="00426A23" w:rsidRDefault="00426A23" w:rsidP="007D1E6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cs="Palatino Linotype"/>
          <w:color w:val="000000"/>
        </w:rPr>
      </w:pPr>
      <w:r w:rsidRPr="007D1E67">
        <w:rPr>
          <w:sz w:val="20"/>
          <w:szCs w:val="20"/>
          <w:u w:val="none"/>
        </w:rPr>
        <w:t xml:space="preserve">Cena víceprací je vyčíslena na částku </w:t>
      </w:r>
      <w:r w:rsidR="00583A1C">
        <w:rPr>
          <w:sz w:val="20"/>
          <w:szCs w:val="20"/>
          <w:u w:val="none"/>
        </w:rPr>
        <w:t xml:space="preserve">172.132,94 </w:t>
      </w:r>
      <w:r w:rsidRPr="007D1E67">
        <w:rPr>
          <w:sz w:val="20"/>
          <w:szCs w:val="20"/>
          <w:u w:val="none"/>
        </w:rPr>
        <w:t>Kč</w:t>
      </w:r>
      <w:r w:rsidRPr="007D1E67">
        <w:rPr>
          <w:color w:val="FF0000"/>
          <w:sz w:val="20"/>
          <w:szCs w:val="20"/>
          <w:u w:val="none"/>
        </w:rPr>
        <w:t xml:space="preserve"> </w:t>
      </w:r>
      <w:r w:rsidRPr="007D1E67">
        <w:rPr>
          <w:sz w:val="20"/>
          <w:szCs w:val="20"/>
          <w:u w:val="none"/>
        </w:rPr>
        <w:t>bez DPH</w:t>
      </w:r>
      <w:r w:rsidRPr="007D1E67">
        <w:rPr>
          <w:rFonts w:cs="Palatino Linotype"/>
          <w:color w:val="000000"/>
          <w:sz w:val="20"/>
          <w:szCs w:val="20"/>
          <w:u w:val="none"/>
        </w:rPr>
        <w:t xml:space="preserve">. 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>Hodnota změny</w:t>
      </w:r>
      <w:r w:rsidR="00DE3F46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>veřejné zakáz</w:t>
      </w:r>
      <w:r w:rsidRPr="007D1E67">
        <w:rPr>
          <w:rFonts w:cs="Palatino Linotype"/>
          <w:color w:val="000000"/>
          <w:sz w:val="20"/>
          <w:szCs w:val="20"/>
          <w:u w:val="none"/>
        </w:rPr>
        <w:t>ky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>je</w:t>
      </w:r>
      <w:r w:rsidR="00DE3F46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 xml:space="preserve">dle 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 xml:space="preserve">§ 222 odst. 6 zákona č. 134/2016 Sb. </w:t>
      </w:r>
      <w:r w:rsidRPr="007D1E67">
        <w:rPr>
          <w:rFonts w:cs="Palatino Linotype"/>
          <w:color w:val="000000"/>
          <w:sz w:val="20"/>
          <w:szCs w:val="20"/>
          <w:u w:val="none"/>
        </w:rPr>
        <w:t xml:space="preserve">po započtení i předchozích změn je </w:t>
      </w:r>
      <w:r w:rsidR="00114D04" w:rsidRPr="007D1E67">
        <w:rPr>
          <w:rFonts w:cs="Palatino Linotype"/>
          <w:color w:val="000000"/>
          <w:sz w:val="20"/>
          <w:szCs w:val="20"/>
          <w:u w:val="none"/>
        </w:rPr>
        <w:t>celkem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583A1C">
        <w:rPr>
          <w:rFonts w:cs="Palatino Linotype"/>
          <w:color w:val="000000"/>
          <w:sz w:val="20"/>
          <w:szCs w:val="20"/>
          <w:u w:val="none"/>
        </w:rPr>
        <w:t>2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>,</w:t>
      </w:r>
      <w:r w:rsidR="00583A1C">
        <w:rPr>
          <w:rFonts w:cs="Palatino Linotype"/>
          <w:color w:val="000000"/>
          <w:sz w:val="20"/>
          <w:szCs w:val="20"/>
          <w:u w:val="none"/>
        </w:rPr>
        <w:t>06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>%</w:t>
      </w:r>
      <w:r w:rsidR="002037C9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="00BA4BFA" w:rsidRPr="007D1E67">
        <w:rPr>
          <w:rFonts w:cs="Palatino Linotype"/>
          <w:color w:val="000000"/>
          <w:sz w:val="20"/>
          <w:szCs w:val="20"/>
          <w:u w:val="none"/>
        </w:rPr>
        <w:t>původní veřejné zakázky</w:t>
      </w:r>
      <w:r w:rsidR="00A12E7A" w:rsidRPr="007D1E67">
        <w:rPr>
          <w:rFonts w:cs="Palatino Linotype"/>
          <w:color w:val="000000"/>
          <w:sz w:val="20"/>
          <w:szCs w:val="20"/>
          <w:u w:val="none"/>
        </w:rPr>
        <w:t>.</w:t>
      </w:r>
      <w:r w:rsidR="001C4FC0" w:rsidRPr="007D1E67"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Pr="007D1E67">
        <w:rPr>
          <w:rFonts w:cs="Palatino Linotype"/>
          <w:color w:val="000000"/>
          <w:sz w:val="20"/>
          <w:szCs w:val="20"/>
          <w:u w:val="none"/>
        </w:rPr>
        <w:t>Celkový c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>enový nárůst související s</w:t>
      </w:r>
      <w:r w:rsidR="00975DE7" w:rsidRPr="007D1E67">
        <w:rPr>
          <w:rFonts w:cs="Palatino Linotype"/>
          <w:color w:val="000000"/>
          <w:sz w:val="20"/>
          <w:szCs w:val="20"/>
          <w:u w:val="none"/>
        </w:rPr>
        <w:t xml:space="preserve">e </w:t>
      </w:r>
      <w:r w:rsidR="00ED5C80" w:rsidRPr="007D1E67">
        <w:rPr>
          <w:rFonts w:cs="Palatino Linotype"/>
          <w:color w:val="000000"/>
          <w:sz w:val="20"/>
          <w:szCs w:val="20"/>
          <w:u w:val="none"/>
        </w:rPr>
        <w:t xml:space="preserve">změnou </w:t>
      </w:r>
      <w:r w:rsidRPr="007D1E67">
        <w:rPr>
          <w:rFonts w:cs="Palatino Linotype"/>
          <w:color w:val="000000"/>
          <w:sz w:val="20"/>
          <w:szCs w:val="20"/>
          <w:u w:val="none"/>
        </w:rPr>
        <w:t xml:space="preserve">ve smyslu </w:t>
      </w:r>
      <w:r w:rsidR="00975DE7" w:rsidRPr="007D1E67">
        <w:rPr>
          <w:rFonts w:cstheme="minorHAnsi"/>
          <w:color w:val="000000"/>
          <w:sz w:val="20"/>
          <w:szCs w:val="20"/>
          <w:u w:val="none"/>
        </w:rPr>
        <w:t>§</w:t>
      </w:r>
      <w:r w:rsidR="00C269E5" w:rsidRPr="007D1E67">
        <w:rPr>
          <w:rFonts w:cs="Palatino Linotype"/>
          <w:color w:val="000000"/>
          <w:sz w:val="20"/>
          <w:szCs w:val="20"/>
          <w:u w:val="none"/>
        </w:rPr>
        <w:t xml:space="preserve">222 odst. </w:t>
      </w:r>
      <w:r w:rsidRPr="007D1E67">
        <w:rPr>
          <w:rFonts w:cs="Palatino Linotype"/>
          <w:color w:val="000000"/>
          <w:sz w:val="20"/>
          <w:szCs w:val="20"/>
          <w:u w:val="none"/>
        </w:rPr>
        <w:t>9</w:t>
      </w:r>
      <w:r w:rsidR="00C269E5" w:rsidRPr="007D1E67">
        <w:rPr>
          <w:rFonts w:cs="Palatino Linotype"/>
          <w:color w:val="000000"/>
          <w:sz w:val="20"/>
          <w:szCs w:val="20"/>
          <w:u w:val="none"/>
        </w:rPr>
        <w:t xml:space="preserve"> je </w:t>
      </w:r>
      <w:r w:rsidR="009D3D70" w:rsidRPr="007D1E67">
        <w:rPr>
          <w:rFonts w:cs="Palatino Linotype"/>
          <w:color w:val="000000"/>
          <w:sz w:val="20"/>
          <w:szCs w:val="20"/>
          <w:u w:val="none"/>
        </w:rPr>
        <w:t xml:space="preserve">celkem </w:t>
      </w:r>
      <w:r w:rsidR="00F5196C" w:rsidRPr="007D1E67">
        <w:rPr>
          <w:rFonts w:cs="Palatino Linotype"/>
          <w:color w:val="000000"/>
          <w:sz w:val="20"/>
          <w:szCs w:val="20"/>
          <w:u w:val="none"/>
        </w:rPr>
        <w:t>1</w:t>
      </w:r>
      <w:r w:rsidR="006D5B05" w:rsidRPr="007D1E67">
        <w:rPr>
          <w:rFonts w:cs="Palatino Linotype"/>
          <w:color w:val="000000"/>
          <w:sz w:val="20"/>
          <w:szCs w:val="20"/>
          <w:u w:val="none"/>
        </w:rPr>
        <w:t>,</w:t>
      </w:r>
      <w:r w:rsidR="00583A1C">
        <w:rPr>
          <w:rFonts w:cs="Palatino Linotype"/>
          <w:color w:val="000000"/>
          <w:sz w:val="20"/>
          <w:szCs w:val="20"/>
          <w:u w:val="none"/>
        </w:rPr>
        <w:t>97</w:t>
      </w:r>
      <w:r w:rsidR="006D5B05" w:rsidRPr="007D1E67">
        <w:rPr>
          <w:rFonts w:cs="Palatino Linotype"/>
          <w:color w:val="000000"/>
          <w:sz w:val="20"/>
          <w:szCs w:val="20"/>
          <w:u w:val="none"/>
        </w:rPr>
        <w:t xml:space="preserve">% </w:t>
      </w:r>
      <w:r w:rsidRPr="007D1E67">
        <w:rPr>
          <w:rFonts w:cs="Palatino Linotype"/>
          <w:color w:val="000000"/>
          <w:sz w:val="20"/>
          <w:szCs w:val="20"/>
          <w:u w:val="none"/>
        </w:rPr>
        <w:t>.</w:t>
      </w:r>
      <w:r w:rsidRPr="00AE354A" w:rsidDel="00426A23">
        <w:rPr>
          <w:rFonts w:cs="Palatino Linotype"/>
          <w:color w:val="000000"/>
        </w:rPr>
        <w:t xml:space="preserve"> </w:t>
      </w:r>
    </w:p>
    <w:p w14:paraId="2F3F70E3" w14:textId="77777777" w:rsidR="00AE354A" w:rsidRPr="00FF46D3" w:rsidRDefault="00AE354A" w:rsidP="00FF46D3">
      <w:pPr>
        <w:rPr>
          <w:rFonts w:asciiTheme="minorHAnsi" w:hAnsiTheme="minorHAnsi" w:cs="Palatino Linotype"/>
          <w:color w:val="000000"/>
        </w:rPr>
      </w:pPr>
    </w:p>
    <w:p w14:paraId="016E3E7F" w14:textId="6D8AF522" w:rsidR="007D4444" w:rsidRPr="00CA2123" w:rsidRDefault="003C2E2A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color w:val="000000"/>
          <w:sz w:val="20"/>
          <w:szCs w:val="20"/>
          <w:u w:val="none"/>
        </w:rPr>
      </w:pP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Smluvní strany konstatují, že konečná celková cena díla bude po </w:t>
      </w:r>
      <w:r w:rsidR="00B405FB" w:rsidRPr="00CA2123">
        <w:rPr>
          <w:rFonts w:asciiTheme="minorHAnsi" w:hAnsiTheme="minorHAnsi"/>
          <w:b/>
          <w:sz w:val="20"/>
          <w:szCs w:val="20"/>
          <w:u w:val="none"/>
        </w:rPr>
        <w:t xml:space="preserve">odečtení méněprací a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>zahrnu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tí víceprací dle tohoto dodatku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zvýšena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celkem o </w:t>
      </w:r>
      <w:r w:rsidR="00270D9D">
        <w:rPr>
          <w:rFonts w:asciiTheme="minorHAnsi" w:hAnsiTheme="minorHAnsi"/>
          <w:b/>
          <w:sz w:val="20"/>
          <w:szCs w:val="20"/>
          <w:u w:val="none"/>
        </w:rPr>
        <w:t>2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>.</w:t>
      </w:r>
      <w:r w:rsidR="000879AF">
        <w:rPr>
          <w:rFonts w:asciiTheme="minorHAnsi" w:hAnsiTheme="minorHAnsi"/>
          <w:b/>
          <w:sz w:val="20"/>
          <w:szCs w:val="20"/>
          <w:u w:val="none"/>
        </w:rPr>
        <w:t>275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>.</w:t>
      </w:r>
      <w:r w:rsidR="000879AF">
        <w:rPr>
          <w:rFonts w:asciiTheme="minorHAnsi" w:hAnsiTheme="minorHAnsi"/>
          <w:b/>
          <w:sz w:val="20"/>
          <w:szCs w:val="20"/>
          <w:u w:val="none"/>
        </w:rPr>
        <w:t>608</w:t>
      </w:r>
      <w:r w:rsidR="00295360" w:rsidRPr="00CA2123">
        <w:rPr>
          <w:rFonts w:asciiTheme="minorHAnsi" w:hAnsiTheme="minorHAnsi"/>
          <w:b/>
          <w:sz w:val="20"/>
          <w:szCs w:val="20"/>
          <w:u w:val="none"/>
        </w:rPr>
        <w:t>,</w:t>
      </w:r>
      <w:r w:rsidR="000879AF">
        <w:rPr>
          <w:rFonts w:asciiTheme="minorHAnsi" w:hAnsiTheme="minorHAnsi"/>
          <w:b/>
          <w:sz w:val="20"/>
          <w:szCs w:val="20"/>
          <w:u w:val="none"/>
        </w:rPr>
        <w:t>88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 Kč bez DPH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na částku 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1</w:t>
      </w:r>
      <w:r w:rsidR="00270D9D">
        <w:rPr>
          <w:rFonts w:asciiTheme="minorHAnsi" w:hAnsiTheme="minorHAnsi"/>
          <w:b/>
          <w:sz w:val="20"/>
          <w:szCs w:val="20"/>
          <w:u w:val="none"/>
        </w:rPr>
        <w:t>50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.</w:t>
      </w:r>
      <w:r w:rsidR="000879AF">
        <w:rPr>
          <w:rFonts w:asciiTheme="minorHAnsi" w:hAnsiTheme="minorHAnsi"/>
          <w:b/>
          <w:sz w:val="20"/>
          <w:szCs w:val="20"/>
          <w:u w:val="none"/>
        </w:rPr>
        <w:t>2</w:t>
      </w:r>
      <w:r w:rsidR="00CA330F">
        <w:rPr>
          <w:rFonts w:asciiTheme="minorHAnsi" w:hAnsiTheme="minorHAnsi"/>
          <w:b/>
          <w:sz w:val="20"/>
          <w:szCs w:val="20"/>
          <w:u w:val="none"/>
        </w:rPr>
        <w:t>1</w:t>
      </w:r>
      <w:r w:rsidR="000879AF">
        <w:rPr>
          <w:rFonts w:asciiTheme="minorHAnsi" w:hAnsiTheme="minorHAnsi"/>
          <w:b/>
          <w:sz w:val="20"/>
          <w:szCs w:val="20"/>
          <w:u w:val="none"/>
        </w:rPr>
        <w:t>9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.</w:t>
      </w:r>
      <w:r w:rsidR="00AB6196">
        <w:rPr>
          <w:rFonts w:asciiTheme="minorHAnsi" w:hAnsiTheme="minorHAnsi"/>
          <w:b/>
          <w:sz w:val="20"/>
          <w:szCs w:val="20"/>
          <w:u w:val="none"/>
        </w:rPr>
        <w:t>457</w:t>
      </w:r>
      <w:r w:rsidR="001C4FC0" w:rsidRPr="00CA2123">
        <w:rPr>
          <w:rFonts w:asciiTheme="minorHAnsi" w:hAnsiTheme="minorHAnsi"/>
          <w:b/>
          <w:sz w:val="20"/>
          <w:szCs w:val="20"/>
          <w:u w:val="none"/>
        </w:rPr>
        <w:t>,</w:t>
      </w:r>
      <w:r w:rsidR="00AB6196">
        <w:rPr>
          <w:rFonts w:asciiTheme="minorHAnsi" w:hAnsiTheme="minorHAnsi"/>
          <w:b/>
          <w:sz w:val="20"/>
          <w:szCs w:val="20"/>
          <w:u w:val="none"/>
        </w:rPr>
        <w:t>9</w:t>
      </w:r>
      <w:r w:rsidR="000879AF">
        <w:rPr>
          <w:rFonts w:asciiTheme="minorHAnsi" w:hAnsiTheme="minorHAnsi"/>
          <w:b/>
          <w:sz w:val="20"/>
          <w:szCs w:val="20"/>
          <w:u w:val="none"/>
        </w:rPr>
        <w:t>8</w:t>
      </w:r>
      <w:r w:rsidR="006D5B05" w:rsidRPr="00CA2123">
        <w:rPr>
          <w:rFonts w:asciiTheme="minorHAnsi" w:hAnsiTheme="minorHAnsi"/>
          <w:b/>
          <w:sz w:val="20"/>
          <w:szCs w:val="20"/>
          <w:u w:val="none"/>
        </w:rPr>
        <w:t xml:space="preserve"> Kč bez DPH</w:t>
      </w:r>
      <w:r w:rsidR="00BE5FAF" w:rsidRPr="00CA2123">
        <w:rPr>
          <w:rFonts w:asciiTheme="minorHAnsi" w:hAnsiTheme="minorHAnsi"/>
          <w:b/>
          <w:sz w:val="20"/>
          <w:szCs w:val="20"/>
          <w:u w:val="none"/>
        </w:rPr>
        <w:t xml:space="preserve">, </w:t>
      </w:r>
      <w:r w:rsidR="00BE5FAF" w:rsidRPr="00AE354A">
        <w:rPr>
          <w:rFonts w:asciiTheme="minorHAnsi" w:hAnsiTheme="minorHAnsi"/>
          <w:b/>
          <w:sz w:val="20"/>
          <w:szCs w:val="20"/>
          <w:u w:val="none"/>
        </w:rPr>
        <w:t xml:space="preserve">tj. </w:t>
      </w:r>
      <w:r w:rsidR="00EA7F81" w:rsidRPr="00AE354A">
        <w:rPr>
          <w:rFonts w:asciiTheme="minorHAnsi" w:hAnsiTheme="minorHAnsi"/>
          <w:b/>
          <w:sz w:val="20"/>
          <w:szCs w:val="20"/>
          <w:u w:val="none"/>
        </w:rPr>
        <w:t>1</w:t>
      </w:r>
      <w:r w:rsidR="00270D9D">
        <w:rPr>
          <w:rFonts w:asciiTheme="minorHAnsi" w:hAnsiTheme="minorHAnsi"/>
          <w:b/>
          <w:sz w:val="20"/>
          <w:szCs w:val="20"/>
          <w:u w:val="none"/>
        </w:rPr>
        <w:t>81</w:t>
      </w:r>
      <w:r w:rsidR="009D3D70" w:rsidRPr="00AE354A">
        <w:rPr>
          <w:rFonts w:asciiTheme="minorHAnsi" w:hAnsiTheme="minorHAnsi"/>
          <w:b/>
          <w:sz w:val="20"/>
          <w:szCs w:val="20"/>
          <w:u w:val="none"/>
        </w:rPr>
        <w:t>.</w:t>
      </w:r>
      <w:r w:rsidR="000879AF">
        <w:rPr>
          <w:rFonts w:asciiTheme="minorHAnsi" w:hAnsiTheme="minorHAnsi"/>
          <w:b/>
          <w:sz w:val="20"/>
          <w:szCs w:val="20"/>
          <w:u w:val="none"/>
        </w:rPr>
        <w:t>7</w:t>
      </w:r>
      <w:r w:rsidR="00CA330F">
        <w:rPr>
          <w:rFonts w:asciiTheme="minorHAnsi" w:hAnsiTheme="minorHAnsi"/>
          <w:b/>
          <w:sz w:val="20"/>
          <w:szCs w:val="20"/>
          <w:u w:val="none"/>
        </w:rPr>
        <w:t>65</w:t>
      </w:r>
      <w:r w:rsidR="009D3D70" w:rsidRPr="00AE354A">
        <w:rPr>
          <w:rFonts w:asciiTheme="minorHAnsi" w:hAnsiTheme="minorHAnsi"/>
          <w:b/>
          <w:sz w:val="20"/>
          <w:szCs w:val="20"/>
          <w:u w:val="none"/>
        </w:rPr>
        <w:t>.</w:t>
      </w:r>
      <w:r w:rsidR="00AB6196">
        <w:rPr>
          <w:rFonts w:asciiTheme="minorHAnsi" w:hAnsiTheme="minorHAnsi"/>
          <w:b/>
          <w:sz w:val="20"/>
          <w:szCs w:val="20"/>
          <w:u w:val="none"/>
        </w:rPr>
        <w:t>544</w:t>
      </w:r>
      <w:r w:rsidR="00295360" w:rsidRPr="00AE354A">
        <w:rPr>
          <w:rFonts w:asciiTheme="minorHAnsi" w:hAnsiTheme="minorHAnsi"/>
          <w:b/>
          <w:sz w:val="20"/>
          <w:szCs w:val="20"/>
          <w:u w:val="none"/>
        </w:rPr>
        <w:t>,</w:t>
      </w:r>
      <w:r w:rsidR="00AB6196">
        <w:rPr>
          <w:rFonts w:asciiTheme="minorHAnsi" w:hAnsiTheme="minorHAnsi"/>
          <w:b/>
          <w:sz w:val="20"/>
          <w:szCs w:val="20"/>
          <w:u w:val="none"/>
        </w:rPr>
        <w:t>16</w:t>
      </w:r>
      <w:r w:rsidR="008D34DD" w:rsidRPr="00AE354A">
        <w:rPr>
          <w:rFonts w:asciiTheme="minorHAnsi" w:hAnsiTheme="minorHAnsi"/>
          <w:b/>
          <w:sz w:val="20"/>
          <w:szCs w:val="20"/>
          <w:u w:val="none"/>
        </w:rPr>
        <w:t xml:space="preserve"> Kč s DPH</w:t>
      </w:r>
      <w:r w:rsidRPr="00CA2123">
        <w:rPr>
          <w:rFonts w:asciiTheme="minorHAnsi" w:hAnsiTheme="minorHAnsi" w:cs="Arial CE"/>
          <w:b/>
          <w:sz w:val="20"/>
          <w:szCs w:val="20"/>
          <w:u w:val="none"/>
        </w:rPr>
        <w:t>.</w:t>
      </w:r>
    </w:p>
    <w:p w14:paraId="0D90DD3B" w14:textId="1B30D29E" w:rsidR="008D34DD" w:rsidRDefault="008D34DD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3B0CBE5B" w14:textId="77777777" w:rsidR="00AE354A" w:rsidRDefault="00AE354A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761D54B0" w14:textId="5BB59B20" w:rsidR="001F1A15" w:rsidRDefault="001F1A15" w:rsidP="001F1A15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Závěrečná ustanovení</w:t>
      </w:r>
    </w:p>
    <w:p w14:paraId="610D0D90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257B692C" w14:textId="72689A6D" w:rsidR="001F1A15" w:rsidRPr="00CA2123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u w:val="none"/>
        </w:rPr>
        <w:t>T</w:t>
      </w:r>
      <w:r w:rsidR="008D34DD" w:rsidRPr="001F1A15">
        <w:rPr>
          <w:sz w:val="20"/>
          <w:szCs w:val="20"/>
          <w:u w:val="none"/>
        </w:rPr>
        <w:t>ento dodatek je vyhotoven ve </w:t>
      </w:r>
      <w:r w:rsidR="003B6F65" w:rsidRPr="001F1A15">
        <w:rPr>
          <w:sz w:val="20"/>
          <w:szCs w:val="20"/>
          <w:u w:val="none"/>
        </w:rPr>
        <w:t>třech</w:t>
      </w:r>
      <w:r w:rsidR="008D34DD" w:rsidRPr="001F1A15">
        <w:rPr>
          <w:sz w:val="20"/>
          <w:szCs w:val="20"/>
          <w:u w:val="none"/>
        </w:rPr>
        <w:t xml:space="preserve"> </w:t>
      </w:r>
      <w:r w:rsidR="00ED3ED3" w:rsidRPr="001F1A15">
        <w:rPr>
          <w:sz w:val="20"/>
          <w:szCs w:val="20"/>
          <w:u w:val="none"/>
        </w:rPr>
        <w:t xml:space="preserve">(3) </w:t>
      </w:r>
      <w:r w:rsidR="008D34DD" w:rsidRPr="001F1A15">
        <w:rPr>
          <w:sz w:val="20"/>
          <w:szCs w:val="20"/>
          <w:u w:val="none"/>
        </w:rPr>
        <w:t>stejnopisech, z nich</w:t>
      </w:r>
      <w:r w:rsidR="00697DB2" w:rsidRPr="001F1A15">
        <w:rPr>
          <w:sz w:val="20"/>
          <w:szCs w:val="20"/>
          <w:u w:val="none"/>
        </w:rPr>
        <w:t xml:space="preserve">ž každý má platnost originálu a </w:t>
      </w:r>
      <w:r w:rsidR="008D34DD" w:rsidRPr="001F1A15">
        <w:rPr>
          <w:sz w:val="20"/>
          <w:szCs w:val="20"/>
          <w:u w:val="none"/>
        </w:rPr>
        <w:t xml:space="preserve">objednatel obdrží </w:t>
      </w:r>
      <w:r w:rsidR="003B6F65" w:rsidRPr="001F1A15">
        <w:rPr>
          <w:sz w:val="20"/>
          <w:szCs w:val="20"/>
          <w:u w:val="none"/>
        </w:rPr>
        <w:t xml:space="preserve">dvě </w:t>
      </w:r>
      <w:r w:rsidR="008D34DD" w:rsidRPr="001F1A15">
        <w:rPr>
          <w:sz w:val="20"/>
          <w:szCs w:val="20"/>
          <w:u w:val="none"/>
        </w:rPr>
        <w:t>a zhotovitel jedno (1) vyhotovení.</w:t>
      </w:r>
    </w:p>
    <w:p w14:paraId="33F47211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709372F" w14:textId="3472D224" w:rsidR="001F1A15" w:rsidRDefault="008D34DD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rFonts w:asciiTheme="minorHAnsi" w:hAnsiTheme="minorHAnsi" w:cs="Arial"/>
          <w:sz w:val="20"/>
          <w:szCs w:val="20"/>
          <w:u w:val="none"/>
        </w:rPr>
        <w:t xml:space="preserve">Tento dodatek nabývá platnosti dnem jeho podpisu oběma smluvními stranami a </w:t>
      </w:r>
      <w:r w:rsidRPr="001F1A15">
        <w:rPr>
          <w:sz w:val="20"/>
          <w:szCs w:val="20"/>
          <w:u w:val="none"/>
        </w:rPr>
        <w:t>účinnosti dnem zveřejnění v registru smluv ve smyslu zákona č. 340/2015 Sb., o zvláštních podmínkách účinnost</w:t>
      </w:r>
      <w:r w:rsidR="00697DB2" w:rsidRPr="001F1A15">
        <w:rPr>
          <w:sz w:val="20"/>
          <w:szCs w:val="20"/>
          <w:u w:val="none"/>
        </w:rPr>
        <w:t>i</w:t>
      </w:r>
      <w:r w:rsidRPr="001F1A15">
        <w:rPr>
          <w:sz w:val="20"/>
          <w:szCs w:val="20"/>
          <w:u w:val="none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  <w:r w:rsidR="001F1A15">
        <w:rPr>
          <w:sz w:val="20"/>
          <w:szCs w:val="20"/>
          <w:u w:val="none"/>
        </w:rPr>
        <w:t xml:space="preserve"> </w:t>
      </w:r>
    </w:p>
    <w:p w14:paraId="258F90D4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</w:rPr>
      </w:pPr>
    </w:p>
    <w:p w14:paraId="6969FAC4" w14:textId="0FE6D53F" w:rsidR="001F1A15" w:rsidRPr="001F1A15" w:rsidRDefault="003C2E2A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sz w:val="20"/>
          <w:szCs w:val="20"/>
          <w:u w:val="none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592BC0C6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1482D9D" w14:textId="7B59E23C" w:rsidR="00727D3D" w:rsidRPr="001F1A15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sz w:val="20"/>
          <w:szCs w:val="20"/>
          <w:u w:val="none"/>
        </w:rPr>
        <w:t>O</w:t>
      </w:r>
      <w:r w:rsidR="003C2E2A" w:rsidRPr="001F1A15">
        <w:rPr>
          <w:sz w:val="20"/>
          <w:szCs w:val="20"/>
          <w:u w:val="none"/>
        </w:rPr>
        <w:t xml:space="preserve">statní ujednání původní Smlouvy </w:t>
      </w:r>
      <w:r w:rsidR="00EA7F81" w:rsidRPr="001F1A15">
        <w:rPr>
          <w:sz w:val="20"/>
          <w:szCs w:val="20"/>
          <w:u w:val="none"/>
        </w:rPr>
        <w:t xml:space="preserve">nedotčené </w:t>
      </w:r>
      <w:r w:rsidR="003C2E2A" w:rsidRPr="001F1A15">
        <w:rPr>
          <w:sz w:val="20"/>
          <w:szCs w:val="20"/>
          <w:u w:val="none"/>
        </w:rPr>
        <w:t xml:space="preserve">tímto dodatkem č. </w:t>
      </w:r>
      <w:r w:rsidR="00FA6AB4">
        <w:rPr>
          <w:sz w:val="20"/>
          <w:szCs w:val="20"/>
          <w:u w:val="none"/>
        </w:rPr>
        <w:t>4</w:t>
      </w:r>
      <w:r w:rsidR="003C2E2A" w:rsidRPr="001F1A15">
        <w:rPr>
          <w:sz w:val="20"/>
          <w:szCs w:val="20"/>
          <w:u w:val="none"/>
        </w:rPr>
        <w:t xml:space="preserve"> zůstávají v platnosti beze změn.</w:t>
      </w:r>
    </w:p>
    <w:p w14:paraId="5CD42A50" w14:textId="2C883DDF" w:rsidR="003C2E2A" w:rsidRPr="00822004" w:rsidRDefault="003C2E2A" w:rsidP="00682948">
      <w:pPr>
        <w:ind w:left="567" w:hanging="567"/>
      </w:pPr>
    </w:p>
    <w:p w14:paraId="7CBB569E" w14:textId="61CEC6E7" w:rsidR="00697DB2" w:rsidRDefault="00697DB2" w:rsidP="003C2E2A"/>
    <w:p w14:paraId="54B173C5" w14:textId="77777777" w:rsidR="00AE354A" w:rsidRPr="00822004" w:rsidRDefault="00AE354A" w:rsidP="003C2E2A"/>
    <w:p w14:paraId="52682EC8" w14:textId="0FD935F3" w:rsidR="003C2E2A" w:rsidRPr="00822004" w:rsidRDefault="00697DB2" w:rsidP="003C2E2A">
      <w:pPr>
        <w:rPr>
          <w:rFonts w:asciiTheme="minorHAnsi" w:hAnsiTheme="minorHAnsi" w:cstheme="minorHAnsi"/>
        </w:rPr>
      </w:pPr>
      <w:r w:rsidRPr="00822004">
        <w:rPr>
          <w:rFonts w:asciiTheme="minorHAnsi" w:hAnsiTheme="minorHAnsi" w:cstheme="minorHAnsi"/>
        </w:rPr>
        <w:t>V Kroměříži dne</w:t>
      </w:r>
      <w:r w:rsidR="00FF19AA">
        <w:rPr>
          <w:rFonts w:asciiTheme="minorHAnsi" w:hAnsiTheme="minorHAnsi" w:cstheme="minorHAnsi"/>
        </w:rPr>
        <w:t xml:space="preserve"> 23. 1. 2023</w:t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  <w:t>V</w:t>
      </w:r>
      <w:r w:rsidR="00727D3D" w:rsidRPr="00822004">
        <w:rPr>
          <w:rFonts w:asciiTheme="minorHAnsi" w:hAnsiTheme="minorHAnsi" w:cstheme="minorHAnsi"/>
        </w:rPr>
        <w:t xml:space="preserve"> </w:t>
      </w:r>
      <w:r w:rsidR="00934FE1">
        <w:rPr>
          <w:rFonts w:asciiTheme="minorHAnsi" w:hAnsiTheme="minorHAnsi" w:cstheme="minorHAnsi"/>
        </w:rPr>
        <w:t>Litoměřicích</w:t>
      </w:r>
      <w:r w:rsidR="00727D3D" w:rsidRPr="00822004">
        <w:rPr>
          <w:rFonts w:asciiTheme="minorHAnsi" w:hAnsiTheme="minorHAnsi" w:cstheme="minorHAnsi"/>
        </w:rPr>
        <w:t xml:space="preserve"> d</w:t>
      </w:r>
      <w:r w:rsidRPr="00822004">
        <w:rPr>
          <w:rFonts w:asciiTheme="minorHAnsi" w:hAnsiTheme="minorHAnsi" w:cstheme="minorHAnsi"/>
        </w:rPr>
        <w:t xml:space="preserve">ne </w:t>
      </w:r>
      <w:r w:rsidR="00FF19AA">
        <w:rPr>
          <w:rFonts w:asciiTheme="minorHAnsi" w:hAnsiTheme="minorHAnsi" w:cstheme="minorHAnsi"/>
        </w:rPr>
        <w:t>20. 1. 2023</w:t>
      </w:r>
    </w:p>
    <w:p w14:paraId="112B530A" w14:textId="0972B355" w:rsidR="003C2E2A" w:rsidRPr="00822004" w:rsidRDefault="00697DB2" w:rsidP="003C2E2A">
      <w:pPr>
        <w:rPr>
          <w:rFonts w:ascii="Calibri" w:hAnsi="Calibri"/>
        </w:rPr>
      </w:pPr>
      <w:r w:rsidRPr="00822004">
        <w:rPr>
          <w:rFonts w:ascii="Calibri" w:hAnsi="Calibri"/>
        </w:rPr>
        <w:t>Za objednatele: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="003C2E2A" w:rsidRPr="00822004">
        <w:rPr>
          <w:rFonts w:ascii="Calibri" w:hAnsi="Calibri"/>
        </w:rPr>
        <w:t xml:space="preserve">Za </w:t>
      </w:r>
      <w:r w:rsidRPr="00822004">
        <w:rPr>
          <w:rFonts w:ascii="Calibri" w:hAnsi="Calibri"/>
        </w:rPr>
        <w:t>zhotovitele</w:t>
      </w:r>
      <w:r w:rsidR="003C2E2A" w:rsidRPr="00822004">
        <w:rPr>
          <w:rFonts w:ascii="Calibri" w:hAnsi="Calibri"/>
        </w:rPr>
        <w:t>:</w:t>
      </w:r>
    </w:p>
    <w:p w14:paraId="461D6FD6" w14:textId="77777777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 xml:space="preserve">                                                                                             </w:t>
      </w:r>
    </w:p>
    <w:p w14:paraId="72585056" w14:textId="77777777" w:rsidR="003C2E2A" w:rsidRPr="00822004" w:rsidRDefault="003C2E2A" w:rsidP="003C2E2A">
      <w:pPr>
        <w:rPr>
          <w:rFonts w:ascii="Calibri" w:hAnsi="Calibri"/>
        </w:rPr>
      </w:pPr>
    </w:p>
    <w:p w14:paraId="410EED27" w14:textId="77777777" w:rsidR="003C2E2A" w:rsidRPr="00822004" w:rsidRDefault="003C2E2A" w:rsidP="003C2E2A">
      <w:pPr>
        <w:rPr>
          <w:rFonts w:ascii="Calibri" w:hAnsi="Calibri"/>
        </w:rPr>
      </w:pPr>
    </w:p>
    <w:p w14:paraId="0C0D7885" w14:textId="77777777" w:rsidR="00697DB2" w:rsidRPr="00822004" w:rsidRDefault="00697DB2" w:rsidP="003C2E2A">
      <w:pPr>
        <w:rPr>
          <w:rFonts w:ascii="Calibri" w:hAnsi="Calibri"/>
        </w:rPr>
      </w:pPr>
    </w:p>
    <w:p w14:paraId="74ACB905" w14:textId="77777777" w:rsidR="003C2E2A" w:rsidRDefault="003C2E2A" w:rsidP="003C2E2A">
      <w:pPr>
        <w:rPr>
          <w:rFonts w:ascii="Calibri" w:hAnsi="Calibri"/>
        </w:rPr>
      </w:pPr>
    </w:p>
    <w:p w14:paraId="0DA76106" w14:textId="77777777" w:rsidR="00CA2123" w:rsidRPr="00822004" w:rsidRDefault="00CA2123" w:rsidP="003C2E2A">
      <w:pPr>
        <w:rPr>
          <w:rFonts w:ascii="Calibri" w:hAnsi="Calibri"/>
        </w:rPr>
      </w:pPr>
    </w:p>
    <w:p w14:paraId="2142FC70" w14:textId="674AC194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>……………………………</w:t>
      </w:r>
      <w:r w:rsidR="00697DB2" w:rsidRPr="00822004">
        <w:rPr>
          <w:rFonts w:ascii="Calibri" w:hAnsi="Calibri"/>
        </w:rPr>
        <w:t>………..</w:t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1F1A15">
        <w:rPr>
          <w:rFonts w:ascii="Calibri" w:hAnsi="Calibri"/>
        </w:rPr>
        <w:tab/>
      </w:r>
      <w:r w:rsidRPr="00822004">
        <w:rPr>
          <w:rFonts w:ascii="Calibri" w:hAnsi="Calibri"/>
        </w:rPr>
        <w:t xml:space="preserve">……………………………………                                </w:t>
      </w:r>
    </w:p>
    <w:p w14:paraId="21DB25D6" w14:textId="0BDFC620" w:rsidR="003C2E2A" w:rsidRPr="00822004" w:rsidRDefault="006763C1" w:rsidP="00697DB2">
      <w:pPr>
        <w:rPr>
          <w:rFonts w:ascii="Calibri" w:hAnsi="Calibri"/>
          <w:b/>
          <w:bCs/>
        </w:rPr>
      </w:pPr>
      <w:r w:rsidRPr="00822004">
        <w:rPr>
          <w:rFonts w:ascii="Calibri" w:hAnsi="Calibri"/>
          <w:b/>
          <w:bCs/>
        </w:rPr>
        <w:t xml:space="preserve">Ing. </w:t>
      </w:r>
      <w:r w:rsidR="00697DB2" w:rsidRPr="00822004">
        <w:rPr>
          <w:rFonts w:ascii="Calibri" w:hAnsi="Calibri"/>
          <w:b/>
          <w:bCs/>
        </w:rPr>
        <w:t>Petr Šubík</w:t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FF19AA">
        <w:rPr>
          <w:rFonts w:ascii="Calibri" w:hAnsi="Calibri"/>
          <w:b/>
          <w:bCs/>
        </w:rPr>
        <w:t>xxxxxxxxxxxxxxxxxx</w:t>
      </w:r>
      <w:bookmarkStart w:id="2" w:name="_GoBack"/>
      <w:bookmarkEnd w:id="2"/>
    </w:p>
    <w:p w14:paraId="4B82F622" w14:textId="1F72AA9A" w:rsidR="00E024F4" w:rsidRPr="00822004" w:rsidRDefault="00697DB2" w:rsidP="00BD29F4">
      <w:pPr>
        <w:rPr>
          <w:rFonts w:ascii="Calibri" w:hAnsi="Calibri"/>
          <w:bCs/>
        </w:rPr>
      </w:pPr>
      <w:r w:rsidRPr="00822004">
        <w:rPr>
          <w:rFonts w:ascii="Calibri" w:hAnsi="Calibri"/>
        </w:rPr>
        <w:t>ředitel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  <w:t>jednatel</w:t>
      </w:r>
    </w:p>
    <w:sectPr w:rsidR="00E024F4" w:rsidRPr="00822004" w:rsidSect="00B922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5A5C" w14:textId="77777777" w:rsidR="00510AFE" w:rsidRDefault="00510AFE">
      <w:r>
        <w:separator/>
      </w:r>
    </w:p>
  </w:endnote>
  <w:endnote w:type="continuationSeparator" w:id="0">
    <w:p w14:paraId="689164F4" w14:textId="77777777" w:rsidR="00510AFE" w:rsidRDefault="005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545C4F91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FF19AA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FF19AA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1A05" w14:textId="77777777" w:rsidR="00510AFE" w:rsidRDefault="00510AFE">
      <w:r>
        <w:separator/>
      </w:r>
    </w:p>
  </w:footnote>
  <w:footnote w:type="continuationSeparator" w:id="0">
    <w:p w14:paraId="2EFE50A4" w14:textId="77777777" w:rsidR="00510AFE" w:rsidRDefault="0051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54431E"/>
    <w:multiLevelType w:val="hybridMultilevel"/>
    <w:tmpl w:val="A790BAF8"/>
    <w:lvl w:ilvl="0" w:tplc="E3968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2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41B0BC8"/>
    <w:multiLevelType w:val="hybridMultilevel"/>
    <w:tmpl w:val="736C845A"/>
    <w:lvl w:ilvl="0" w:tplc="2F064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4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4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"/>
  </w:num>
  <w:num w:numId="23">
    <w:abstractNumId w:val="19"/>
  </w:num>
  <w:num w:numId="24">
    <w:abstractNumId w:val="18"/>
  </w:num>
  <w:num w:numId="25">
    <w:abstractNumId w:val="0"/>
  </w:num>
  <w:num w:numId="26">
    <w:abstractNumId w:val="33"/>
  </w:num>
  <w:num w:numId="27">
    <w:abstractNumId w:val="15"/>
  </w:num>
  <w:num w:numId="28">
    <w:abstractNumId w:val="9"/>
  </w:num>
  <w:num w:numId="29">
    <w:abstractNumId w:val="26"/>
  </w:num>
  <w:num w:numId="30">
    <w:abstractNumId w:val="14"/>
  </w:num>
  <w:num w:numId="31">
    <w:abstractNumId w:val="6"/>
  </w:num>
  <w:num w:numId="32">
    <w:abstractNumId w:val="5"/>
  </w:num>
  <w:num w:numId="33">
    <w:abstractNumId w:val="21"/>
  </w:num>
  <w:num w:numId="34">
    <w:abstractNumId w:val="31"/>
  </w:num>
  <w:num w:numId="35">
    <w:abstractNumId w:val="12"/>
  </w:num>
  <w:num w:numId="36">
    <w:abstractNumId w:val="23"/>
  </w:num>
  <w:num w:numId="37">
    <w:abstractNumId w:val="29"/>
  </w:num>
  <w:num w:numId="38">
    <w:abstractNumId w:val="3"/>
  </w:num>
  <w:num w:numId="39">
    <w:abstractNumId w:val="22"/>
  </w:num>
  <w:num w:numId="40">
    <w:abstractNumId w:val="2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5199"/>
    <w:rsid w:val="000058C8"/>
    <w:rsid w:val="00005BFC"/>
    <w:rsid w:val="000160CF"/>
    <w:rsid w:val="00027ABE"/>
    <w:rsid w:val="0003394B"/>
    <w:rsid w:val="00034DE4"/>
    <w:rsid w:val="00035493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82F"/>
    <w:rsid w:val="00083D9E"/>
    <w:rsid w:val="000879AF"/>
    <w:rsid w:val="00090C58"/>
    <w:rsid w:val="00091AA7"/>
    <w:rsid w:val="000938E4"/>
    <w:rsid w:val="00097419"/>
    <w:rsid w:val="000A0A5A"/>
    <w:rsid w:val="000B43EE"/>
    <w:rsid w:val="000B5EFC"/>
    <w:rsid w:val="000D5585"/>
    <w:rsid w:val="000E7A39"/>
    <w:rsid w:val="000E7DD1"/>
    <w:rsid w:val="00114D04"/>
    <w:rsid w:val="00116028"/>
    <w:rsid w:val="00117066"/>
    <w:rsid w:val="00126F57"/>
    <w:rsid w:val="0013068F"/>
    <w:rsid w:val="001320E5"/>
    <w:rsid w:val="00142A0F"/>
    <w:rsid w:val="00142F81"/>
    <w:rsid w:val="001530CA"/>
    <w:rsid w:val="00155114"/>
    <w:rsid w:val="00163959"/>
    <w:rsid w:val="0016559B"/>
    <w:rsid w:val="00193314"/>
    <w:rsid w:val="00193777"/>
    <w:rsid w:val="001A5996"/>
    <w:rsid w:val="001A73D0"/>
    <w:rsid w:val="001A7AD1"/>
    <w:rsid w:val="001B1ADB"/>
    <w:rsid w:val="001B33B7"/>
    <w:rsid w:val="001C0F98"/>
    <w:rsid w:val="001C4FC0"/>
    <w:rsid w:val="001C56ED"/>
    <w:rsid w:val="001D1835"/>
    <w:rsid w:val="001D24B1"/>
    <w:rsid w:val="001E21F3"/>
    <w:rsid w:val="001E6276"/>
    <w:rsid w:val="001F1A15"/>
    <w:rsid w:val="001F5102"/>
    <w:rsid w:val="001F6E31"/>
    <w:rsid w:val="002014A6"/>
    <w:rsid w:val="002037C9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B9C"/>
    <w:rsid w:val="00242B67"/>
    <w:rsid w:val="00243DD2"/>
    <w:rsid w:val="00251484"/>
    <w:rsid w:val="002579F1"/>
    <w:rsid w:val="00265B34"/>
    <w:rsid w:val="00270D9D"/>
    <w:rsid w:val="00274D46"/>
    <w:rsid w:val="00283916"/>
    <w:rsid w:val="00290735"/>
    <w:rsid w:val="00295360"/>
    <w:rsid w:val="002A297C"/>
    <w:rsid w:val="002B02BF"/>
    <w:rsid w:val="002C7F89"/>
    <w:rsid w:val="002D3A87"/>
    <w:rsid w:val="002D3B22"/>
    <w:rsid w:val="002E3FCF"/>
    <w:rsid w:val="002E50A6"/>
    <w:rsid w:val="002E554D"/>
    <w:rsid w:val="002F6396"/>
    <w:rsid w:val="002F6C8B"/>
    <w:rsid w:val="002F7783"/>
    <w:rsid w:val="003143A1"/>
    <w:rsid w:val="003156A6"/>
    <w:rsid w:val="003256B8"/>
    <w:rsid w:val="00330437"/>
    <w:rsid w:val="00332518"/>
    <w:rsid w:val="00334E52"/>
    <w:rsid w:val="00351A2C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C462F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26A23"/>
    <w:rsid w:val="00431E58"/>
    <w:rsid w:val="00432462"/>
    <w:rsid w:val="00434B72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E74A4"/>
    <w:rsid w:val="004F35E1"/>
    <w:rsid w:val="00502CD6"/>
    <w:rsid w:val="00510AFE"/>
    <w:rsid w:val="00511892"/>
    <w:rsid w:val="00512701"/>
    <w:rsid w:val="00513B35"/>
    <w:rsid w:val="00515DB7"/>
    <w:rsid w:val="00515F6C"/>
    <w:rsid w:val="0052009E"/>
    <w:rsid w:val="00536E85"/>
    <w:rsid w:val="00543F60"/>
    <w:rsid w:val="005549EF"/>
    <w:rsid w:val="005558D1"/>
    <w:rsid w:val="00555EBB"/>
    <w:rsid w:val="00557C18"/>
    <w:rsid w:val="00557C55"/>
    <w:rsid w:val="0056194E"/>
    <w:rsid w:val="00564BE0"/>
    <w:rsid w:val="00572F3E"/>
    <w:rsid w:val="0057541C"/>
    <w:rsid w:val="00576181"/>
    <w:rsid w:val="00580F0B"/>
    <w:rsid w:val="00581502"/>
    <w:rsid w:val="00581CAA"/>
    <w:rsid w:val="00581D92"/>
    <w:rsid w:val="00581E81"/>
    <w:rsid w:val="00582F8F"/>
    <w:rsid w:val="00583A1C"/>
    <w:rsid w:val="00584232"/>
    <w:rsid w:val="00584709"/>
    <w:rsid w:val="00592805"/>
    <w:rsid w:val="00594667"/>
    <w:rsid w:val="00596BE4"/>
    <w:rsid w:val="00597388"/>
    <w:rsid w:val="005A1A88"/>
    <w:rsid w:val="005A2658"/>
    <w:rsid w:val="005C7733"/>
    <w:rsid w:val="005D08D2"/>
    <w:rsid w:val="005D72BD"/>
    <w:rsid w:val="005E7DE5"/>
    <w:rsid w:val="00601616"/>
    <w:rsid w:val="00601AD2"/>
    <w:rsid w:val="00620192"/>
    <w:rsid w:val="0062246F"/>
    <w:rsid w:val="006244BD"/>
    <w:rsid w:val="00625DB3"/>
    <w:rsid w:val="006275A1"/>
    <w:rsid w:val="0063141B"/>
    <w:rsid w:val="00634A56"/>
    <w:rsid w:val="00641F42"/>
    <w:rsid w:val="00646A98"/>
    <w:rsid w:val="0066521D"/>
    <w:rsid w:val="00674F87"/>
    <w:rsid w:val="0067580D"/>
    <w:rsid w:val="006763C1"/>
    <w:rsid w:val="006815A8"/>
    <w:rsid w:val="00682948"/>
    <w:rsid w:val="00683EA8"/>
    <w:rsid w:val="00685D30"/>
    <w:rsid w:val="00691596"/>
    <w:rsid w:val="006933E6"/>
    <w:rsid w:val="006953D0"/>
    <w:rsid w:val="00697DB2"/>
    <w:rsid w:val="006A2A3F"/>
    <w:rsid w:val="006A37A7"/>
    <w:rsid w:val="006B0243"/>
    <w:rsid w:val="006B3A2A"/>
    <w:rsid w:val="006B7B82"/>
    <w:rsid w:val="006C4BF3"/>
    <w:rsid w:val="006D17C2"/>
    <w:rsid w:val="006D2408"/>
    <w:rsid w:val="006D5B05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1E67"/>
    <w:rsid w:val="007D3DD2"/>
    <w:rsid w:val="007D4444"/>
    <w:rsid w:val="007E702B"/>
    <w:rsid w:val="007F75DA"/>
    <w:rsid w:val="00811C14"/>
    <w:rsid w:val="00821453"/>
    <w:rsid w:val="00821BD4"/>
    <w:rsid w:val="00822004"/>
    <w:rsid w:val="00831890"/>
    <w:rsid w:val="00837883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4B63"/>
    <w:rsid w:val="008A07CD"/>
    <w:rsid w:val="008A0BAC"/>
    <w:rsid w:val="008A1412"/>
    <w:rsid w:val="008A358C"/>
    <w:rsid w:val="008A62D0"/>
    <w:rsid w:val="008A6566"/>
    <w:rsid w:val="008A7613"/>
    <w:rsid w:val="008B4F70"/>
    <w:rsid w:val="008B6B77"/>
    <w:rsid w:val="008C1209"/>
    <w:rsid w:val="008C3210"/>
    <w:rsid w:val="008C4DAD"/>
    <w:rsid w:val="008D0559"/>
    <w:rsid w:val="008D34DD"/>
    <w:rsid w:val="008D404C"/>
    <w:rsid w:val="008D45DB"/>
    <w:rsid w:val="008D7E87"/>
    <w:rsid w:val="008F5128"/>
    <w:rsid w:val="00905AF0"/>
    <w:rsid w:val="009128A6"/>
    <w:rsid w:val="00932101"/>
    <w:rsid w:val="00934FE1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75826"/>
    <w:rsid w:val="00975DE7"/>
    <w:rsid w:val="0098191F"/>
    <w:rsid w:val="0098453D"/>
    <w:rsid w:val="009862EF"/>
    <w:rsid w:val="00987570"/>
    <w:rsid w:val="00992943"/>
    <w:rsid w:val="009A580A"/>
    <w:rsid w:val="009B2A23"/>
    <w:rsid w:val="009B5F4D"/>
    <w:rsid w:val="009C05FA"/>
    <w:rsid w:val="009D3D70"/>
    <w:rsid w:val="009D6B41"/>
    <w:rsid w:val="009E75E3"/>
    <w:rsid w:val="009F2CC7"/>
    <w:rsid w:val="009F536B"/>
    <w:rsid w:val="009F5B3B"/>
    <w:rsid w:val="009F7669"/>
    <w:rsid w:val="00A05AA7"/>
    <w:rsid w:val="00A12E7A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906C6"/>
    <w:rsid w:val="00A91AA9"/>
    <w:rsid w:val="00A92026"/>
    <w:rsid w:val="00A92553"/>
    <w:rsid w:val="00A97149"/>
    <w:rsid w:val="00AA09CD"/>
    <w:rsid w:val="00AB6196"/>
    <w:rsid w:val="00AB6DBD"/>
    <w:rsid w:val="00AD428B"/>
    <w:rsid w:val="00AE354A"/>
    <w:rsid w:val="00AE72BA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7333C"/>
    <w:rsid w:val="00B7774D"/>
    <w:rsid w:val="00B8054C"/>
    <w:rsid w:val="00B80AE5"/>
    <w:rsid w:val="00B8566D"/>
    <w:rsid w:val="00B85D23"/>
    <w:rsid w:val="00B876C3"/>
    <w:rsid w:val="00B90039"/>
    <w:rsid w:val="00B922ED"/>
    <w:rsid w:val="00BA4BFA"/>
    <w:rsid w:val="00BA55DA"/>
    <w:rsid w:val="00BB29EE"/>
    <w:rsid w:val="00BB47A1"/>
    <w:rsid w:val="00BB5FDE"/>
    <w:rsid w:val="00BB6108"/>
    <w:rsid w:val="00BC0B54"/>
    <w:rsid w:val="00BD29F4"/>
    <w:rsid w:val="00BD39BE"/>
    <w:rsid w:val="00BD41B1"/>
    <w:rsid w:val="00BD4CA6"/>
    <w:rsid w:val="00BD7EC1"/>
    <w:rsid w:val="00BE16B7"/>
    <w:rsid w:val="00BE2EB7"/>
    <w:rsid w:val="00BE5FAF"/>
    <w:rsid w:val="00C04D0C"/>
    <w:rsid w:val="00C051EA"/>
    <w:rsid w:val="00C15FDD"/>
    <w:rsid w:val="00C225DF"/>
    <w:rsid w:val="00C24C99"/>
    <w:rsid w:val="00C269E5"/>
    <w:rsid w:val="00C26CEA"/>
    <w:rsid w:val="00C3050B"/>
    <w:rsid w:val="00C314FE"/>
    <w:rsid w:val="00C3618B"/>
    <w:rsid w:val="00C3743D"/>
    <w:rsid w:val="00C4329C"/>
    <w:rsid w:val="00C43656"/>
    <w:rsid w:val="00C46B72"/>
    <w:rsid w:val="00C53E02"/>
    <w:rsid w:val="00C743F4"/>
    <w:rsid w:val="00C8245F"/>
    <w:rsid w:val="00C85184"/>
    <w:rsid w:val="00C860EB"/>
    <w:rsid w:val="00C91794"/>
    <w:rsid w:val="00C92C3A"/>
    <w:rsid w:val="00C93E84"/>
    <w:rsid w:val="00CA2123"/>
    <w:rsid w:val="00CA330F"/>
    <w:rsid w:val="00CA4E26"/>
    <w:rsid w:val="00CA775F"/>
    <w:rsid w:val="00CB2255"/>
    <w:rsid w:val="00CB26D2"/>
    <w:rsid w:val="00CB41D2"/>
    <w:rsid w:val="00CB6A93"/>
    <w:rsid w:val="00CB78B6"/>
    <w:rsid w:val="00CC647F"/>
    <w:rsid w:val="00CC6D1A"/>
    <w:rsid w:val="00CD77B0"/>
    <w:rsid w:val="00CE4D78"/>
    <w:rsid w:val="00CE518C"/>
    <w:rsid w:val="00CE6B65"/>
    <w:rsid w:val="00CF48FB"/>
    <w:rsid w:val="00CF5B7D"/>
    <w:rsid w:val="00CF5BAC"/>
    <w:rsid w:val="00CF6AA0"/>
    <w:rsid w:val="00CF7767"/>
    <w:rsid w:val="00CF7ABE"/>
    <w:rsid w:val="00D00747"/>
    <w:rsid w:val="00D10ADE"/>
    <w:rsid w:val="00D1354F"/>
    <w:rsid w:val="00D205D3"/>
    <w:rsid w:val="00D20656"/>
    <w:rsid w:val="00D232CC"/>
    <w:rsid w:val="00D25FE9"/>
    <w:rsid w:val="00D26356"/>
    <w:rsid w:val="00D27F2D"/>
    <w:rsid w:val="00D30CBC"/>
    <w:rsid w:val="00D350EC"/>
    <w:rsid w:val="00D404A6"/>
    <w:rsid w:val="00D47137"/>
    <w:rsid w:val="00D54E5D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DF19EA"/>
    <w:rsid w:val="00E02450"/>
    <w:rsid w:val="00E024F4"/>
    <w:rsid w:val="00E03B43"/>
    <w:rsid w:val="00E140C4"/>
    <w:rsid w:val="00E21DCF"/>
    <w:rsid w:val="00E33B50"/>
    <w:rsid w:val="00E34FF3"/>
    <w:rsid w:val="00E55594"/>
    <w:rsid w:val="00E573F6"/>
    <w:rsid w:val="00E636B0"/>
    <w:rsid w:val="00E73DE5"/>
    <w:rsid w:val="00E74093"/>
    <w:rsid w:val="00E8381C"/>
    <w:rsid w:val="00E84EA0"/>
    <w:rsid w:val="00E86235"/>
    <w:rsid w:val="00E876DC"/>
    <w:rsid w:val="00E901C0"/>
    <w:rsid w:val="00EA7F81"/>
    <w:rsid w:val="00EB3876"/>
    <w:rsid w:val="00EB4DF5"/>
    <w:rsid w:val="00EC038E"/>
    <w:rsid w:val="00EC3976"/>
    <w:rsid w:val="00EC6C6B"/>
    <w:rsid w:val="00ED0500"/>
    <w:rsid w:val="00ED207D"/>
    <w:rsid w:val="00ED2C51"/>
    <w:rsid w:val="00ED3ED3"/>
    <w:rsid w:val="00ED5C80"/>
    <w:rsid w:val="00EE2F3B"/>
    <w:rsid w:val="00EE366E"/>
    <w:rsid w:val="00EE5738"/>
    <w:rsid w:val="00EE675C"/>
    <w:rsid w:val="00EE6B0A"/>
    <w:rsid w:val="00EF0C7B"/>
    <w:rsid w:val="00EF391F"/>
    <w:rsid w:val="00EF5524"/>
    <w:rsid w:val="00EF6E88"/>
    <w:rsid w:val="00EF74E6"/>
    <w:rsid w:val="00EF7C25"/>
    <w:rsid w:val="00F00677"/>
    <w:rsid w:val="00F0384D"/>
    <w:rsid w:val="00F11A69"/>
    <w:rsid w:val="00F13FC1"/>
    <w:rsid w:val="00F14AA8"/>
    <w:rsid w:val="00F14E33"/>
    <w:rsid w:val="00F1770E"/>
    <w:rsid w:val="00F25A4F"/>
    <w:rsid w:val="00F27095"/>
    <w:rsid w:val="00F340B3"/>
    <w:rsid w:val="00F37C88"/>
    <w:rsid w:val="00F40883"/>
    <w:rsid w:val="00F44FFF"/>
    <w:rsid w:val="00F47C62"/>
    <w:rsid w:val="00F5060F"/>
    <w:rsid w:val="00F5196C"/>
    <w:rsid w:val="00F56255"/>
    <w:rsid w:val="00F61315"/>
    <w:rsid w:val="00F845B3"/>
    <w:rsid w:val="00F876AB"/>
    <w:rsid w:val="00F9300F"/>
    <w:rsid w:val="00FA1BDB"/>
    <w:rsid w:val="00FA6AB4"/>
    <w:rsid w:val="00FB06F1"/>
    <w:rsid w:val="00FB260D"/>
    <w:rsid w:val="00FB2824"/>
    <w:rsid w:val="00FB6B62"/>
    <w:rsid w:val="00FC3967"/>
    <w:rsid w:val="00FC5371"/>
    <w:rsid w:val="00FC5C70"/>
    <w:rsid w:val="00FC7BA8"/>
    <w:rsid w:val="00FD2ED3"/>
    <w:rsid w:val="00FD42ED"/>
    <w:rsid w:val="00FD660A"/>
    <w:rsid w:val="00FE5B55"/>
    <w:rsid w:val="00FE65E2"/>
    <w:rsid w:val="00FF13A1"/>
    <w:rsid w:val="00FF19AA"/>
    <w:rsid w:val="00FF46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Import3">
    <w:name w:val="Import 3"/>
    <w:basedOn w:val="Normln"/>
    <w:rsid w:val="00F0067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Times New Roman" w:hAnsi="Courier New" w:cs="Times New Roman"/>
      <w:sz w:val="24"/>
      <w:lang w:eastAsia="cs-CZ"/>
    </w:rPr>
  </w:style>
  <w:style w:type="paragraph" w:styleId="Normlnweb">
    <w:name w:val="Normal (Web)"/>
    <w:basedOn w:val="Normln"/>
    <w:uiPriority w:val="99"/>
    <w:rsid w:val="00F845B3"/>
    <w:pPr>
      <w:spacing w:before="100" w:beforeAutospacing="1" w:after="100" w:afterAutospacing="1"/>
      <w:ind w:left="703" w:hanging="567"/>
      <w:jc w:val="left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in.d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2724-2610-4B99-AC88-6C65E5AA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2023-02-07T08:56:00Z</dcterms:created>
  <dcterms:modified xsi:type="dcterms:W3CDTF">2023-02-07T08:56:00Z</dcterms:modified>
</cp:coreProperties>
</file>