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F2" w:rsidRDefault="00E146F2" w:rsidP="00997604">
      <w:pPr>
        <w:spacing w:line="205" w:lineRule="exact"/>
        <w:jc w:val="both"/>
        <w:rPr>
          <w:sz w:val="24"/>
          <w:szCs w:val="24"/>
        </w:rPr>
      </w:pPr>
    </w:p>
    <w:p w:rsidR="00E146F2" w:rsidRDefault="00536AE5" w:rsidP="00997604">
      <w:pPr>
        <w:jc w:val="both"/>
        <w:rPr>
          <w:sz w:val="20"/>
          <w:szCs w:val="20"/>
        </w:rPr>
      </w:pPr>
      <w:r>
        <w:rPr>
          <w:rFonts w:ascii="Arial" w:eastAsia="Arial" w:hAnsi="Arial" w:cs="Arial"/>
          <w:b/>
          <w:bCs/>
          <w:sz w:val="24"/>
          <w:szCs w:val="24"/>
        </w:rPr>
        <w:t>Specifikace předmětu plnění</w:t>
      </w:r>
    </w:p>
    <w:p w:rsidR="00E146F2" w:rsidRDefault="00E146F2" w:rsidP="00997604">
      <w:pPr>
        <w:spacing w:line="122" w:lineRule="exact"/>
        <w:jc w:val="both"/>
        <w:rPr>
          <w:sz w:val="24"/>
          <w:szCs w:val="24"/>
        </w:rPr>
      </w:pPr>
    </w:p>
    <w:p w:rsidR="00E146F2" w:rsidRDefault="00536AE5" w:rsidP="00997604">
      <w:pPr>
        <w:jc w:val="both"/>
        <w:rPr>
          <w:sz w:val="20"/>
          <w:szCs w:val="20"/>
        </w:rPr>
      </w:pPr>
      <w:r>
        <w:rPr>
          <w:rFonts w:ascii="Arial" w:eastAsia="Arial" w:hAnsi="Arial" w:cs="Arial"/>
        </w:rPr>
        <w:t>Poskytovatel je povinen poskytovat objednateli tyto služby:</w:t>
      </w:r>
    </w:p>
    <w:p w:rsidR="00E146F2" w:rsidRDefault="00E146F2" w:rsidP="00997604">
      <w:pPr>
        <w:spacing w:line="121" w:lineRule="exact"/>
        <w:jc w:val="both"/>
        <w:rPr>
          <w:sz w:val="24"/>
          <w:szCs w:val="24"/>
        </w:rPr>
      </w:pPr>
    </w:p>
    <w:p w:rsidR="00E146F2" w:rsidRDefault="00536AE5" w:rsidP="00997604">
      <w:pPr>
        <w:numPr>
          <w:ilvl w:val="0"/>
          <w:numId w:val="1"/>
        </w:numPr>
        <w:tabs>
          <w:tab w:val="left" w:pos="840"/>
        </w:tabs>
        <w:ind w:left="840" w:hanging="416"/>
        <w:jc w:val="both"/>
        <w:rPr>
          <w:rFonts w:ascii="Arial" w:eastAsia="Arial" w:hAnsi="Arial" w:cs="Arial"/>
        </w:rPr>
      </w:pPr>
      <w:r>
        <w:rPr>
          <w:rFonts w:ascii="Arial" w:eastAsia="Arial" w:hAnsi="Arial" w:cs="Arial"/>
        </w:rPr>
        <w:t xml:space="preserve">fyzická ostraha objektu ve složení vždy </w:t>
      </w:r>
      <w:r w:rsidR="007848C3">
        <w:rPr>
          <w:rFonts w:ascii="Arial" w:eastAsia="Arial" w:hAnsi="Arial" w:cs="Arial"/>
        </w:rPr>
        <w:t>2</w:t>
      </w:r>
      <w:r w:rsidR="00997604">
        <w:rPr>
          <w:rFonts w:ascii="Arial" w:eastAsia="Arial" w:hAnsi="Arial" w:cs="Arial"/>
        </w:rPr>
        <w:t xml:space="preserve"> strážn</w:t>
      </w:r>
      <w:r w:rsidR="007848C3">
        <w:rPr>
          <w:rFonts w:ascii="Arial" w:eastAsia="Arial" w:hAnsi="Arial" w:cs="Arial"/>
        </w:rPr>
        <w:t>í</w:t>
      </w:r>
      <w:r>
        <w:rPr>
          <w:rFonts w:ascii="Arial" w:eastAsia="Arial" w:hAnsi="Arial" w:cs="Arial"/>
        </w:rPr>
        <w:t>;</w:t>
      </w:r>
    </w:p>
    <w:p w:rsidR="00E146F2" w:rsidRDefault="00E146F2" w:rsidP="00997604">
      <w:pPr>
        <w:spacing w:line="127" w:lineRule="exact"/>
        <w:jc w:val="both"/>
        <w:rPr>
          <w:rFonts w:ascii="Arial" w:eastAsia="Arial" w:hAnsi="Arial" w:cs="Arial"/>
        </w:rPr>
      </w:pPr>
    </w:p>
    <w:p w:rsidR="00E146F2" w:rsidRDefault="00536AE5" w:rsidP="00997604">
      <w:pPr>
        <w:numPr>
          <w:ilvl w:val="0"/>
          <w:numId w:val="1"/>
        </w:numPr>
        <w:tabs>
          <w:tab w:val="left" w:pos="840"/>
        </w:tabs>
        <w:spacing w:line="237" w:lineRule="auto"/>
        <w:ind w:left="840" w:right="20" w:hanging="416"/>
        <w:jc w:val="both"/>
        <w:rPr>
          <w:rFonts w:ascii="Arial" w:eastAsia="Arial" w:hAnsi="Arial" w:cs="Arial"/>
        </w:rPr>
      </w:pPr>
      <w:r>
        <w:rPr>
          <w:rFonts w:ascii="Arial" w:eastAsia="Arial" w:hAnsi="Arial" w:cs="Arial"/>
        </w:rPr>
        <w:t>kontrola oprávněnosti vstupu osob do objektu a případné zamezení jejich neoprávněného vstupu, povinnost zjištění totožnosti osoby, která není označena služebním průkazem, náhradním průkazem zaměstnance případně jiným obdobným průkazem určeným objednatelem;</w:t>
      </w:r>
    </w:p>
    <w:p w:rsidR="00E146F2" w:rsidRDefault="00E146F2" w:rsidP="00997604">
      <w:pPr>
        <w:spacing w:line="133" w:lineRule="exact"/>
        <w:jc w:val="both"/>
        <w:rPr>
          <w:rFonts w:ascii="Arial" w:eastAsia="Arial" w:hAnsi="Arial" w:cs="Arial"/>
        </w:rPr>
      </w:pPr>
    </w:p>
    <w:p w:rsidR="00E146F2" w:rsidRDefault="00536AE5" w:rsidP="00997604">
      <w:pPr>
        <w:numPr>
          <w:ilvl w:val="0"/>
          <w:numId w:val="1"/>
        </w:numPr>
        <w:tabs>
          <w:tab w:val="left" w:pos="840"/>
        </w:tabs>
        <w:spacing w:line="237" w:lineRule="auto"/>
        <w:ind w:left="840" w:right="20" w:hanging="419"/>
        <w:jc w:val="both"/>
        <w:rPr>
          <w:rFonts w:ascii="Arial" w:eastAsia="Arial" w:hAnsi="Arial" w:cs="Arial"/>
        </w:rPr>
      </w:pPr>
      <w:r>
        <w:rPr>
          <w:rFonts w:ascii="Arial" w:eastAsia="Arial" w:hAnsi="Arial" w:cs="Arial"/>
        </w:rPr>
        <w:t>vedení evidence příchodů a odchodů všech zaměstnanců objednatele, včetně zaměstnanců objednatele dislokovaných v objektu do/z objektu (dále jen „dislokovaný zaměstnanec“) (společně dále také jen „zaměstnanec objednatele“) zápisem do evidenční knihy.</w:t>
      </w:r>
    </w:p>
    <w:p w:rsidR="00E146F2" w:rsidRDefault="00E146F2" w:rsidP="00997604">
      <w:pPr>
        <w:spacing w:line="131" w:lineRule="exact"/>
        <w:jc w:val="both"/>
        <w:rPr>
          <w:rFonts w:ascii="Arial" w:eastAsia="Arial" w:hAnsi="Arial" w:cs="Arial"/>
        </w:rPr>
      </w:pPr>
    </w:p>
    <w:p w:rsidR="00E146F2" w:rsidRDefault="00536AE5" w:rsidP="00997604">
      <w:pPr>
        <w:spacing w:line="237" w:lineRule="auto"/>
        <w:ind w:left="840" w:right="20"/>
        <w:jc w:val="both"/>
        <w:rPr>
          <w:rFonts w:ascii="Arial" w:eastAsia="Arial" w:hAnsi="Arial" w:cs="Arial"/>
        </w:rPr>
      </w:pPr>
      <w:r>
        <w:rPr>
          <w:rFonts w:ascii="Arial" w:eastAsia="Arial" w:hAnsi="Arial" w:cs="Arial"/>
        </w:rPr>
        <w:t>Do evidenční knihy se uvádí následující údaje: jméno, příjmení, osobní číslo zaměstnance/dislokovaného zaměstnance nebo číslo občanského průkazu nebo pasu, časové údaje (datum, příchod, odchod).</w:t>
      </w:r>
    </w:p>
    <w:p w:rsidR="00E146F2" w:rsidRDefault="00E146F2" w:rsidP="00997604">
      <w:pPr>
        <w:spacing w:line="131" w:lineRule="exact"/>
        <w:jc w:val="both"/>
        <w:rPr>
          <w:rFonts w:ascii="Arial" w:eastAsia="Arial" w:hAnsi="Arial" w:cs="Arial"/>
        </w:rPr>
      </w:pPr>
    </w:p>
    <w:p w:rsidR="00E146F2" w:rsidRDefault="00536AE5" w:rsidP="00997604">
      <w:pPr>
        <w:spacing w:line="237" w:lineRule="auto"/>
        <w:ind w:left="840"/>
        <w:jc w:val="both"/>
        <w:rPr>
          <w:rFonts w:ascii="Arial" w:eastAsia="Arial" w:hAnsi="Arial" w:cs="Arial"/>
        </w:rPr>
      </w:pPr>
      <w:r>
        <w:rPr>
          <w:rFonts w:ascii="Arial" w:eastAsia="Arial" w:hAnsi="Arial" w:cs="Arial"/>
        </w:rPr>
        <w:t>V případě zaměstnance objednatele, který není dislokován v objektu, je strážný povinen telefonicky oznámit příchod a odchod takového zaměstnance objednatele dislokovanému zaměstnanci;</w:t>
      </w:r>
    </w:p>
    <w:p w:rsidR="00E146F2" w:rsidRDefault="00E146F2" w:rsidP="00997604">
      <w:pPr>
        <w:spacing w:line="128" w:lineRule="exact"/>
        <w:jc w:val="both"/>
        <w:rPr>
          <w:rFonts w:ascii="Arial" w:eastAsia="Arial" w:hAnsi="Arial" w:cs="Arial"/>
        </w:rPr>
      </w:pPr>
    </w:p>
    <w:p w:rsidR="00E146F2" w:rsidRDefault="00536AE5" w:rsidP="00997604">
      <w:pPr>
        <w:numPr>
          <w:ilvl w:val="0"/>
          <w:numId w:val="1"/>
        </w:numPr>
        <w:tabs>
          <w:tab w:val="left" w:pos="840"/>
        </w:tabs>
        <w:spacing w:line="235" w:lineRule="auto"/>
        <w:ind w:left="840" w:right="20" w:hanging="419"/>
        <w:jc w:val="both"/>
        <w:rPr>
          <w:rFonts w:ascii="Arial" w:eastAsia="Arial" w:hAnsi="Arial" w:cs="Arial"/>
        </w:rPr>
      </w:pPr>
      <w:r>
        <w:rPr>
          <w:rFonts w:ascii="Arial" w:eastAsia="Arial" w:hAnsi="Arial" w:cs="Arial"/>
        </w:rPr>
        <w:t>vedení evidence příchodů a odchodů ubytovaných osob do/z objektu zápisem do evidenční knihy;</w:t>
      </w:r>
    </w:p>
    <w:p w:rsidR="00E146F2" w:rsidRDefault="00E146F2" w:rsidP="00997604">
      <w:pPr>
        <w:spacing w:line="131" w:lineRule="exact"/>
        <w:jc w:val="both"/>
        <w:rPr>
          <w:sz w:val="24"/>
          <w:szCs w:val="24"/>
        </w:rPr>
      </w:pPr>
    </w:p>
    <w:p w:rsidR="00E146F2" w:rsidRDefault="00536AE5" w:rsidP="00997604">
      <w:pPr>
        <w:spacing w:line="235" w:lineRule="auto"/>
        <w:ind w:left="840" w:right="20"/>
        <w:jc w:val="both"/>
        <w:rPr>
          <w:sz w:val="20"/>
          <w:szCs w:val="20"/>
        </w:rPr>
      </w:pPr>
      <w:r>
        <w:rPr>
          <w:rFonts w:ascii="Arial" w:eastAsia="Arial" w:hAnsi="Arial" w:cs="Arial"/>
        </w:rPr>
        <w:t>Do evidenční knihy se uvádí následující údaje: jméno, příjmení ubytované osoby, číslo občanského průkazu nebo pasu, časové údaje (datum, příchod, odchod).</w:t>
      </w:r>
    </w:p>
    <w:p w:rsidR="00E146F2" w:rsidRDefault="00E146F2" w:rsidP="00997604">
      <w:pPr>
        <w:spacing w:line="131" w:lineRule="exact"/>
        <w:jc w:val="both"/>
        <w:rPr>
          <w:sz w:val="24"/>
          <w:szCs w:val="24"/>
        </w:rPr>
      </w:pPr>
    </w:p>
    <w:p w:rsidR="00E146F2" w:rsidRDefault="00536AE5" w:rsidP="00997604">
      <w:pPr>
        <w:tabs>
          <w:tab w:val="left" w:pos="820"/>
        </w:tabs>
        <w:spacing w:line="235" w:lineRule="auto"/>
        <w:ind w:left="840" w:right="20" w:hanging="419"/>
        <w:jc w:val="both"/>
        <w:rPr>
          <w:sz w:val="20"/>
          <w:szCs w:val="20"/>
        </w:rPr>
      </w:pPr>
      <w:r>
        <w:rPr>
          <w:rFonts w:ascii="Arial" w:eastAsia="Arial" w:hAnsi="Arial" w:cs="Arial"/>
        </w:rPr>
        <w:t>e)</w:t>
      </w:r>
      <w:r>
        <w:rPr>
          <w:sz w:val="20"/>
          <w:szCs w:val="20"/>
        </w:rPr>
        <w:tab/>
      </w:r>
      <w:r>
        <w:rPr>
          <w:rFonts w:ascii="Arial" w:eastAsia="Arial" w:hAnsi="Arial" w:cs="Arial"/>
        </w:rPr>
        <w:t>vedení evidence příchodů a odchodů návštěv včetně dodavatelů do/z objektu s výjimkou návštěv dle písm. f) tohoto odstavce.</w:t>
      </w:r>
    </w:p>
    <w:p w:rsidR="00E146F2" w:rsidRDefault="00E146F2" w:rsidP="00997604">
      <w:pPr>
        <w:spacing w:line="129" w:lineRule="exact"/>
        <w:jc w:val="both"/>
        <w:rPr>
          <w:sz w:val="24"/>
          <w:szCs w:val="24"/>
        </w:rPr>
      </w:pPr>
    </w:p>
    <w:p w:rsidR="00E146F2" w:rsidRDefault="00536AE5" w:rsidP="00997604">
      <w:pPr>
        <w:spacing w:line="239" w:lineRule="auto"/>
        <w:ind w:left="840"/>
        <w:jc w:val="both"/>
        <w:rPr>
          <w:sz w:val="20"/>
          <w:szCs w:val="20"/>
        </w:rPr>
      </w:pPr>
      <w:r>
        <w:rPr>
          <w:rFonts w:ascii="Arial" w:eastAsia="Arial" w:hAnsi="Arial" w:cs="Arial"/>
        </w:rPr>
        <w:t>Strážní telefonicky oznámí příchozí návštěvy dislokovanému zaměstnanci nebo ubytované osobě a provedou záznam do evidenční knihy. Návštěva je povinna k provedení záznamu předložit občanský průkaz, pas nebo jiný doklad totožnosti, který obsahuje jméno a příjmení, datum narození a průkazovou fotografii, s výjimkou osob, které jsou oprávněni vstupovat do objektu na základě vnitřního předpisu objednatele bez předložení průkazu totožnosti. Tento vnitřní předpis předá objednatel poskytovateli při podpisu smlouvy.</w:t>
      </w:r>
    </w:p>
    <w:p w:rsidR="00E146F2" w:rsidRDefault="00E146F2" w:rsidP="00997604">
      <w:pPr>
        <w:spacing w:line="128" w:lineRule="exact"/>
        <w:jc w:val="both"/>
        <w:rPr>
          <w:sz w:val="24"/>
          <w:szCs w:val="24"/>
        </w:rPr>
      </w:pPr>
    </w:p>
    <w:p w:rsidR="00E146F2" w:rsidRDefault="00536AE5" w:rsidP="00997604">
      <w:pPr>
        <w:spacing w:line="237" w:lineRule="auto"/>
        <w:ind w:left="840"/>
        <w:jc w:val="both"/>
        <w:rPr>
          <w:sz w:val="20"/>
          <w:szCs w:val="20"/>
        </w:rPr>
      </w:pPr>
      <w:r>
        <w:rPr>
          <w:rFonts w:ascii="Arial" w:eastAsia="Arial" w:hAnsi="Arial" w:cs="Arial"/>
        </w:rPr>
        <w:t>Do evidenční knihy se uvádí následující údaje: jméno, příjmení, číslo občanského průkazu nebo pasu, časové údaje (datum, příchod, odchod) a jméno navštíveného. Návštěvu přebere určený zaměstnanec nebo ubytovaná osoba, která zabezpečí její doprovod po celou dobu pohybu v objektu;</w:t>
      </w:r>
    </w:p>
    <w:p w:rsidR="00E146F2" w:rsidRDefault="00E146F2" w:rsidP="00997604">
      <w:pPr>
        <w:spacing w:line="134" w:lineRule="exact"/>
        <w:jc w:val="both"/>
        <w:rPr>
          <w:sz w:val="24"/>
          <w:szCs w:val="24"/>
        </w:rPr>
      </w:pPr>
    </w:p>
    <w:p w:rsidR="00E146F2" w:rsidRDefault="00536AE5" w:rsidP="00997604">
      <w:pPr>
        <w:numPr>
          <w:ilvl w:val="0"/>
          <w:numId w:val="2"/>
        </w:numPr>
        <w:tabs>
          <w:tab w:val="left" w:pos="840"/>
        </w:tabs>
        <w:spacing w:line="235" w:lineRule="auto"/>
        <w:ind w:left="840" w:right="20" w:hanging="416"/>
        <w:jc w:val="both"/>
        <w:rPr>
          <w:rFonts w:ascii="Arial" w:eastAsia="Arial" w:hAnsi="Arial" w:cs="Arial"/>
        </w:rPr>
      </w:pPr>
      <w:r>
        <w:rPr>
          <w:rFonts w:ascii="Arial" w:eastAsia="Arial" w:hAnsi="Arial" w:cs="Arial"/>
        </w:rPr>
        <w:t>vedení evidence příchodů a odchodů účastníků akcí, školení, seminářů a přednášek (dále jen „účastník akce“) do/z objektu.</w:t>
      </w:r>
    </w:p>
    <w:p w:rsidR="00E146F2" w:rsidRDefault="00E146F2" w:rsidP="00997604">
      <w:pPr>
        <w:spacing w:line="131" w:lineRule="exact"/>
        <w:jc w:val="both"/>
        <w:rPr>
          <w:rFonts w:ascii="Arial" w:eastAsia="Arial" w:hAnsi="Arial" w:cs="Arial"/>
        </w:rPr>
      </w:pPr>
    </w:p>
    <w:p w:rsidR="00E146F2" w:rsidRDefault="00536AE5" w:rsidP="00997604">
      <w:pPr>
        <w:spacing w:line="237" w:lineRule="auto"/>
        <w:ind w:left="840"/>
        <w:jc w:val="both"/>
        <w:rPr>
          <w:rFonts w:ascii="Arial" w:eastAsia="Arial" w:hAnsi="Arial" w:cs="Arial"/>
        </w:rPr>
      </w:pPr>
      <w:r>
        <w:rPr>
          <w:rFonts w:ascii="Arial" w:eastAsia="Arial" w:hAnsi="Arial" w:cs="Arial"/>
        </w:rPr>
        <w:t>Strážní provádí kontrolu oprávněnosti vstupu účastníků akce na základě Seznamu účastníků akce, který obdrželi od objednatele. Na seznamu účastníků akce objednatel uvede osobu odpovědnou za průběh akce včetně kontaktních údajů (telefonní číslo).</w:t>
      </w:r>
    </w:p>
    <w:p w:rsidR="00E146F2" w:rsidRDefault="00E146F2" w:rsidP="00997604">
      <w:pPr>
        <w:spacing w:line="131" w:lineRule="exact"/>
        <w:jc w:val="both"/>
        <w:rPr>
          <w:rFonts w:ascii="Arial" w:eastAsia="Arial" w:hAnsi="Arial" w:cs="Arial"/>
        </w:rPr>
      </w:pPr>
    </w:p>
    <w:p w:rsidR="00E146F2" w:rsidRDefault="00536AE5" w:rsidP="00997604">
      <w:pPr>
        <w:spacing w:line="238" w:lineRule="auto"/>
        <w:ind w:left="840"/>
        <w:jc w:val="both"/>
        <w:rPr>
          <w:rFonts w:ascii="Arial" w:eastAsia="Arial" w:hAnsi="Arial" w:cs="Arial"/>
        </w:rPr>
      </w:pPr>
      <w:r>
        <w:rPr>
          <w:rFonts w:ascii="Arial" w:eastAsia="Arial" w:hAnsi="Arial" w:cs="Arial"/>
        </w:rPr>
        <w:t>Strážní jsou povinni nevpustit účastníka akce, který není uveden na Seznamu účastníků akce. Pokud vpuštění osoby nezapsané do Seznamu účastníků akce na místě odsouhlasí osoba odpovědná za průběh akce uvedená na Seznamu účastníků akce, strážní tuto osobu dopíší na Seznam účastníků akce a vpustí ji do objektu.</w:t>
      </w:r>
    </w:p>
    <w:p w:rsidR="00E146F2" w:rsidRDefault="00E146F2" w:rsidP="00997604">
      <w:pPr>
        <w:spacing w:line="130" w:lineRule="exact"/>
        <w:jc w:val="both"/>
        <w:rPr>
          <w:rFonts w:ascii="Arial" w:eastAsia="Arial" w:hAnsi="Arial" w:cs="Arial"/>
        </w:rPr>
      </w:pPr>
    </w:p>
    <w:p w:rsidR="00E146F2" w:rsidRDefault="00536AE5" w:rsidP="00997604">
      <w:pPr>
        <w:spacing w:line="236" w:lineRule="auto"/>
        <w:ind w:left="840"/>
        <w:jc w:val="both"/>
        <w:rPr>
          <w:rFonts w:ascii="Arial" w:eastAsia="Arial" w:hAnsi="Arial" w:cs="Arial"/>
        </w:rPr>
      </w:pPr>
      <w:r>
        <w:rPr>
          <w:rFonts w:ascii="Arial" w:eastAsia="Arial" w:hAnsi="Arial" w:cs="Arial"/>
        </w:rPr>
        <w:t>Účastníci akce se jmenovitě nezapisují do evidenční knihy. Strážní provedou pouze zápis obsahující název akce, časové údaje akce (datum, čas zahájení a ukončení</w:t>
      </w:r>
    </w:p>
    <w:p w:rsidR="00E146F2" w:rsidRDefault="00E146F2" w:rsidP="00997604">
      <w:pPr>
        <w:jc w:val="both"/>
        <w:sectPr w:rsidR="00E146F2">
          <w:headerReference w:type="even" r:id="rId8"/>
          <w:headerReference w:type="default" r:id="rId9"/>
          <w:footerReference w:type="even" r:id="rId10"/>
          <w:footerReference w:type="default" r:id="rId11"/>
          <w:headerReference w:type="first" r:id="rId12"/>
          <w:footerReference w:type="first" r:id="rId13"/>
          <w:pgSz w:w="11900" w:h="16838"/>
          <w:pgMar w:top="711" w:right="1406" w:bottom="1145" w:left="1420" w:header="0" w:footer="0" w:gutter="0"/>
          <w:cols w:space="708" w:equalWidth="0">
            <w:col w:w="9080"/>
          </w:cols>
        </w:sectPr>
      </w:pPr>
    </w:p>
    <w:p w:rsidR="00E146F2" w:rsidRDefault="00E146F2" w:rsidP="00997604">
      <w:pPr>
        <w:spacing w:line="215" w:lineRule="exact"/>
        <w:jc w:val="both"/>
        <w:rPr>
          <w:sz w:val="20"/>
          <w:szCs w:val="20"/>
        </w:rPr>
      </w:pPr>
      <w:bookmarkStart w:id="1" w:name="page2"/>
      <w:bookmarkEnd w:id="1"/>
    </w:p>
    <w:p w:rsidR="00E146F2" w:rsidRDefault="00536AE5" w:rsidP="00997604">
      <w:pPr>
        <w:spacing w:line="236" w:lineRule="auto"/>
        <w:ind w:left="844" w:right="20"/>
        <w:jc w:val="both"/>
        <w:rPr>
          <w:sz w:val="20"/>
          <w:szCs w:val="20"/>
        </w:rPr>
      </w:pPr>
      <w:r>
        <w:rPr>
          <w:rFonts w:ascii="Arial" w:eastAsia="Arial" w:hAnsi="Arial" w:cs="Arial"/>
        </w:rPr>
        <w:t>akce) a aktuální počet přítomných účastníků akce, který aktualizují průběžně po celou dobu trvání akce;</w:t>
      </w:r>
    </w:p>
    <w:p w:rsidR="00E146F2" w:rsidRDefault="00E146F2" w:rsidP="00997604">
      <w:pPr>
        <w:spacing w:line="129" w:lineRule="exact"/>
        <w:jc w:val="both"/>
        <w:rPr>
          <w:sz w:val="20"/>
          <w:szCs w:val="20"/>
        </w:rPr>
      </w:pPr>
    </w:p>
    <w:p w:rsidR="00E146F2" w:rsidRDefault="00536AE5" w:rsidP="00997604">
      <w:pPr>
        <w:numPr>
          <w:ilvl w:val="0"/>
          <w:numId w:val="3"/>
        </w:numPr>
        <w:tabs>
          <w:tab w:val="left" w:pos="844"/>
        </w:tabs>
        <w:spacing w:line="237" w:lineRule="auto"/>
        <w:ind w:left="844" w:hanging="416"/>
        <w:jc w:val="both"/>
        <w:rPr>
          <w:rFonts w:ascii="Arial" w:eastAsia="Arial" w:hAnsi="Arial" w:cs="Arial"/>
        </w:rPr>
      </w:pPr>
      <w:r>
        <w:rPr>
          <w:rFonts w:ascii="Arial" w:eastAsia="Arial" w:hAnsi="Arial" w:cs="Arial"/>
        </w:rPr>
        <w:t>zajištění obsluhy telefonní linky ohlašovny požáru, elektronické požární signalizace (EPS), elektrické zabezpečovací signalizace (EZS), uzavřeného televizního okruhu (CCTV), nouzového sdělovacího zařízení (NSZ);</w:t>
      </w:r>
    </w:p>
    <w:p w:rsidR="00E146F2" w:rsidRDefault="00E146F2" w:rsidP="00997604">
      <w:pPr>
        <w:spacing w:line="120" w:lineRule="exact"/>
        <w:jc w:val="both"/>
        <w:rPr>
          <w:rFonts w:ascii="Arial" w:eastAsia="Arial" w:hAnsi="Arial" w:cs="Arial"/>
        </w:rPr>
      </w:pPr>
    </w:p>
    <w:p w:rsidR="002A009A" w:rsidRDefault="00536AE5" w:rsidP="002A009A">
      <w:pPr>
        <w:numPr>
          <w:ilvl w:val="0"/>
          <w:numId w:val="3"/>
        </w:numPr>
        <w:tabs>
          <w:tab w:val="left" w:pos="844"/>
        </w:tabs>
        <w:ind w:left="844" w:hanging="416"/>
        <w:jc w:val="both"/>
        <w:rPr>
          <w:rFonts w:ascii="Arial" w:eastAsia="Arial" w:hAnsi="Arial" w:cs="Arial"/>
        </w:rPr>
      </w:pPr>
      <w:r>
        <w:rPr>
          <w:rFonts w:ascii="Arial" w:eastAsia="Arial" w:hAnsi="Arial" w:cs="Arial"/>
        </w:rPr>
        <w:t>evidence událostí EPS a EZS;</w:t>
      </w:r>
    </w:p>
    <w:p w:rsidR="002A009A" w:rsidRDefault="002A009A" w:rsidP="002A009A">
      <w:pPr>
        <w:pStyle w:val="Odstavecseseznamem"/>
        <w:rPr>
          <w:rFonts w:ascii="Arial" w:eastAsia="Arial" w:hAnsi="Arial" w:cs="Arial"/>
        </w:rPr>
      </w:pPr>
    </w:p>
    <w:p w:rsidR="002A009A" w:rsidRPr="002A009A" w:rsidRDefault="002A009A" w:rsidP="002A009A">
      <w:pPr>
        <w:numPr>
          <w:ilvl w:val="0"/>
          <w:numId w:val="3"/>
        </w:numPr>
        <w:tabs>
          <w:tab w:val="left" w:pos="844"/>
        </w:tabs>
        <w:ind w:left="844" w:hanging="416"/>
        <w:jc w:val="both"/>
        <w:rPr>
          <w:rFonts w:ascii="Arial" w:eastAsia="Arial" w:hAnsi="Arial" w:cs="Arial"/>
        </w:rPr>
      </w:pPr>
      <w:r w:rsidRPr="002A009A">
        <w:rPr>
          <w:rFonts w:ascii="Arial" w:eastAsia="Arial" w:hAnsi="Arial" w:cs="Arial"/>
        </w:rPr>
        <w:t xml:space="preserve">kontrola objektu v době sníženého provozu objektu obchůzkou, která bude </w:t>
      </w:r>
    </w:p>
    <w:p w:rsidR="002A009A" w:rsidRPr="002A009A" w:rsidRDefault="002A009A" w:rsidP="002A009A">
      <w:pPr>
        <w:pStyle w:val="Odstavecseseznamem"/>
        <w:ind w:left="851"/>
        <w:jc w:val="both"/>
        <w:rPr>
          <w:rFonts w:ascii="Arial" w:eastAsia="Arial" w:hAnsi="Arial" w:cs="Arial"/>
        </w:rPr>
      </w:pPr>
      <w:r w:rsidRPr="002A009A">
        <w:rPr>
          <w:rFonts w:ascii="Arial" w:eastAsia="Arial" w:hAnsi="Arial" w:cs="Arial"/>
        </w:rPr>
        <w:t>realizová</w:t>
      </w:r>
      <w:r>
        <w:rPr>
          <w:rFonts w:ascii="Arial" w:eastAsia="Arial" w:hAnsi="Arial" w:cs="Arial"/>
        </w:rPr>
        <w:t>na v nepravidelných intervalech</w:t>
      </w:r>
      <w:r>
        <w:rPr>
          <w:rStyle w:val="Znakapoznpodarou"/>
          <w:rFonts w:ascii="Arial" w:eastAsia="Arial" w:hAnsi="Arial" w:cs="Arial"/>
        </w:rPr>
        <w:footnoteReference w:id="1"/>
      </w:r>
    </w:p>
    <w:p w:rsidR="002A009A" w:rsidRPr="002A009A" w:rsidRDefault="002A009A" w:rsidP="002A009A">
      <w:pPr>
        <w:pStyle w:val="Odstavecseseznamem"/>
        <w:ind w:left="851"/>
        <w:jc w:val="both"/>
        <w:rPr>
          <w:rFonts w:ascii="Arial" w:eastAsia="Arial" w:hAnsi="Arial" w:cs="Arial"/>
        </w:rPr>
      </w:pPr>
      <w:r w:rsidRPr="002A009A">
        <w:rPr>
          <w:rFonts w:ascii="Arial" w:eastAsia="Arial" w:hAnsi="Arial" w:cs="Arial"/>
        </w:rPr>
        <w:t>- v době od 16:16 hod. do 07:44 hod. v pracovní dny minimálně 5x,</w:t>
      </w:r>
    </w:p>
    <w:p w:rsidR="002A009A" w:rsidRPr="002A009A" w:rsidRDefault="002A009A" w:rsidP="002A009A">
      <w:pPr>
        <w:pStyle w:val="Odstavecseseznamem"/>
        <w:ind w:left="851"/>
        <w:jc w:val="both"/>
        <w:rPr>
          <w:rFonts w:ascii="Arial" w:eastAsia="Arial" w:hAnsi="Arial" w:cs="Arial"/>
        </w:rPr>
      </w:pPr>
      <w:r w:rsidRPr="002A009A">
        <w:rPr>
          <w:rFonts w:ascii="Arial" w:eastAsia="Arial" w:hAnsi="Arial" w:cs="Arial"/>
        </w:rPr>
        <w:t xml:space="preserve">- v rámci každého jednotlivého dne pracovního klidu, tj. v rámci 24 hodin (tj. v době </w:t>
      </w:r>
    </w:p>
    <w:p w:rsidR="002A009A" w:rsidRPr="002A009A" w:rsidRDefault="002A009A" w:rsidP="002A009A">
      <w:pPr>
        <w:pStyle w:val="Odstavecseseznamem"/>
        <w:ind w:left="851"/>
        <w:jc w:val="both"/>
        <w:rPr>
          <w:rFonts w:ascii="Arial" w:eastAsia="Arial" w:hAnsi="Arial" w:cs="Arial"/>
        </w:rPr>
      </w:pPr>
      <w:r w:rsidRPr="002A009A">
        <w:rPr>
          <w:rFonts w:ascii="Arial" w:eastAsia="Arial" w:hAnsi="Arial" w:cs="Arial"/>
        </w:rPr>
        <w:t xml:space="preserve">od 00:00 do 24:00), minimálně 8x. </w:t>
      </w:r>
    </w:p>
    <w:p w:rsidR="002A009A" w:rsidRDefault="002A009A" w:rsidP="002A009A">
      <w:pPr>
        <w:pStyle w:val="Odstavecseseznamem"/>
        <w:ind w:left="851"/>
        <w:jc w:val="both"/>
        <w:rPr>
          <w:rFonts w:ascii="Arial" w:eastAsia="Arial" w:hAnsi="Arial" w:cs="Arial"/>
        </w:rPr>
      </w:pPr>
      <w:r w:rsidRPr="002A009A">
        <w:rPr>
          <w:rFonts w:ascii="Arial" w:eastAsia="Arial" w:hAnsi="Arial" w:cs="Arial"/>
        </w:rPr>
        <w:t xml:space="preserve">V případě, že se uvedené časové úseky překrývají, počet pochůzek se sčítá. </w:t>
      </w:r>
    </w:p>
    <w:p w:rsidR="002A009A" w:rsidRDefault="002A009A" w:rsidP="002A009A">
      <w:pPr>
        <w:pStyle w:val="Odstavecseseznamem"/>
        <w:ind w:left="851"/>
        <w:jc w:val="both"/>
        <w:rPr>
          <w:rFonts w:ascii="Arial" w:eastAsia="Arial" w:hAnsi="Arial" w:cs="Arial"/>
        </w:rPr>
      </w:pPr>
      <w:r w:rsidRPr="002A009A">
        <w:rPr>
          <w:rFonts w:ascii="Arial" w:eastAsia="Arial" w:hAnsi="Arial" w:cs="Arial"/>
        </w:rPr>
        <w:t xml:space="preserve">Předmětem obchůzky bude i zjištění, zda v objektu nedošlo k havarijnímu stavu zejména na vodovodních a topných systémech. O výsledku provedené kontroly </w:t>
      </w:r>
    </w:p>
    <w:p w:rsidR="002A009A" w:rsidRDefault="002A009A" w:rsidP="002A009A">
      <w:pPr>
        <w:pStyle w:val="Odstavecseseznamem"/>
        <w:ind w:left="851"/>
        <w:jc w:val="both"/>
        <w:rPr>
          <w:rFonts w:ascii="Arial" w:eastAsia="Arial" w:hAnsi="Arial" w:cs="Arial"/>
        </w:rPr>
      </w:pPr>
      <w:r w:rsidRPr="002A009A">
        <w:rPr>
          <w:rFonts w:ascii="Arial" w:eastAsia="Arial" w:hAnsi="Arial" w:cs="Arial"/>
        </w:rPr>
        <w:t>bude po každé pochůzce proveden záznam.</w:t>
      </w:r>
    </w:p>
    <w:p w:rsidR="002A009A" w:rsidRDefault="002A009A" w:rsidP="002A009A">
      <w:pPr>
        <w:pStyle w:val="Odstavecseseznamem"/>
        <w:ind w:left="851"/>
        <w:jc w:val="both"/>
        <w:rPr>
          <w:rFonts w:ascii="Arial" w:eastAsia="Arial" w:hAnsi="Arial" w:cs="Arial"/>
        </w:rPr>
      </w:pPr>
      <w:r w:rsidRPr="002A009A">
        <w:rPr>
          <w:rFonts w:ascii="Arial" w:eastAsia="Arial" w:hAnsi="Arial" w:cs="Arial"/>
        </w:rPr>
        <w:t xml:space="preserve">Dobou sníženého provozu objektu se pro účely této smlouvy rozumí souhrnně doba </w:t>
      </w:r>
    </w:p>
    <w:p w:rsidR="002A009A" w:rsidRDefault="002A009A" w:rsidP="002A009A">
      <w:pPr>
        <w:pStyle w:val="Odstavecseseznamem"/>
        <w:ind w:left="851"/>
        <w:jc w:val="both"/>
        <w:rPr>
          <w:rFonts w:ascii="Arial" w:eastAsia="Arial" w:hAnsi="Arial" w:cs="Arial"/>
        </w:rPr>
      </w:pPr>
      <w:r w:rsidRPr="002A009A">
        <w:rPr>
          <w:rFonts w:ascii="Arial" w:eastAsia="Arial" w:hAnsi="Arial" w:cs="Arial"/>
        </w:rPr>
        <w:t xml:space="preserve">od 16:16 hod. večer do 07:44 hod. ráno v pracovní dny a dále dny pracovního klidu. </w:t>
      </w:r>
    </w:p>
    <w:p w:rsidR="002A009A" w:rsidRDefault="002A009A" w:rsidP="002A009A">
      <w:pPr>
        <w:pStyle w:val="Odstavecseseznamem"/>
        <w:ind w:left="851"/>
        <w:jc w:val="both"/>
        <w:rPr>
          <w:rFonts w:ascii="Arial" w:eastAsia="Arial" w:hAnsi="Arial" w:cs="Arial"/>
        </w:rPr>
      </w:pPr>
    </w:p>
    <w:p w:rsidR="00997604" w:rsidRDefault="002A009A" w:rsidP="002A009A">
      <w:pPr>
        <w:pStyle w:val="Odstavecseseznamem"/>
        <w:ind w:left="851"/>
        <w:jc w:val="both"/>
        <w:rPr>
          <w:rFonts w:ascii="Arial" w:eastAsia="Arial" w:hAnsi="Arial" w:cs="Arial"/>
        </w:rPr>
      </w:pPr>
      <w:r w:rsidRPr="002A009A">
        <w:rPr>
          <w:rFonts w:ascii="Arial" w:eastAsia="Arial" w:hAnsi="Arial" w:cs="Arial"/>
        </w:rPr>
        <w:t>Dnem pracovního klidu se pro účely této smlouvy rozumí soboty, neděle, a dále státní svátky a ostatní svátky v souladu se zákonem č. 245/2000 Sb., o státních svátcích, o významných dnech a o dnech pracovního klidu, ve znění pozdějších předpisů;</w:t>
      </w:r>
    </w:p>
    <w:p w:rsidR="002A009A" w:rsidRPr="002A009A" w:rsidRDefault="002A009A" w:rsidP="002A009A">
      <w:pPr>
        <w:pStyle w:val="Odstavecseseznamem"/>
        <w:ind w:left="851"/>
        <w:jc w:val="both"/>
        <w:rPr>
          <w:rFonts w:ascii="Arial" w:eastAsia="Arial" w:hAnsi="Arial" w:cs="Arial"/>
        </w:rPr>
      </w:pPr>
    </w:p>
    <w:p w:rsidR="00E146F2" w:rsidRDefault="00E146F2" w:rsidP="00997604">
      <w:pPr>
        <w:spacing w:line="129" w:lineRule="exact"/>
        <w:jc w:val="both"/>
        <w:rPr>
          <w:sz w:val="20"/>
          <w:szCs w:val="20"/>
        </w:rPr>
      </w:pPr>
    </w:p>
    <w:p w:rsidR="00E146F2" w:rsidRDefault="00536AE5" w:rsidP="00997604">
      <w:pPr>
        <w:tabs>
          <w:tab w:val="left" w:pos="823"/>
        </w:tabs>
        <w:spacing w:line="237" w:lineRule="auto"/>
        <w:ind w:left="844" w:right="20" w:hanging="419"/>
        <w:jc w:val="both"/>
        <w:rPr>
          <w:sz w:val="20"/>
          <w:szCs w:val="20"/>
        </w:rPr>
      </w:pPr>
      <w:r>
        <w:rPr>
          <w:rFonts w:ascii="Arial" w:eastAsia="Arial" w:hAnsi="Arial" w:cs="Arial"/>
        </w:rPr>
        <w:t>j)</w:t>
      </w:r>
      <w:r>
        <w:rPr>
          <w:sz w:val="20"/>
          <w:szCs w:val="20"/>
        </w:rPr>
        <w:tab/>
      </w:r>
      <w:r>
        <w:rPr>
          <w:rFonts w:ascii="Arial" w:eastAsia="Arial" w:hAnsi="Arial" w:cs="Arial"/>
        </w:rPr>
        <w:t>v případě zjištění havarijního stavu provedení bezodkladných kroků nezbytných k minimalizaci vzniku škod a následné bezodkladné informování kontaktní osoby objednatele;</w:t>
      </w:r>
    </w:p>
    <w:p w:rsidR="00E146F2" w:rsidRDefault="00E146F2" w:rsidP="00997604">
      <w:pPr>
        <w:spacing w:line="129" w:lineRule="exact"/>
        <w:jc w:val="both"/>
        <w:rPr>
          <w:sz w:val="20"/>
          <w:szCs w:val="20"/>
        </w:rPr>
      </w:pPr>
    </w:p>
    <w:p w:rsidR="00E146F2" w:rsidRDefault="00536AE5" w:rsidP="00997604">
      <w:pPr>
        <w:numPr>
          <w:ilvl w:val="0"/>
          <w:numId w:val="4"/>
        </w:numPr>
        <w:tabs>
          <w:tab w:val="left" w:pos="844"/>
        </w:tabs>
        <w:spacing w:line="237" w:lineRule="auto"/>
        <w:ind w:left="844" w:right="20" w:hanging="416"/>
        <w:jc w:val="both"/>
        <w:rPr>
          <w:rFonts w:ascii="Arial" w:eastAsia="Arial" w:hAnsi="Arial" w:cs="Arial"/>
        </w:rPr>
      </w:pPr>
      <w:r>
        <w:rPr>
          <w:rFonts w:ascii="Arial" w:eastAsia="Arial" w:hAnsi="Arial" w:cs="Arial"/>
        </w:rPr>
        <w:t xml:space="preserve">správa klíčů od objektu a prostor v objektu, odemykání a uzamykání hlavního vchodu do objektu z ulice </w:t>
      </w:r>
      <w:r w:rsidR="00997604">
        <w:rPr>
          <w:rFonts w:ascii="Arial" w:eastAsia="Arial" w:hAnsi="Arial" w:cs="Arial"/>
        </w:rPr>
        <w:t>U Sovových mlýnů</w:t>
      </w:r>
      <w:r>
        <w:rPr>
          <w:rFonts w:ascii="Arial" w:eastAsia="Arial" w:hAnsi="Arial" w:cs="Arial"/>
        </w:rPr>
        <w:t xml:space="preserve"> dle provozních požadavků objednatele. Objednatel poskytovatele upozorňuje, že hlavni vchod do objektu je trvale uzamčen, a to i v pracovní dny;</w:t>
      </w:r>
    </w:p>
    <w:p w:rsidR="00E146F2" w:rsidRDefault="00E146F2" w:rsidP="00997604">
      <w:pPr>
        <w:spacing w:line="133" w:lineRule="exact"/>
        <w:jc w:val="both"/>
        <w:rPr>
          <w:rFonts w:ascii="Arial" w:eastAsia="Arial" w:hAnsi="Arial" w:cs="Arial"/>
        </w:rPr>
      </w:pPr>
    </w:p>
    <w:p w:rsidR="00E146F2" w:rsidRDefault="00536AE5" w:rsidP="00997604">
      <w:pPr>
        <w:numPr>
          <w:ilvl w:val="0"/>
          <w:numId w:val="4"/>
        </w:numPr>
        <w:tabs>
          <w:tab w:val="left" w:pos="844"/>
        </w:tabs>
        <w:spacing w:line="237" w:lineRule="auto"/>
        <w:ind w:left="844" w:right="20" w:hanging="416"/>
        <w:jc w:val="both"/>
        <w:rPr>
          <w:rFonts w:ascii="Arial" w:eastAsia="Arial" w:hAnsi="Arial" w:cs="Arial"/>
        </w:rPr>
      </w:pPr>
      <w:r>
        <w:rPr>
          <w:rFonts w:ascii="Arial" w:eastAsia="Arial" w:hAnsi="Arial" w:cs="Arial"/>
        </w:rPr>
        <w:t>zabezpečení a plnění úkolů a povinností na úseku požární ochrany, zejména zabezpečení nepřetržitého provozu ohlašovny požáru a plnění funkce preventivní požární hlídky v souladu s vnitřními předpisy objednatele;</w:t>
      </w:r>
    </w:p>
    <w:p w:rsidR="00E146F2" w:rsidRDefault="00E146F2" w:rsidP="00997604">
      <w:pPr>
        <w:spacing w:line="128" w:lineRule="exact"/>
        <w:jc w:val="both"/>
        <w:rPr>
          <w:rFonts w:ascii="Arial" w:eastAsia="Arial" w:hAnsi="Arial" w:cs="Arial"/>
        </w:rPr>
      </w:pPr>
    </w:p>
    <w:p w:rsidR="0079195E" w:rsidRDefault="00536AE5" w:rsidP="0079195E">
      <w:pPr>
        <w:numPr>
          <w:ilvl w:val="0"/>
          <w:numId w:val="4"/>
        </w:numPr>
        <w:tabs>
          <w:tab w:val="left" w:pos="844"/>
        </w:tabs>
        <w:spacing w:line="238" w:lineRule="auto"/>
        <w:ind w:left="844" w:right="20" w:hanging="416"/>
        <w:jc w:val="both"/>
        <w:rPr>
          <w:rFonts w:ascii="Arial" w:eastAsia="Arial" w:hAnsi="Arial" w:cs="Arial"/>
        </w:rPr>
      </w:pPr>
      <w:r>
        <w:rPr>
          <w:rFonts w:ascii="Arial" w:eastAsia="Arial" w:hAnsi="Arial" w:cs="Arial"/>
        </w:rPr>
        <w:t>evidence zjištěných provozních závad, zejména nesvítící světlo, poškozené dveřní zámky, poškozené okenní výplně, a závad technických a technologických zařízení, zejména závady klimatizace, EPS, EZS nebo CCTV, jejich hlášení kontaktní osobě objednatele;</w:t>
      </w:r>
    </w:p>
    <w:p w:rsidR="002A009A" w:rsidRDefault="002A009A" w:rsidP="002A009A">
      <w:pPr>
        <w:pStyle w:val="Odstavecseseznamem"/>
        <w:rPr>
          <w:rFonts w:ascii="Arial" w:eastAsia="Arial" w:hAnsi="Arial" w:cs="Arial"/>
        </w:rPr>
      </w:pPr>
    </w:p>
    <w:p w:rsidR="002A009A" w:rsidRPr="002A009A" w:rsidRDefault="002A009A" w:rsidP="002A009A">
      <w:pPr>
        <w:numPr>
          <w:ilvl w:val="0"/>
          <w:numId w:val="4"/>
        </w:numPr>
        <w:tabs>
          <w:tab w:val="left" w:pos="844"/>
        </w:tabs>
        <w:spacing w:line="238" w:lineRule="auto"/>
        <w:ind w:left="426" w:right="20"/>
        <w:jc w:val="both"/>
        <w:rPr>
          <w:rFonts w:ascii="Arial" w:eastAsia="Arial" w:hAnsi="Arial" w:cs="Arial"/>
        </w:rPr>
      </w:pPr>
      <w:r w:rsidRPr="002A009A">
        <w:rPr>
          <w:rFonts w:ascii="Arial" w:eastAsia="Arial" w:hAnsi="Arial" w:cs="Arial"/>
        </w:rPr>
        <w:t xml:space="preserve">zesílení služby na základě konkrétních požadavků objednatele. Poskytovatel je </w:t>
      </w:r>
    </w:p>
    <w:p w:rsidR="002A009A" w:rsidRPr="002A009A" w:rsidRDefault="002A009A" w:rsidP="002A009A">
      <w:pPr>
        <w:tabs>
          <w:tab w:val="left" w:pos="844"/>
        </w:tabs>
        <w:spacing w:line="238" w:lineRule="auto"/>
        <w:ind w:right="20"/>
        <w:jc w:val="both"/>
        <w:rPr>
          <w:rFonts w:ascii="Arial" w:eastAsia="Arial" w:hAnsi="Arial" w:cs="Arial"/>
        </w:rPr>
      </w:pPr>
      <w:r>
        <w:rPr>
          <w:rFonts w:ascii="Arial" w:eastAsia="Arial" w:hAnsi="Arial" w:cs="Arial"/>
        </w:rPr>
        <w:tab/>
      </w:r>
      <w:r w:rsidRPr="002A009A">
        <w:rPr>
          <w:rFonts w:ascii="Arial" w:eastAsia="Arial" w:hAnsi="Arial" w:cs="Arial"/>
        </w:rPr>
        <w:t xml:space="preserve">povinen do 24 hod. od doručení výzvy objednatele zesílit službu maximálně o další </w:t>
      </w:r>
    </w:p>
    <w:p w:rsidR="002A009A" w:rsidRPr="002A009A" w:rsidRDefault="002A009A" w:rsidP="002A009A">
      <w:pPr>
        <w:tabs>
          <w:tab w:val="left" w:pos="844"/>
        </w:tabs>
        <w:spacing w:line="238" w:lineRule="auto"/>
        <w:ind w:right="20"/>
        <w:jc w:val="both"/>
        <w:rPr>
          <w:rFonts w:ascii="Arial" w:eastAsia="Arial" w:hAnsi="Arial" w:cs="Arial"/>
        </w:rPr>
      </w:pPr>
      <w:r>
        <w:rPr>
          <w:rFonts w:ascii="Arial" w:eastAsia="Arial" w:hAnsi="Arial" w:cs="Arial"/>
        </w:rPr>
        <w:tab/>
      </w:r>
      <w:r w:rsidRPr="002A009A">
        <w:rPr>
          <w:rFonts w:ascii="Arial" w:eastAsia="Arial" w:hAnsi="Arial" w:cs="Arial"/>
        </w:rPr>
        <w:t xml:space="preserve">dva strážné na nezbytnou dobu požadovanou objednatelem. </w:t>
      </w:r>
      <w:proofErr w:type="gramStart"/>
      <w:r w:rsidRPr="002A009A">
        <w:rPr>
          <w:rFonts w:ascii="Arial" w:eastAsia="Arial" w:hAnsi="Arial" w:cs="Arial"/>
        </w:rPr>
        <w:t>Výzvu</w:t>
      </w:r>
      <w:proofErr w:type="gramEnd"/>
      <w:r w:rsidRPr="002A009A">
        <w:rPr>
          <w:rFonts w:ascii="Arial" w:eastAsia="Arial" w:hAnsi="Arial" w:cs="Arial"/>
        </w:rPr>
        <w:t xml:space="preserve"> je objednatel </w:t>
      </w:r>
    </w:p>
    <w:p w:rsidR="002A009A" w:rsidRPr="002A009A" w:rsidRDefault="002A009A" w:rsidP="002A009A">
      <w:pPr>
        <w:tabs>
          <w:tab w:val="left" w:pos="844"/>
        </w:tabs>
        <w:spacing w:line="238" w:lineRule="auto"/>
        <w:ind w:right="20"/>
        <w:jc w:val="both"/>
        <w:rPr>
          <w:rFonts w:ascii="Arial" w:eastAsia="Arial" w:hAnsi="Arial" w:cs="Arial"/>
        </w:rPr>
      </w:pPr>
      <w:r>
        <w:rPr>
          <w:rFonts w:ascii="Arial" w:eastAsia="Arial" w:hAnsi="Arial" w:cs="Arial"/>
        </w:rPr>
        <w:tab/>
      </w:r>
      <w:r w:rsidRPr="002A009A">
        <w:rPr>
          <w:rFonts w:ascii="Arial" w:eastAsia="Arial" w:hAnsi="Arial" w:cs="Arial"/>
        </w:rPr>
        <w:t xml:space="preserve">povinen zaslat e-mailem na kontaktní e-mailovou adresu kontaktní osoby </w:t>
      </w:r>
    </w:p>
    <w:p w:rsidR="002A009A" w:rsidRPr="002A009A" w:rsidRDefault="002A009A" w:rsidP="002A009A">
      <w:pPr>
        <w:tabs>
          <w:tab w:val="left" w:pos="844"/>
        </w:tabs>
        <w:spacing w:line="238" w:lineRule="auto"/>
        <w:ind w:right="20"/>
        <w:jc w:val="both"/>
        <w:rPr>
          <w:rFonts w:ascii="Arial" w:eastAsia="Arial" w:hAnsi="Arial" w:cs="Arial"/>
        </w:rPr>
      </w:pPr>
      <w:r>
        <w:rPr>
          <w:rFonts w:ascii="Arial" w:eastAsia="Arial" w:hAnsi="Arial" w:cs="Arial"/>
        </w:rPr>
        <w:tab/>
      </w:r>
      <w:r w:rsidRPr="002A009A">
        <w:rPr>
          <w:rFonts w:ascii="Arial" w:eastAsia="Arial" w:hAnsi="Arial" w:cs="Arial"/>
        </w:rPr>
        <w:t xml:space="preserve">poskytovatele uvedenou ve smlouvě. V situacích, které nesnesou odkladu, může </w:t>
      </w:r>
    </w:p>
    <w:p w:rsidR="002A009A" w:rsidRPr="002A009A" w:rsidRDefault="002A009A" w:rsidP="002A009A">
      <w:pPr>
        <w:tabs>
          <w:tab w:val="left" w:pos="844"/>
        </w:tabs>
        <w:spacing w:line="238" w:lineRule="auto"/>
        <w:ind w:right="20"/>
        <w:jc w:val="both"/>
        <w:rPr>
          <w:rFonts w:ascii="Arial" w:eastAsia="Arial" w:hAnsi="Arial" w:cs="Arial"/>
        </w:rPr>
      </w:pPr>
      <w:r>
        <w:rPr>
          <w:rFonts w:ascii="Arial" w:eastAsia="Arial" w:hAnsi="Arial" w:cs="Arial"/>
        </w:rPr>
        <w:tab/>
      </w:r>
      <w:r w:rsidRPr="002A009A">
        <w:rPr>
          <w:rFonts w:ascii="Arial" w:eastAsia="Arial" w:hAnsi="Arial" w:cs="Arial"/>
        </w:rPr>
        <w:t xml:space="preserve">objednatel výzvu sdělit poskytovateli telefonicky na kontaktní telefonní číslo </w:t>
      </w:r>
    </w:p>
    <w:p w:rsidR="002A009A" w:rsidRDefault="002A009A" w:rsidP="002A009A">
      <w:pPr>
        <w:tabs>
          <w:tab w:val="left" w:pos="844"/>
        </w:tabs>
        <w:spacing w:line="238" w:lineRule="auto"/>
        <w:ind w:left="844" w:right="20"/>
        <w:jc w:val="both"/>
        <w:rPr>
          <w:rFonts w:ascii="Arial" w:eastAsia="Arial" w:hAnsi="Arial" w:cs="Arial"/>
        </w:rPr>
      </w:pPr>
      <w:r w:rsidRPr="002A009A">
        <w:rPr>
          <w:rFonts w:ascii="Arial" w:eastAsia="Arial" w:hAnsi="Arial" w:cs="Arial"/>
        </w:rPr>
        <w:t>kontaktní osoby poskytovatele uvedené ve smlouvě</w:t>
      </w:r>
      <w:r>
        <w:rPr>
          <w:rFonts w:ascii="Arial" w:eastAsia="Arial" w:hAnsi="Arial" w:cs="Arial"/>
        </w:rPr>
        <w:t>;</w:t>
      </w:r>
    </w:p>
    <w:p w:rsidR="0079195E" w:rsidRDefault="0079195E" w:rsidP="0079195E">
      <w:pPr>
        <w:pStyle w:val="Odstavecseseznamem"/>
        <w:rPr>
          <w:rFonts w:ascii="Arial" w:eastAsia="Arial" w:hAnsi="Arial" w:cs="Arial"/>
        </w:rPr>
      </w:pPr>
    </w:p>
    <w:p w:rsidR="002A009A" w:rsidRDefault="002A009A" w:rsidP="002A009A">
      <w:pPr>
        <w:numPr>
          <w:ilvl w:val="0"/>
          <w:numId w:val="4"/>
        </w:numPr>
        <w:tabs>
          <w:tab w:val="left" w:pos="844"/>
        </w:tabs>
        <w:spacing w:line="238" w:lineRule="auto"/>
        <w:ind w:right="20" w:firstLine="284"/>
        <w:jc w:val="both"/>
        <w:rPr>
          <w:rFonts w:ascii="Arial" w:eastAsia="Arial" w:hAnsi="Arial" w:cs="Arial"/>
        </w:rPr>
      </w:pPr>
      <w:r w:rsidRPr="002A009A">
        <w:rPr>
          <w:rFonts w:ascii="Arial" w:eastAsia="Arial" w:hAnsi="Arial" w:cs="Arial"/>
        </w:rPr>
        <w:lastRenderedPageBreak/>
        <w:t>spolupráce s Ochrannou službou Policie ČR a respektování jejích pokynů;</w:t>
      </w:r>
    </w:p>
    <w:p w:rsidR="002A009A" w:rsidRDefault="002A009A" w:rsidP="002A009A">
      <w:pPr>
        <w:tabs>
          <w:tab w:val="left" w:pos="844"/>
        </w:tabs>
        <w:spacing w:line="238" w:lineRule="auto"/>
        <w:ind w:left="284" w:right="20"/>
        <w:jc w:val="both"/>
        <w:rPr>
          <w:rFonts w:ascii="Arial" w:eastAsia="Arial" w:hAnsi="Arial" w:cs="Arial"/>
        </w:rPr>
      </w:pPr>
    </w:p>
    <w:p w:rsidR="002A009A" w:rsidRPr="002A009A" w:rsidRDefault="002A009A" w:rsidP="002A009A">
      <w:pPr>
        <w:numPr>
          <w:ilvl w:val="0"/>
          <w:numId w:val="4"/>
        </w:numPr>
        <w:tabs>
          <w:tab w:val="left" w:pos="844"/>
        </w:tabs>
        <w:spacing w:line="238" w:lineRule="auto"/>
        <w:ind w:right="20" w:firstLine="284"/>
        <w:jc w:val="both"/>
        <w:rPr>
          <w:rFonts w:ascii="Arial" w:eastAsia="Arial" w:hAnsi="Arial" w:cs="Arial"/>
        </w:rPr>
      </w:pPr>
      <w:r w:rsidRPr="002A009A">
        <w:rPr>
          <w:rFonts w:ascii="Arial" w:eastAsia="Arial" w:hAnsi="Arial" w:cs="Arial"/>
        </w:rPr>
        <w:t>hlášení každého předání/převzetí služby mezi jednotlivými směnami poskytovatele</w:t>
      </w:r>
    </w:p>
    <w:p w:rsidR="002A009A" w:rsidRPr="0079195E" w:rsidRDefault="002A009A" w:rsidP="002A009A">
      <w:pPr>
        <w:tabs>
          <w:tab w:val="left" w:pos="844"/>
        </w:tabs>
        <w:spacing w:line="238" w:lineRule="auto"/>
        <w:ind w:right="20"/>
        <w:jc w:val="both"/>
        <w:rPr>
          <w:rFonts w:ascii="Arial" w:eastAsia="Arial" w:hAnsi="Arial" w:cs="Arial"/>
        </w:rPr>
      </w:pPr>
      <w:r>
        <w:rPr>
          <w:rFonts w:ascii="Arial" w:eastAsia="Arial" w:hAnsi="Arial" w:cs="Arial"/>
        </w:rPr>
        <w:tab/>
      </w:r>
      <w:r w:rsidRPr="002A009A">
        <w:rPr>
          <w:rFonts w:ascii="Arial" w:eastAsia="Arial" w:hAnsi="Arial" w:cs="Arial"/>
        </w:rPr>
        <w:t>telefonicky Ochranné službě Policie ČR na stanovišti (velín) v sídle objednatele.</w:t>
      </w:r>
    </w:p>
    <w:sectPr w:rsidR="002A009A" w:rsidRPr="0079195E">
      <w:pgSz w:w="11900" w:h="16838"/>
      <w:pgMar w:top="711" w:right="1406" w:bottom="1440"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604" w:rsidRDefault="00997604" w:rsidP="00997604">
      <w:r>
        <w:separator/>
      </w:r>
    </w:p>
  </w:endnote>
  <w:endnote w:type="continuationSeparator" w:id="0">
    <w:p w:rsidR="00997604" w:rsidRDefault="00997604" w:rsidP="0099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06" w:rsidRDefault="0078560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06" w:rsidRDefault="00785606">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06" w:rsidRDefault="0078560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604" w:rsidRDefault="00997604" w:rsidP="00997604">
      <w:r>
        <w:separator/>
      </w:r>
    </w:p>
  </w:footnote>
  <w:footnote w:type="continuationSeparator" w:id="0">
    <w:p w:rsidR="00997604" w:rsidRDefault="00997604" w:rsidP="00997604">
      <w:r>
        <w:continuationSeparator/>
      </w:r>
    </w:p>
  </w:footnote>
  <w:footnote w:id="1">
    <w:p w:rsidR="002A009A" w:rsidRDefault="002A009A" w:rsidP="002A009A">
      <w:pPr>
        <w:pStyle w:val="Textpoznpodarou"/>
      </w:pPr>
      <w:r>
        <w:rPr>
          <w:rStyle w:val="Znakapoznpodarou"/>
        </w:rPr>
        <w:footnoteRef/>
      </w:r>
      <w:r>
        <w:t xml:space="preserve"> </w:t>
      </w:r>
    </w:p>
    <w:p w:rsidR="002A009A" w:rsidRPr="002A009A" w:rsidRDefault="002A009A" w:rsidP="002A009A">
      <w:pPr>
        <w:pStyle w:val="Textpoznpodarou"/>
        <w:rPr>
          <w:sz w:val="16"/>
          <w:szCs w:val="16"/>
        </w:rPr>
      </w:pPr>
      <w:r w:rsidRPr="002A009A">
        <w:rPr>
          <w:sz w:val="16"/>
          <w:szCs w:val="16"/>
        </w:rPr>
        <w:t>Příklad sčítání minimálního počtu pochůzek:</w:t>
      </w:r>
    </w:p>
    <w:p w:rsidR="002A009A" w:rsidRPr="002A009A" w:rsidRDefault="002A009A" w:rsidP="002A009A">
      <w:pPr>
        <w:pStyle w:val="Textpoznpodarou"/>
        <w:rPr>
          <w:sz w:val="16"/>
          <w:szCs w:val="16"/>
        </w:rPr>
      </w:pPr>
      <w:r w:rsidRPr="002A009A">
        <w:rPr>
          <w:sz w:val="16"/>
          <w:szCs w:val="16"/>
        </w:rPr>
        <w:t xml:space="preserve">- ve čtvrtek (pracovní den) 5 pochůzek za noc v době od 16:16 hod. do 07:44 hod. ráno, </w:t>
      </w:r>
    </w:p>
    <w:p w:rsidR="002A009A" w:rsidRPr="002A009A" w:rsidRDefault="002A009A" w:rsidP="002A009A">
      <w:pPr>
        <w:pStyle w:val="Textpoznpodarou"/>
        <w:rPr>
          <w:sz w:val="16"/>
          <w:szCs w:val="16"/>
        </w:rPr>
      </w:pPr>
      <w:r w:rsidRPr="002A009A">
        <w:rPr>
          <w:sz w:val="16"/>
          <w:szCs w:val="16"/>
        </w:rPr>
        <w:t>- od pátku (pracovního dne) 16:16 hod. do soboty 24:00 hod. (sobotní půlnoci) 10 pochůzek,</w:t>
      </w:r>
    </w:p>
    <w:p w:rsidR="002A009A" w:rsidRPr="002A009A" w:rsidRDefault="002A009A" w:rsidP="002A009A">
      <w:pPr>
        <w:pStyle w:val="Textpoznpodarou"/>
        <w:rPr>
          <w:sz w:val="16"/>
          <w:szCs w:val="16"/>
        </w:rPr>
      </w:pPr>
      <w:r w:rsidRPr="002A009A">
        <w:rPr>
          <w:sz w:val="16"/>
          <w:szCs w:val="16"/>
        </w:rPr>
        <w:t>- od neděle 00:00 hod. do pondělí (pracovního dne) 07:44 hod. 11 pochůzek,</w:t>
      </w:r>
    </w:p>
    <w:p w:rsidR="002A009A" w:rsidRPr="002A009A" w:rsidRDefault="002A009A" w:rsidP="002A009A">
      <w:pPr>
        <w:pStyle w:val="Textpoznpodarou"/>
        <w:rPr>
          <w:sz w:val="16"/>
          <w:szCs w:val="16"/>
        </w:rPr>
      </w:pPr>
      <w:r w:rsidRPr="002A009A">
        <w:rPr>
          <w:sz w:val="16"/>
          <w:szCs w:val="16"/>
        </w:rPr>
        <w:t xml:space="preserve">- ve svátek ve středu uprostřed pracovního týdne, od úterního odpoledne 16:16 hod. (pracovního dne) </w:t>
      </w:r>
    </w:p>
    <w:p w:rsidR="002A009A" w:rsidRDefault="002A009A" w:rsidP="002A009A">
      <w:pPr>
        <w:pStyle w:val="Textpoznpodarou"/>
      </w:pPr>
      <w:r w:rsidRPr="002A009A">
        <w:rPr>
          <w:sz w:val="16"/>
          <w:szCs w:val="16"/>
        </w:rPr>
        <w:t>do čtvrtečního rána 07:44 hod. (pracovního dne) 13 pochůzek.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06" w:rsidRDefault="0078560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E5" w:rsidRDefault="00536AE5" w:rsidP="00997604">
    <w:pPr>
      <w:spacing w:line="235" w:lineRule="auto"/>
      <w:ind w:left="2260"/>
      <w:jc w:val="right"/>
      <w:rPr>
        <w:rFonts w:ascii="Arial" w:eastAsia="Arial" w:hAnsi="Arial" w:cs="Arial"/>
        <w:b/>
        <w:bCs/>
      </w:rPr>
    </w:pPr>
  </w:p>
  <w:p w:rsidR="00536AE5" w:rsidRDefault="00536AE5" w:rsidP="00997604">
    <w:pPr>
      <w:spacing w:line="235" w:lineRule="auto"/>
      <w:ind w:left="2260"/>
      <w:jc w:val="right"/>
      <w:rPr>
        <w:rFonts w:ascii="Arial" w:eastAsia="Arial" w:hAnsi="Arial" w:cs="Arial"/>
        <w:b/>
        <w:bCs/>
      </w:rPr>
    </w:pPr>
  </w:p>
  <w:p w:rsidR="00997604" w:rsidRDefault="00997604" w:rsidP="00997604">
    <w:pPr>
      <w:spacing w:line="235" w:lineRule="auto"/>
      <w:ind w:left="2260"/>
      <w:jc w:val="right"/>
      <w:rPr>
        <w:sz w:val="20"/>
        <w:szCs w:val="20"/>
      </w:rPr>
    </w:pPr>
    <w:r>
      <w:rPr>
        <w:rFonts w:ascii="Arial" w:eastAsia="Arial" w:hAnsi="Arial" w:cs="Arial"/>
        <w:b/>
        <w:bCs/>
      </w:rPr>
      <w:t xml:space="preserve">Příloha č. 1 </w:t>
    </w:r>
    <w:r w:rsidR="002A009A">
      <w:rPr>
        <w:rFonts w:ascii="Arial" w:eastAsia="Arial" w:hAnsi="Arial" w:cs="Arial"/>
        <w:b/>
        <w:bCs/>
      </w:rPr>
      <w:t>smlouvy</w:t>
    </w:r>
    <w:r>
      <w:rPr>
        <w:rFonts w:ascii="Arial" w:eastAsia="Arial" w:hAnsi="Arial" w:cs="Arial"/>
        <w:b/>
        <w:bCs/>
      </w:rPr>
      <w:t xml:space="preserve"> o zajištění ostrahy v objektu Lichtenštejnský palác </w:t>
    </w:r>
    <w:r w:rsidR="00785606">
      <w:rPr>
        <w:rFonts w:ascii="Arial" w:eastAsia="Arial" w:hAnsi="Arial" w:cs="Arial"/>
        <w:b/>
        <w:bCs/>
      </w:rPr>
      <w:t>22/342-0</w:t>
    </w:r>
    <w:bookmarkStart w:id="0" w:name="_GoBack"/>
    <w:bookmarkEnd w:id="0"/>
  </w:p>
  <w:p w:rsidR="00997604" w:rsidRPr="00997604" w:rsidRDefault="00997604" w:rsidP="0099760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06" w:rsidRDefault="0078560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7952ACAA"/>
    <w:lvl w:ilvl="0" w:tplc="85DA988A">
      <w:start w:val="6"/>
      <w:numFmt w:val="lowerLetter"/>
      <w:lvlText w:val="%1)"/>
      <w:lvlJc w:val="left"/>
    </w:lvl>
    <w:lvl w:ilvl="1" w:tplc="81B68794">
      <w:numFmt w:val="decimal"/>
      <w:lvlText w:val=""/>
      <w:lvlJc w:val="left"/>
    </w:lvl>
    <w:lvl w:ilvl="2" w:tplc="C488521A">
      <w:numFmt w:val="decimal"/>
      <w:lvlText w:val=""/>
      <w:lvlJc w:val="left"/>
    </w:lvl>
    <w:lvl w:ilvl="3" w:tplc="4900F8B8">
      <w:numFmt w:val="decimal"/>
      <w:lvlText w:val=""/>
      <w:lvlJc w:val="left"/>
    </w:lvl>
    <w:lvl w:ilvl="4" w:tplc="452896D4">
      <w:numFmt w:val="decimal"/>
      <w:lvlText w:val=""/>
      <w:lvlJc w:val="left"/>
    </w:lvl>
    <w:lvl w:ilvl="5" w:tplc="D4C2C21A">
      <w:numFmt w:val="decimal"/>
      <w:lvlText w:val=""/>
      <w:lvlJc w:val="left"/>
    </w:lvl>
    <w:lvl w:ilvl="6" w:tplc="DC0C31EC">
      <w:numFmt w:val="decimal"/>
      <w:lvlText w:val=""/>
      <w:lvlJc w:val="left"/>
    </w:lvl>
    <w:lvl w:ilvl="7" w:tplc="7ACEA506">
      <w:numFmt w:val="decimal"/>
      <w:lvlText w:val=""/>
      <w:lvlJc w:val="left"/>
    </w:lvl>
    <w:lvl w:ilvl="8" w:tplc="6DC46E2C">
      <w:numFmt w:val="decimal"/>
      <w:lvlText w:val=""/>
      <w:lvlJc w:val="left"/>
    </w:lvl>
  </w:abstractNum>
  <w:abstractNum w:abstractNumId="1" w15:restartNumberingAfterBreak="0">
    <w:nsid w:val="2EB141F2"/>
    <w:multiLevelType w:val="hybridMultilevel"/>
    <w:tmpl w:val="410AA4D4"/>
    <w:lvl w:ilvl="0" w:tplc="0914C5F6">
      <w:start w:val="1"/>
      <w:numFmt w:val="bullet"/>
      <w:lvlText w:val="-"/>
      <w:lvlJc w:val="left"/>
    </w:lvl>
    <w:lvl w:ilvl="1" w:tplc="0FD4752E">
      <w:numFmt w:val="decimal"/>
      <w:lvlText w:val=""/>
      <w:lvlJc w:val="left"/>
    </w:lvl>
    <w:lvl w:ilvl="2" w:tplc="C804F97A">
      <w:numFmt w:val="decimal"/>
      <w:lvlText w:val=""/>
      <w:lvlJc w:val="left"/>
    </w:lvl>
    <w:lvl w:ilvl="3" w:tplc="6728DF78">
      <w:numFmt w:val="decimal"/>
      <w:lvlText w:val=""/>
      <w:lvlJc w:val="left"/>
    </w:lvl>
    <w:lvl w:ilvl="4" w:tplc="AA400AEA">
      <w:numFmt w:val="decimal"/>
      <w:lvlText w:val=""/>
      <w:lvlJc w:val="left"/>
    </w:lvl>
    <w:lvl w:ilvl="5" w:tplc="F52075D8">
      <w:numFmt w:val="decimal"/>
      <w:lvlText w:val=""/>
      <w:lvlJc w:val="left"/>
    </w:lvl>
    <w:lvl w:ilvl="6" w:tplc="411AD2D8">
      <w:numFmt w:val="decimal"/>
      <w:lvlText w:val=""/>
      <w:lvlJc w:val="left"/>
    </w:lvl>
    <w:lvl w:ilvl="7" w:tplc="539609DC">
      <w:numFmt w:val="decimal"/>
      <w:lvlText w:val=""/>
      <w:lvlJc w:val="left"/>
    </w:lvl>
    <w:lvl w:ilvl="8" w:tplc="C19860A0">
      <w:numFmt w:val="decimal"/>
      <w:lvlText w:val=""/>
      <w:lvlJc w:val="left"/>
    </w:lvl>
  </w:abstractNum>
  <w:abstractNum w:abstractNumId="2" w15:restartNumberingAfterBreak="0">
    <w:nsid w:val="3D1B58BA"/>
    <w:multiLevelType w:val="hybridMultilevel"/>
    <w:tmpl w:val="4FDE76F0"/>
    <w:lvl w:ilvl="0" w:tplc="33500DA8">
      <w:start w:val="11"/>
      <w:numFmt w:val="lowerLetter"/>
      <w:lvlText w:val="%1)"/>
      <w:lvlJc w:val="left"/>
    </w:lvl>
    <w:lvl w:ilvl="1" w:tplc="490E2BAA">
      <w:numFmt w:val="decimal"/>
      <w:lvlText w:val=""/>
      <w:lvlJc w:val="left"/>
    </w:lvl>
    <w:lvl w:ilvl="2" w:tplc="9F2CD142">
      <w:numFmt w:val="decimal"/>
      <w:lvlText w:val=""/>
      <w:lvlJc w:val="left"/>
    </w:lvl>
    <w:lvl w:ilvl="3" w:tplc="7EEE0D74">
      <w:numFmt w:val="decimal"/>
      <w:lvlText w:val=""/>
      <w:lvlJc w:val="left"/>
    </w:lvl>
    <w:lvl w:ilvl="4" w:tplc="5EFC41D0">
      <w:numFmt w:val="decimal"/>
      <w:lvlText w:val=""/>
      <w:lvlJc w:val="left"/>
    </w:lvl>
    <w:lvl w:ilvl="5" w:tplc="470CF084">
      <w:numFmt w:val="decimal"/>
      <w:lvlText w:val=""/>
      <w:lvlJc w:val="left"/>
    </w:lvl>
    <w:lvl w:ilvl="6" w:tplc="95D207FA">
      <w:numFmt w:val="decimal"/>
      <w:lvlText w:val=""/>
      <w:lvlJc w:val="left"/>
    </w:lvl>
    <w:lvl w:ilvl="7" w:tplc="4E9AFD86">
      <w:numFmt w:val="decimal"/>
      <w:lvlText w:val=""/>
      <w:lvlJc w:val="left"/>
    </w:lvl>
    <w:lvl w:ilvl="8" w:tplc="85E8BD06">
      <w:numFmt w:val="decimal"/>
      <w:lvlText w:val=""/>
      <w:lvlJc w:val="left"/>
    </w:lvl>
  </w:abstractNum>
  <w:abstractNum w:abstractNumId="3" w15:restartNumberingAfterBreak="0">
    <w:nsid w:val="41B71EFB"/>
    <w:multiLevelType w:val="hybridMultilevel"/>
    <w:tmpl w:val="58D422E4"/>
    <w:lvl w:ilvl="0" w:tplc="FD2E667A">
      <w:start w:val="15"/>
      <w:numFmt w:val="lowerLetter"/>
      <w:lvlText w:val="%1)"/>
      <w:lvlJc w:val="left"/>
    </w:lvl>
    <w:lvl w:ilvl="1" w:tplc="C25A874E">
      <w:numFmt w:val="decimal"/>
      <w:lvlText w:val=""/>
      <w:lvlJc w:val="left"/>
    </w:lvl>
    <w:lvl w:ilvl="2" w:tplc="1A30E638">
      <w:numFmt w:val="decimal"/>
      <w:lvlText w:val=""/>
      <w:lvlJc w:val="left"/>
    </w:lvl>
    <w:lvl w:ilvl="3" w:tplc="B1743ACE">
      <w:numFmt w:val="decimal"/>
      <w:lvlText w:val=""/>
      <w:lvlJc w:val="left"/>
    </w:lvl>
    <w:lvl w:ilvl="4" w:tplc="6CA2DB08">
      <w:numFmt w:val="decimal"/>
      <w:lvlText w:val=""/>
      <w:lvlJc w:val="left"/>
    </w:lvl>
    <w:lvl w:ilvl="5" w:tplc="60E0DE1C">
      <w:numFmt w:val="decimal"/>
      <w:lvlText w:val=""/>
      <w:lvlJc w:val="left"/>
    </w:lvl>
    <w:lvl w:ilvl="6" w:tplc="6C265326">
      <w:numFmt w:val="decimal"/>
      <w:lvlText w:val=""/>
      <w:lvlJc w:val="left"/>
    </w:lvl>
    <w:lvl w:ilvl="7" w:tplc="3E2803FE">
      <w:numFmt w:val="decimal"/>
      <w:lvlText w:val=""/>
      <w:lvlJc w:val="left"/>
    </w:lvl>
    <w:lvl w:ilvl="8" w:tplc="71EC04EA">
      <w:numFmt w:val="decimal"/>
      <w:lvlText w:val=""/>
      <w:lvlJc w:val="left"/>
    </w:lvl>
  </w:abstractNum>
  <w:abstractNum w:abstractNumId="4" w15:restartNumberingAfterBreak="0">
    <w:nsid w:val="46E87CCD"/>
    <w:multiLevelType w:val="hybridMultilevel"/>
    <w:tmpl w:val="1B141904"/>
    <w:lvl w:ilvl="0" w:tplc="2CB45664">
      <w:start w:val="7"/>
      <w:numFmt w:val="lowerLetter"/>
      <w:lvlText w:val="%1)"/>
      <w:lvlJc w:val="left"/>
    </w:lvl>
    <w:lvl w:ilvl="1" w:tplc="9D00A270">
      <w:start w:val="1"/>
      <w:numFmt w:val="bullet"/>
      <w:lvlText w:val="-"/>
      <w:lvlJc w:val="left"/>
    </w:lvl>
    <w:lvl w:ilvl="2" w:tplc="1812EFF2">
      <w:numFmt w:val="decimal"/>
      <w:lvlText w:val=""/>
      <w:lvlJc w:val="left"/>
    </w:lvl>
    <w:lvl w:ilvl="3" w:tplc="AE300E92">
      <w:numFmt w:val="decimal"/>
      <w:lvlText w:val=""/>
      <w:lvlJc w:val="left"/>
    </w:lvl>
    <w:lvl w:ilvl="4" w:tplc="71786EAE">
      <w:numFmt w:val="decimal"/>
      <w:lvlText w:val=""/>
      <w:lvlJc w:val="left"/>
    </w:lvl>
    <w:lvl w:ilvl="5" w:tplc="80C6B4A6">
      <w:numFmt w:val="decimal"/>
      <w:lvlText w:val=""/>
      <w:lvlJc w:val="left"/>
    </w:lvl>
    <w:lvl w:ilvl="6" w:tplc="DB68E374">
      <w:numFmt w:val="decimal"/>
      <w:lvlText w:val=""/>
      <w:lvlJc w:val="left"/>
    </w:lvl>
    <w:lvl w:ilvl="7" w:tplc="58B6DABA">
      <w:numFmt w:val="decimal"/>
      <w:lvlText w:val=""/>
      <w:lvlJc w:val="left"/>
    </w:lvl>
    <w:lvl w:ilvl="8" w:tplc="9800E2CC">
      <w:numFmt w:val="decimal"/>
      <w:lvlText w:val=""/>
      <w:lvlJc w:val="left"/>
    </w:lvl>
  </w:abstractNum>
  <w:abstractNum w:abstractNumId="5" w15:restartNumberingAfterBreak="0">
    <w:nsid w:val="507ED7AB"/>
    <w:multiLevelType w:val="hybridMultilevel"/>
    <w:tmpl w:val="269A6C1A"/>
    <w:lvl w:ilvl="0" w:tplc="875C6E88">
      <w:start w:val="1"/>
      <w:numFmt w:val="decimal"/>
      <w:lvlText w:val="%1"/>
      <w:lvlJc w:val="left"/>
    </w:lvl>
    <w:lvl w:ilvl="1" w:tplc="BF1E8D6E">
      <w:numFmt w:val="decimal"/>
      <w:lvlText w:val=""/>
      <w:lvlJc w:val="left"/>
    </w:lvl>
    <w:lvl w:ilvl="2" w:tplc="39C47CB0">
      <w:numFmt w:val="decimal"/>
      <w:lvlText w:val=""/>
      <w:lvlJc w:val="left"/>
    </w:lvl>
    <w:lvl w:ilvl="3" w:tplc="D604009C">
      <w:numFmt w:val="decimal"/>
      <w:lvlText w:val=""/>
      <w:lvlJc w:val="left"/>
    </w:lvl>
    <w:lvl w:ilvl="4" w:tplc="C5028DCE">
      <w:numFmt w:val="decimal"/>
      <w:lvlText w:val=""/>
      <w:lvlJc w:val="left"/>
    </w:lvl>
    <w:lvl w:ilvl="5" w:tplc="81FE8F66">
      <w:numFmt w:val="decimal"/>
      <w:lvlText w:val=""/>
      <w:lvlJc w:val="left"/>
    </w:lvl>
    <w:lvl w:ilvl="6" w:tplc="B55ADE58">
      <w:numFmt w:val="decimal"/>
      <w:lvlText w:val=""/>
      <w:lvlJc w:val="left"/>
    </w:lvl>
    <w:lvl w:ilvl="7" w:tplc="8CF88626">
      <w:numFmt w:val="decimal"/>
      <w:lvlText w:val=""/>
      <w:lvlJc w:val="left"/>
    </w:lvl>
    <w:lvl w:ilvl="8" w:tplc="F6023B4C">
      <w:numFmt w:val="decimal"/>
      <w:lvlText w:val=""/>
      <w:lvlJc w:val="left"/>
    </w:lvl>
  </w:abstractNum>
  <w:abstractNum w:abstractNumId="6" w15:restartNumberingAfterBreak="0">
    <w:nsid w:val="625558EC"/>
    <w:multiLevelType w:val="hybridMultilevel"/>
    <w:tmpl w:val="69D4636E"/>
    <w:lvl w:ilvl="0" w:tplc="0220DCFE">
      <w:start w:val="1"/>
      <w:numFmt w:val="lowerLetter"/>
      <w:lvlText w:val="%1)"/>
      <w:lvlJc w:val="left"/>
    </w:lvl>
    <w:lvl w:ilvl="1" w:tplc="8A0C790A">
      <w:numFmt w:val="decimal"/>
      <w:lvlText w:val=""/>
      <w:lvlJc w:val="left"/>
    </w:lvl>
    <w:lvl w:ilvl="2" w:tplc="F8463E16">
      <w:numFmt w:val="decimal"/>
      <w:lvlText w:val=""/>
      <w:lvlJc w:val="left"/>
    </w:lvl>
    <w:lvl w:ilvl="3" w:tplc="2758C23A">
      <w:numFmt w:val="decimal"/>
      <w:lvlText w:val=""/>
      <w:lvlJc w:val="left"/>
    </w:lvl>
    <w:lvl w:ilvl="4" w:tplc="AFDC0E22">
      <w:numFmt w:val="decimal"/>
      <w:lvlText w:val=""/>
      <w:lvlJc w:val="left"/>
    </w:lvl>
    <w:lvl w:ilvl="5" w:tplc="A9C0C8CE">
      <w:numFmt w:val="decimal"/>
      <w:lvlText w:val=""/>
      <w:lvlJc w:val="left"/>
    </w:lvl>
    <w:lvl w:ilvl="6" w:tplc="3F08A96A">
      <w:numFmt w:val="decimal"/>
      <w:lvlText w:val=""/>
      <w:lvlJc w:val="left"/>
    </w:lvl>
    <w:lvl w:ilvl="7" w:tplc="C95EB3B8">
      <w:numFmt w:val="decimal"/>
      <w:lvlText w:val=""/>
      <w:lvlJc w:val="left"/>
    </w:lvl>
    <w:lvl w:ilvl="8" w:tplc="169CCAB8">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F2"/>
    <w:rsid w:val="002A009A"/>
    <w:rsid w:val="003052E3"/>
    <w:rsid w:val="00536AE5"/>
    <w:rsid w:val="0055396F"/>
    <w:rsid w:val="007848C3"/>
    <w:rsid w:val="00785606"/>
    <w:rsid w:val="0079195E"/>
    <w:rsid w:val="00997604"/>
    <w:rsid w:val="00E146F2"/>
    <w:rsid w:val="00E87CE7"/>
    <w:rsid w:val="00F6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2D29"/>
  <w15:docId w15:val="{DEEFEC7D-424E-4602-90E5-9C544B24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7604"/>
    <w:pPr>
      <w:tabs>
        <w:tab w:val="center" w:pos="4536"/>
        <w:tab w:val="right" w:pos="9072"/>
      </w:tabs>
    </w:pPr>
  </w:style>
  <w:style w:type="character" w:customStyle="1" w:styleId="ZhlavChar">
    <w:name w:val="Záhlaví Char"/>
    <w:basedOn w:val="Standardnpsmoodstavce"/>
    <w:link w:val="Zhlav"/>
    <w:uiPriority w:val="99"/>
    <w:rsid w:val="00997604"/>
  </w:style>
  <w:style w:type="paragraph" w:styleId="Zpat">
    <w:name w:val="footer"/>
    <w:basedOn w:val="Normln"/>
    <w:link w:val="ZpatChar"/>
    <w:uiPriority w:val="99"/>
    <w:unhideWhenUsed/>
    <w:rsid w:val="00997604"/>
    <w:pPr>
      <w:tabs>
        <w:tab w:val="center" w:pos="4536"/>
        <w:tab w:val="right" w:pos="9072"/>
      </w:tabs>
    </w:pPr>
  </w:style>
  <w:style w:type="character" w:customStyle="1" w:styleId="ZpatChar">
    <w:name w:val="Zápatí Char"/>
    <w:basedOn w:val="Standardnpsmoodstavce"/>
    <w:link w:val="Zpat"/>
    <w:uiPriority w:val="99"/>
    <w:rsid w:val="00997604"/>
  </w:style>
  <w:style w:type="paragraph" w:styleId="Odstavecseseznamem">
    <w:name w:val="List Paragraph"/>
    <w:basedOn w:val="Normln"/>
    <w:uiPriority w:val="34"/>
    <w:qFormat/>
    <w:rsid w:val="00997604"/>
    <w:pPr>
      <w:ind w:left="720"/>
      <w:contextualSpacing/>
    </w:pPr>
  </w:style>
  <w:style w:type="paragraph" w:styleId="Textpoznpodarou">
    <w:name w:val="footnote text"/>
    <w:basedOn w:val="Normln"/>
    <w:link w:val="TextpoznpodarouChar"/>
    <w:uiPriority w:val="99"/>
    <w:semiHidden/>
    <w:unhideWhenUsed/>
    <w:rsid w:val="002A009A"/>
    <w:rPr>
      <w:sz w:val="20"/>
      <w:szCs w:val="20"/>
    </w:rPr>
  </w:style>
  <w:style w:type="character" w:customStyle="1" w:styleId="TextpoznpodarouChar">
    <w:name w:val="Text pozn. pod čarou Char"/>
    <w:basedOn w:val="Standardnpsmoodstavce"/>
    <w:link w:val="Textpoznpodarou"/>
    <w:uiPriority w:val="99"/>
    <w:semiHidden/>
    <w:rsid w:val="002A009A"/>
    <w:rPr>
      <w:sz w:val="20"/>
      <w:szCs w:val="20"/>
    </w:rPr>
  </w:style>
  <w:style w:type="character" w:styleId="Znakapoznpodarou">
    <w:name w:val="footnote reference"/>
    <w:basedOn w:val="Standardnpsmoodstavce"/>
    <w:uiPriority w:val="99"/>
    <w:semiHidden/>
    <w:unhideWhenUsed/>
    <w:rsid w:val="002A0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2ACB-BCA7-40F1-A994-1931B823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5169</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Koubková Ivana</cp:lastModifiedBy>
  <cp:revision>3</cp:revision>
  <dcterms:created xsi:type="dcterms:W3CDTF">2023-02-06T14:36:00Z</dcterms:created>
  <dcterms:modified xsi:type="dcterms:W3CDTF">2023-02-06T14:37:00Z</dcterms:modified>
</cp:coreProperties>
</file>