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77777777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1 </w:t>
      </w:r>
    </w:p>
    <w:p w14:paraId="11707B69" w14:textId="177844C3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>k</w:t>
      </w:r>
      <w:r w:rsidR="008E26B7">
        <w:rPr>
          <w:rFonts w:ascii="Arial" w:hAnsi="Arial" w:cs="Arial"/>
          <w:sz w:val="36"/>
          <w:lang w:eastAsia="cs-CZ" w:bidi="ar-SA"/>
        </w:rPr>
        <w:t> </w:t>
      </w:r>
      <w:bookmarkStart w:id="0" w:name="OLE_LINK2"/>
      <w:bookmarkStart w:id="1" w:name="OLE_LINK1"/>
      <w:r w:rsidR="008E26B7">
        <w:rPr>
          <w:rFonts w:ascii="Arial" w:hAnsi="Arial" w:cs="Arial"/>
          <w:sz w:val="36"/>
          <w:lang w:eastAsia="cs-CZ" w:bidi="ar-SA"/>
        </w:rPr>
        <w:t xml:space="preserve">Dohodě </w:t>
      </w:r>
      <w:r w:rsidR="00D81136">
        <w:rPr>
          <w:rFonts w:ascii="Arial" w:hAnsi="Arial" w:cs="Arial"/>
          <w:sz w:val="36"/>
          <w:lang w:eastAsia="cs-CZ" w:bidi="ar-SA"/>
        </w:rPr>
        <w:t>o úhradě nákladů na rekonstrukci komunikace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bookmarkEnd w:id="0"/>
    <w:bookmarkEnd w:id="1"/>
    <w:p w14:paraId="773CB548" w14:textId="77777777" w:rsidR="003F788C" w:rsidRDefault="003F788C" w:rsidP="003F788C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Smluvní strany</w:t>
      </w:r>
      <w:r>
        <w:rPr>
          <w:rFonts w:ascii="Arial" w:hAnsi="Arial" w:cs="Arial"/>
          <w:b/>
          <w:bCs/>
          <w:color w:val="000000"/>
        </w:rPr>
        <w:tab/>
      </w:r>
    </w:p>
    <w:p w14:paraId="6F039373" w14:textId="77777777" w:rsidR="003F788C" w:rsidRDefault="003F788C" w:rsidP="003F7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3607"/>
        <w:gridCol w:w="3965"/>
      </w:tblGrid>
      <w:tr w:rsidR="003F788C" w14:paraId="263B8EA0" w14:textId="77777777" w:rsidTr="00FA59D8">
        <w:tc>
          <w:tcPr>
            <w:tcW w:w="1500" w:type="dxa"/>
            <w:shd w:val="clear" w:color="auto" w:fill="auto"/>
            <w:vAlign w:val="center"/>
          </w:tcPr>
          <w:p w14:paraId="773C8C33" w14:textId="3396D153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8DB703E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456DF42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9D8" w14:paraId="2992AB6F" w14:textId="77777777" w:rsidTr="00FA59D8">
        <w:tc>
          <w:tcPr>
            <w:tcW w:w="1500" w:type="dxa"/>
            <w:shd w:val="clear" w:color="auto" w:fill="auto"/>
            <w:vAlign w:val="center"/>
          </w:tcPr>
          <w:p w14:paraId="55DB5489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A46DF63" w14:textId="393E76B3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23D3B5D" w14:textId="7AF87693" w:rsidR="00FA59D8" w:rsidRDefault="00D81136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GasNet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6BF4CE13" w14:textId="2EE0EB3A" w:rsidR="00FA59D8" w:rsidRPr="000A126C" w:rsidRDefault="00D81136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Klišská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940/96,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Klíše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400 01 Ústí nad Labem</w:t>
            </w:r>
          </w:p>
        </w:tc>
      </w:tr>
      <w:tr w:rsidR="00FA59D8" w14:paraId="503E47CE" w14:textId="77777777" w:rsidTr="00FA59D8">
        <w:tc>
          <w:tcPr>
            <w:tcW w:w="1500" w:type="dxa"/>
            <w:shd w:val="clear" w:color="auto" w:fill="auto"/>
            <w:vAlign w:val="center"/>
          </w:tcPr>
          <w:p w14:paraId="7AC796F7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5F7732C" w14:textId="2A42C2AF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0A3920" w14:textId="69EE5D9A" w:rsidR="00FA59D8" w:rsidRPr="00D81136" w:rsidRDefault="0052729A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FA59D8" w14:paraId="79909E6E" w14:textId="77777777" w:rsidTr="00FA59D8">
        <w:tc>
          <w:tcPr>
            <w:tcW w:w="1500" w:type="dxa"/>
            <w:shd w:val="clear" w:color="auto" w:fill="auto"/>
            <w:vAlign w:val="center"/>
          </w:tcPr>
          <w:p w14:paraId="0055991C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EDF7088" w14:textId="590CACB7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CECF571" w14:textId="115A0462" w:rsidR="00FA59D8" w:rsidRPr="00C5045F" w:rsidRDefault="00FA59D8" w:rsidP="006B67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045F">
              <w:rPr>
                <w:rFonts w:ascii="Arial" w:hAnsi="Arial" w:cs="Arial"/>
                <w:bCs/>
                <w:sz w:val="20"/>
                <w:szCs w:val="20"/>
              </w:rPr>
              <w:t>CZ</w:t>
            </w:r>
            <w:r w:rsidR="006B67E6" w:rsidRPr="00C5045F">
              <w:rPr>
                <w:rFonts w:ascii="Arial" w:hAnsi="Arial" w:cs="Arial"/>
                <w:bCs/>
                <w:sz w:val="20"/>
                <w:szCs w:val="20"/>
              </w:rPr>
              <w:t>27295567</w:t>
            </w:r>
          </w:p>
        </w:tc>
      </w:tr>
      <w:tr w:rsidR="00FA59D8" w14:paraId="0768BFC2" w14:textId="77777777" w:rsidTr="00FA59D8">
        <w:tc>
          <w:tcPr>
            <w:tcW w:w="1500" w:type="dxa"/>
            <w:shd w:val="clear" w:color="auto" w:fill="auto"/>
            <w:vAlign w:val="center"/>
          </w:tcPr>
          <w:p w14:paraId="3C1ACC82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B247C74" w14:textId="43D2933D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C75730" w14:textId="123906C7" w:rsidR="00FA59D8" w:rsidRPr="00C5045F" w:rsidRDefault="00C5045F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5045F">
              <w:rPr>
                <w:rFonts w:ascii="Arial" w:hAnsi="Arial" w:cs="Arial"/>
                <w:bCs/>
                <w:sz w:val="20"/>
                <w:szCs w:val="20"/>
              </w:rPr>
              <w:t>27295567</w:t>
            </w:r>
          </w:p>
        </w:tc>
      </w:tr>
      <w:tr w:rsidR="00FA59D8" w14:paraId="2CF4F953" w14:textId="77777777" w:rsidTr="00FA59D8">
        <w:tc>
          <w:tcPr>
            <w:tcW w:w="1500" w:type="dxa"/>
            <w:shd w:val="clear" w:color="auto" w:fill="auto"/>
            <w:vAlign w:val="center"/>
          </w:tcPr>
          <w:p w14:paraId="58911791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1420851" w14:textId="3EFFC8AF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D45E1D1" w14:textId="2C35A953" w:rsidR="00FA59D8" w:rsidRPr="00D81136" w:rsidRDefault="0052729A" w:rsidP="00527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</w:t>
            </w:r>
            <w:proofErr w:type="spellEnd"/>
            <w:r w:rsidR="00AE40DC" w:rsidRPr="00AE40DC">
              <w:rPr>
                <w:rFonts w:ascii="Arial" w:hAnsi="Arial" w:cs="Arial"/>
                <w:bCs/>
                <w:sz w:val="20"/>
                <w:szCs w:val="20"/>
              </w:rPr>
              <w:t xml:space="preserve"> – ředitel strategie a správy DS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xxxx</w:t>
            </w:r>
            <w:bookmarkStart w:id="2" w:name="_GoBack"/>
            <w:bookmarkEnd w:id="2"/>
            <w:r w:rsidR="00AE40DC" w:rsidRPr="00AE40DC">
              <w:rPr>
                <w:rFonts w:ascii="Arial" w:hAnsi="Arial" w:cs="Arial"/>
                <w:bCs/>
                <w:sz w:val="20"/>
                <w:szCs w:val="20"/>
              </w:rPr>
              <w:t>, vedoucí správy DS-Čechy východ</w:t>
            </w:r>
          </w:p>
        </w:tc>
      </w:tr>
      <w:tr w:rsidR="00FA59D8" w14:paraId="508724C8" w14:textId="77777777" w:rsidTr="00FA59D8">
        <w:tc>
          <w:tcPr>
            <w:tcW w:w="1500" w:type="dxa"/>
            <w:shd w:val="clear" w:color="auto" w:fill="auto"/>
            <w:vAlign w:val="center"/>
          </w:tcPr>
          <w:p w14:paraId="4D0DBC4B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22FD6C9A" w14:textId="261753F9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471F42" w14:textId="0EA2DF74" w:rsidR="00542408" w:rsidRPr="00D81136" w:rsidRDefault="00E01F37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FA59D8" w14:paraId="3B65F164" w14:textId="77777777" w:rsidTr="00FA59D8">
        <w:tc>
          <w:tcPr>
            <w:tcW w:w="1500" w:type="dxa"/>
            <w:shd w:val="clear" w:color="auto" w:fill="auto"/>
            <w:vAlign w:val="center"/>
          </w:tcPr>
          <w:p w14:paraId="6B9AE598" w14:textId="287D7C6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3066E95D" w14:textId="6FD43636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  <w:shd w:val="clear" w:color="auto" w:fill="auto"/>
          </w:tcPr>
          <w:p w14:paraId="7713530C" w14:textId="3B30A124" w:rsidR="00FA59D8" w:rsidRPr="00D81136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2F284BC5" w14:textId="77777777" w:rsidR="003F788C" w:rsidRDefault="003F788C" w:rsidP="003F788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2"/>
        <w:gridCol w:w="3645"/>
        <w:gridCol w:w="3995"/>
      </w:tblGrid>
      <w:tr w:rsidR="003F788C" w14:paraId="0B8763CD" w14:textId="77777777" w:rsidTr="00880EA1">
        <w:tc>
          <w:tcPr>
            <w:tcW w:w="1526" w:type="dxa"/>
            <w:shd w:val="clear" w:color="auto" w:fill="auto"/>
            <w:vAlign w:val="center"/>
          </w:tcPr>
          <w:p w14:paraId="37EF92A4" w14:textId="3BE929E1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D981C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F53C3B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35DD3703" w14:textId="77777777" w:rsidTr="00880EA1">
        <w:tc>
          <w:tcPr>
            <w:tcW w:w="1526" w:type="dxa"/>
            <w:shd w:val="clear" w:color="auto" w:fill="auto"/>
            <w:vAlign w:val="center"/>
          </w:tcPr>
          <w:p w14:paraId="640C64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7EF2F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33C282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F788C" w14:paraId="42D6E500" w14:textId="77777777" w:rsidTr="00880EA1">
        <w:tc>
          <w:tcPr>
            <w:tcW w:w="1526" w:type="dxa"/>
            <w:shd w:val="clear" w:color="auto" w:fill="auto"/>
            <w:vAlign w:val="center"/>
          </w:tcPr>
          <w:p w14:paraId="0294359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D81DD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FCDDD5" w14:textId="5EFC6FE3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nám. T.</w:t>
            </w:r>
            <w:r w:rsidR="003C15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G.</w:t>
            </w:r>
            <w:r w:rsidR="003C15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Masaryka 32/29, 571 01 Moravská Třebová</w:t>
            </w:r>
          </w:p>
        </w:tc>
      </w:tr>
      <w:tr w:rsidR="003F788C" w14:paraId="44C96185" w14:textId="77777777" w:rsidTr="00880EA1">
        <w:tc>
          <w:tcPr>
            <w:tcW w:w="1526" w:type="dxa"/>
            <w:shd w:val="clear" w:color="auto" w:fill="auto"/>
            <w:vAlign w:val="center"/>
          </w:tcPr>
          <w:p w14:paraId="491BF7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61DC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10A65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F788C" w14:paraId="6112B98B" w14:textId="77777777" w:rsidTr="00880EA1">
        <w:tc>
          <w:tcPr>
            <w:tcW w:w="1526" w:type="dxa"/>
            <w:shd w:val="clear" w:color="auto" w:fill="auto"/>
            <w:vAlign w:val="center"/>
          </w:tcPr>
          <w:p w14:paraId="7CAEFAF6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DEB2C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D7DE04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F788C" w14:paraId="49F43A5D" w14:textId="77777777" w:rsidTr="00880EA1">
        <w:tc>
          <w:tcPr>
            <w:tcW w:w="1526" w:type="dxa"/>
            <w:shd w:val="clear" w:color="auto" w:fill="auto"/>
            <w:vAlign w:val="center"/>
          </w:tcPr>
          <w:p w14:paraId="2665061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A7EFE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1AB76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F788C" w14:paraId="1FC7C9C8" w14:textId="77777777" w:rsidTr="00880EA1">
        <w:tc>
          <w:tcPr>
            <w:tcW w:w="1526" w:type="dxa"/>
            <w:shd w:val="clear" w:color="auto" w:fill="auto"/>
            <w:vAlign w:val="center"/>
          </w:tcPr>
          <w:p w14:paraId="396FDD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82D83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AD63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Milošem Mičkou, starostou města</w:t>
            </w:r>
          </w:p>
        </w:tc>
      </w:tr>
      <w:tr w:rsidR="003F788C" w14:paraId="1094D802" w14:textId="77777777" w:rsidTr="00880EA1">
        <w:tc>
          <w:tcPr>
            <w:tcW w:w="1526" w:type="dxa"/>
            <w:shd w:val="clear" w:color="auto" w:fill="auto"/>
            <w:vAlign w:val="center"/>
          </w:tcPr>
          <w:p w14:paraId="4E94CFB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F102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21D13FE" w14:textId="0B3565BF" w:rsidR="003F788C" w:rsidRDefault="00E01F37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3F788C" w14:paraId="55E31852" w14:textId="77777777" w:rsidTr="00880EA1">
        <w:tc>
          <w:tcPr>
            <w:tcW w:w="1526" w:type="dxa"/>
            <w:shd w:val="clear" w:color="auto" w:fill="auto"/>
            <w:vAlign w:val="center"/>
          </w:tcPr>
          <w:p w14:paraId="392F8B4F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003395" w14:textId="46BB613C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52C7CBD2" w14:textId="1D8E1BFB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D5D8C8" w14:textId="77777777" w:rsidR="00DD2430" w:rsidRPr="00FA59D8" w:rsidRDefault="00DD2430" w:rsidP="00DD243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EA2E05" w14:textId="77777777" w:rsidR="00DD2430" w:rsidRPr="00FA59D8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41AA74A4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FA59D8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FA59D8">
        <w:rPr>
          <w:rFonts w:ascii="Arial" w:hAnsi="Arial" w:cs="Arial"/>
          <w:b w:val="0"/>
          <w:sz w:val="20"/>
          <w:lang w:eastAsia="cs-CZ" w:bidi="ar-SA"/>
        </w:rPr>
        <w:t>č.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423D63">
        <w:rPr>
          <w:rFonts w:ascii="Arial" w:hAnsi="Arial" w:cs="Arial"/>
          <w:b w:val="0"/>
          <w:sz w:val="20"/>
          <w:lang w:eastAsia="cs-CZ" w:bidi="ar-SA"/>
        </w:rPr>
        <w:t xml:space="preserve">1 k Dohodě o úhradě nákladů na rekonstrukci komunikace </w:t>
      </w:r>
      <w:r w:rsidR="00FA59D8" w:rsidRPr="00FA59D8">
        <w:rPr>
          <w:rFonts w:ascii="Arial" w:hAnsi="Arial" w:cs="Arial"/>
          <w:b w:val="0"/>
          <w:sz w:val="20"/>
          <w:lang w:eastAsia="cs-CZ" w:bidi="ar-SA"/>
        </w:rPr>
        <w:t xml:space="preserve">ze </w:t>
      </w:r>
      <w:r w:rsidR="00FA59D8" w:rsidRPr="008E26B7">
        <w:rPr>
          <w:rFonts w:ascii="Arial" w:hAnsi="Arial" w:cs="Arial"/>
          <w:b w:val="0"/>
          <w:sz w:val="20"/>
          <w:lang w:eastAsia="cs-CZ" w:bidi="ar-SA"/>
        </w:rPr>
        <w:t xml:space="preserve">dne </w:t>
      </w:r>
      <w:r w:rsidR="008E26B7" w:rsidRPr="008E26B7">
        <w:rPr>
          <w:rFonts w:ascii="Arial" w:hAnsi="Arial" w:cs="Arial"/>
          <w:b w:val="0"/>
          <w:sz w:val="20"/>
          <w:lang w:eastAsia="cs-CZ" w:bidi="ar-SA"/>
        </w:rPr>
        <w:t>14</w:t>
      </w:r>
      <w:r w:rsidR="001E4121" w:rsidRPr="008E26B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8E26B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8E26B7">
        <w:rPr>
          <w:rFonts w:ascii="Arial" w:hAnsi="Arial" w:cs="Arial"/>
          <w:b w:val="0"/>
          <w:sz w:val="20"/>
          <w:lang w:eastAsia="cs-CZ" w:bidi="ar-SA"/>
        </w:rPr>
        <w:t>0</w:t>
      </w:r>
      <w:r w:rsidR="008E26B7" w:rsidRPr="008E26B7">
        <w:rPr>
          <w:rFonts w:ascii="Arial" w:hAnsi="Arial" w:cs="Arial"/>
          <w:b w:val="0"/>
          <w:sz w:val="20"/>
          <w:lang w:eastAsia="cs-CZ" w:bidi="ar-SA"/>
        </w:rPr>
        <w:t>9</w:t>
      </w:r>
      <w:r w:rsidR="001E4121" w:rsidRPr="008E26B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8E26B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8E26B7" w:rsidRPr="008E26B7">
        <w:rPr>
          <w:rFonts w:ascii="Arial" w:hAnsi="Arial" w:cs="Arial"/>
          <w:b w:val="0"/>
          <w:sz w:val="20"/>
          <w:lang w:eastAsia="cs-CZ" w:bidi="ar-SA"/>
        </w:rPr>
        <w:t>2020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2F90B7B4" w:rsidR="00DD2430" w:rsidRPr="003C1576" w:rsidRDefault="00DD2430" w:rsidP="003C1576">
      <w:pPr>
        <w:pStyle w:val="Odstavecseseznamem"/>
        <w:numPr>
          <w:ilvl w:val="0"/>
          <w:numId w:val="27"/>
        </w:numPr>
        <w:jc w:val="center"/>
        <w:rPr>
          <w:rFonts w:ascii="Arial" w:hAnsi="Arial" w:cs="Arial"/>
          <w:b/>
          <w:sz w:val="22"/>
          <w:szCs w:val="20"/>
        </w:rPr>
      </w:pPr>
      <w:r w:rsidRPr="003C157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3C157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63405B09" w:rsidR="00F92698" w:rsidRPr="00DD38EB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DD38EB">
        <w:rPr>
          <w:rFonts w:ascii="Arial" w:hAnsi="Arial" w:cs="Arial"/>
          <w:sz w:val="20"/>
          <w:szCs w:val="20"/>
        </w:rPr>
        <w:t>S</w:t>
      </w:r>
      <w:r w:rsidR="005D5E69">
        <w:rPr>
          <w:rFonts w:ascii="Arial" w:hAnsi="Arial" w:cs="Arial"/>
          <w:sz w:val="20"/>
          <w:szCs w:val="20"/>
        </w:rPr>
        <w:t>mluvní strany uzavírají dodatek</w:t>
      </w:r>
      <w:r w:rsidRPr="00DD38EB">
        <w:rPr>
          <w:rFonts w:ascii="Arial" w:hAnsi="Arial" w:cs="Arial"/>
          <w:sz w:val="20"/>
          <w:szCs w:val="20"/>
        </w:rPr>
        <w:t xml:space="preserve"> z důvodu změny </w:t>
      </w:r>
      <w:r w:rsidR="00CE6389" w:rsidRPr="00DD38EB">
        <w:rPr>
          <w:rFonts w:ascii="Arial" w:hAnsi="Arial" w:cs="Arial"/>
          <w:sz w:val="20"/>
          <w:szCs w:val="20"/>
        </w:rPr>
        <w:t xml:space="preserve">termínu </w:t>
      </w:r>
      <w:r w:rsidR="00DD38EB">
        <w:rPr>
          <w:rFonts w:ascii="Arial" w:hAnsi="Arial" w:cs="Arial"/>
          <w:sz w:val="20"/>
          <w:szCs w:val="20"/>
        </w:rPr>
        <w:t xml:space="preserve">realizace </w:t>
      </w:r>
      <w:r w:rsidR="002D6684">
        <w:rPr>
          <w:rFonts w:ascii="Arial" w:hAnsi="Arial" w:cs="Arial"/>
          <w:sz w:val="20"/>
          <w:szCs w:val="20"/>
        </w:rPr>
        <w:t xml:space="preserve">rekonstrukce </w:t>
      </w:r>
      <w:r w:rsidR="00DD38EB">
        <w:rPr>
          <w:rFonts w:ascii="Arial" w:hAnsi="Arial" w:cs="Arial"/>
          <w:sz w:val="20"/>
          <w:szCs w:val="20"/>
        </w:rPr>
        <w:t>komunikace.</w:t>
      </w:r>
    </w:p>
    <w:p w14:paraId="79B938DB" w14:textId="36F15358" w:rsidR="00F92698" w:rsidRPr="00DD38EB" w:rsidRDefault="00615723" w:rsidP="00615723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DD38EB">
        <w:rPr>
          <w:rFonts w:ascii="Arial" w:hAnsi="Arial" w:cs="Arial"/>
          <w:sz w:val="20"/>
          <w:szCs w:val="20"/>
        </w:rPr>
        <w:t xml:space="preserve">Na základě výše uvedené skutečnosti se smluvní strany dohodly na změně </w:t>
      </w:r>
      <w:r w:rsidR="00DD38EB" w:rsidRPr="00DD38EB">
        <w:rPr>
          <w:rFonts w:ascii="Arial" w:hAnsi="Arial" w:cs="Arial"/>
          <w:sz w:val="20"/>
          <w:szCs w:val="20"/>
        </w:rPr>
        <w:t xml:space="preserve">Čl. </w:t>
      </w:r>
      <w:r w:rsidR="002D6684">
        <w:rPr>
          <w:rFonts w:ascii="Arial" w:hAnsi="Arial" w:cs="Arial"/>
          <w:sz w:val="20"/>
          <w:szCs w:val="20"/>
        </w:rPr>
        <w:t>III.</w:t>
      </w:r>
      <w:r w:rsidR="007F3746">
        <w:rPr>
          <w:rFonts w:ascii="Arial" w:hAnsi="Arial" w:cs="Arial"/>
          <w:sz w:val="20"/>
          <w:szCs w:val="20"/>
        </w:rPr>
        <w:t xml:space="preserve"> </w:t>
      </w:r>
      <w:r w:rsidR="003C1576">
        <w:rPr>
          <w:rFonts w:ascii="Arial" w:hAnsi="Arial" w:cs="Arial"/>
          <w:sz w:val="20"/>
          <w:szCs w:val="20"/>
        </w:rPr>
        <w:t>odst.</w:t>
      </w:r>
      <w:r w:rsidR="002D6684">
        <w:rPr>
          <w:rFonts w:ascii="Arial" w:hAnsi="Arial" w:cs="Arial"/>
          <w:sz w:val="20"/>
          <w:szCs w:val="20"/>
        </w:rPr>
        <w:t xml:space="preserve"> 3 </w:t>
      </w:r>
      <w:r w:rsidR="00DD38EB" w:rsidRPr="00DD38EB">
        <w:rPr>
          <w:rFonts w:ascii="Arial" w:hAnsi="Arial" w:cs="Arial"/>
          <w:sz w:val="20"/>
          <w:szCs w:val="20"/>
        </w:rPr>
        <w:t>Dohody o úhradě nákladů na rekonstrukci komunikace</w:t>
      </w:r>
      <w:r w:rsidRPr="00DD38EB">
        <w:rPr>
          <w:rFonts w:ascii="Arial" w:hAnsi="Arial" w:cs="Arial"/>
          <w:sz w:val="20"/>
          <w:szCs w:val="20"/>
        </w:rPr>
        <w:t>, který nově zní:</w:t>
      </w:r>
      <w:r w:rsidR="00F92698" w:rsidRPr="00DD38EB">
        <w:rPr>
          <w:rFonts w:ascii="Arial" w:hAnsi="Arial" w:cs="Arial"/>
          <w:sz w:val="20"/>
          <w:szCs w:val="20"/>
        </w:rPr>
        <w:t xml:space="preserve"> </w:t>
      </w:r>
    </w:p>
    <w:p w14:paraId="0B90EF05" w14:textId="1BCA58F9" w:rsidR="007226AC" w:rsidRPr="001D1474" w:rsidRDefault="00EB2948" w:rsidP="00D04374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D1474">
        <w:rPr>
          <w:rFonts w:ascii="Arial" w:hAnsi="Arial" w:cs="Arial"/>
          <w:color w:val="000000"/>
          <w:sz w:val="20"/>
          <w:szCs w:val="20"/>
        </w:rPr>
        <w:t xml:space="preserve">Smluvní strany se shodly, že </w:t>
      </w:r>
      <w:proofErr w:type="spellStart"/>
      <w:r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se bude finančně podílet na provedení rekonstrukce Komunikace, s ohledem na rozsah komunikace, který bude dotčen jeho stavbou, částkou 344 834,25 Kč (slovy: tři sta čtyřicet čtyři tisíc osm set třicet čtyři korun českých</w:t>
      </w:r>
      <w:r w:rsidR="003C1576">
        <w:rPr>
          <w:rFonts w:ascii="Arial" w:hAnsi="Arial" w:cs="Arial"/>
          <w:color w:val="000000"/>
          <w:sz w:val="20"/>
          <w:szCs w:val="20"/>
        </w:rPr>
        <w:t xml:space="preserve"> dvacet pět haléřů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), která představuje částku, kterou by byl </w:t>
      </w:r>
      <w:proofErr w:type="spellStart"/>
      <w:r w:rsidR="00080B16"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povinen vynaložit na uvedení povrchu Komunikace do předešlého stavu po provedení Stav</w:t>
      </w:r>
      <w:r w:rsidR="002D6684">
        <w:rPr>
          <w:rFonts w:ascii="Arial" w:hAnsi="Arial" w:cs="Arial"/>
          <w:color w:val="000000"/>
          <w:sz w:val="20"/>
          <w:szCs w:val="20"/>
        </w:rPr>
        <w:t>b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y – </w:t>
      </w:r>
      <w:proofErr w:type="gramStart"/>
      <w:r w:rsidR="00080B16" w:rsidRPr="001D1474">
        <w:rPr>
          <w:rFonts w:ascii="Arial" w:hAnsi="Arial" w:cs="Arial"/>
          <w:color w:val="000000"/>
          <w:sz w:val="20"/>
          <w:szCs w:val="20"/>
        </w:rPr>
        <w:t>viz</w:t>
      </w:r>
      <w:r w:rsidR="00CE401C">
        <w:rPr>
          <w:rFonts w:ascii="Arial" w:hAnsi="Arial" w:cs="Arial"/>
          <w:color w:val="000000"/>
          <w:sz w:val="20"/>
          <w:szCs w:val="20"/>
        </w:rPr>
        <w:t>.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</w:t>
      </w:r>
      <w:r w:rsidR="00CE401C">
        <w:rPr>
          <w:rFonts w:ascii="Arial" w:hAnsi="Arial" w:cs="Arial"/>
          <w:color w:val="000000"/>
          <w:sz w:val="20"/>
          <w:szCs w:val="20"/>
        </w:rPr>
        <w:t>č</w:t>
      </w:r>
      <w:r w:rsidR="00CE401C" w:rsidRPr="001D147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CE401C" w:rsidRPr="001D1474">
        <w:rPr>
          <w:rFonts w:ascii="Arial" w:hAnsi="Arial" w:cs="Arial"/>
          <w:color w:val="000000"/>
          <w:sz w:val="20"/>
          <w:szCs w:val="20"/>
        </w:rPr>
        <w:t xml:space="preserve"> j.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MUMT 30762/2019 ze dne 2. 3. 2020. Takto sjednaná částka je částkou maximální a </w:t>
      </w:r>
      <w:proofErr w:type="spellStart"/>
      <w:r w:rsidR="00080B16"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není povinen ji jakýmkoli</w:t>
      </w:r>
      <w:r w:rsidR="002D6684">
        <w:rPr>
          <w:rFonts w:ascii="Arial" w:hAnsi="Arial" w:cs="Arial"/>
          <w:color w:val="000000"/>
          <w:sz w:val="20"/>
          <w:szCs w:val="20"/>
        </w:rPr>
        <w:t>v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 xml:space="preserve"> zp</w:t>
      </w:r>
      <w:r w:rsidR="003C1576">
        <w:rPr>
          <w:rFonts w:ascii="Arial" w:hAnsi="Arial" w:cs="Arial"/>
          <w:color w:val="000000"/>
          <w:sz w:val="20"/>
          <w:szCs w:val="20"/>
        </w:rPr>
        <w:t>ů</w:t>
      </w:r>
      <w:r w:rsidR="00080B16" w:rsidRPr="001D1474">
        <w:rPr>
          <w:rFonts w:ascii="Arial" w:hAnsi="Arial" w:cs="Arial"/>
          <w:color w:val="000000"/>
          <w:sz w:val="20"/>
          <w:szCs w:val="20"/>
        </w:rPr>
        <w:t>sobem navyšovat.</w:t>
      </w:r>
    </w:p>
    <w:p w14:paraId="70069EE5" w14:textId="64DD5401" w:rsidR="00080B16" w:rsidRPr="001D1474" w:rsidRDefault="00080B16" w:rsidP="00080B16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D1474">
        <w:rPr>
          <w:rFonts w:ascii="Arial" w:hAnsi="Arial" w:cs="Arial"/>
          <w:color w:val="000000"/>
          <w:sz w:val="20"/>
          <w:szCs w:val="20"/>
        </w:rPr>
        <w:t>Nedojde-li z jakéhokoliv důvodu k realizaci rekonstrukce Komunikace městem</w:t>
      </w:r>
      <w:r w:rsidR="001D1474" w:rsidRPr="001D1474">
        <w:rPr>
          <w:rFonts w:ascii="Arial" w:hAnsi="Arial" w:cs="Arial"/>
          <w:color w:val="000000"/>
          <w:sz w:val="20"/>
          <w:szCs w:val="20"/>
        </w:rPr>
        <w:t xml:space="preserve"> do 30. 6. 2023 je město povinno zaplacenou částku </w:t>
      </w:r>
      <w:proofErr w:type="spellStart"/>
      <w:r w:rsidR="001D1474"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1D1474" w:rsidRPr="001D1474">
        <w:rPr>
          <w:rFonts w:ascii="Arial" w:hAnsi="Arial" w:cs="Arial"/>
          <w:color w:val="000000"/>
          <w:sz w:val="20"/>
          <w:szCs w:val="20"/>
        </w:rPr>
        <w:t xml:space="preserve"> vrátit, a to bezhotovostně na její bankovní účet </w:t>
      </w:r>
      <w:r w:rsidR="001D1474" w:rsidRPr="001D1474">
        <w:rPr>
          <w:rFonts w:ascii="Arial" w:hAnsi="Arial" w:cs="Arial"/>
          <w:color w:val="000000"/>
          <w:sz w:val="20"/>
          <w:szCs w:val="20"/>
        </w:rPr>
        <w:lastRenderedPageBreak/>
        <w:t xml:space="preserve">17663513/0300, ve lhůtě do 15 dnů od doručení výzvy k vrácení a s odkazem na číslo této smlouvy dle evidence </w:t>
      </w:r>
      <w:proofErr w:type="spellStart"/>
      <w:r w:rsidR="001D1474"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1D1474" w:rsidRPr="001D1474">
        <w:rPr>
          <w:rFonts w:ascii="Arial" w:hAnsi="Arial" w:cs="Arial"/>
          <w:color w:val="000000"/>
          <w:sz w:val="20"/>
          <w:szCs w:val="20"/>
        </w:rPr>
        <w:t xml:space="preserve">. V takovém případě </w:t>
      </w:r>
      <w:proofErr w:type="spellStart"/>
      <w:r w:rsidR="001D1474" w:rsidRPr="001D1474">
        <w:rPr>
          <w:rFonts w:ascii="Arial" w:hAnsi="Arial" w:cs="Arial"/>
          <w:color w:val="000000"/>
          <w:sz w:val="20"/>
          <w:szCs w:val="20"/>
        </w:rPr>
        <w:t>GasNet</w:t>
      </w:r>
      <w:proofErr w:type="spellEnd"/>
      <w:r w:rsidR="001D1474" w:rsidRPr="001D1474">
        <w:rPr>
          <w:rFonts w:ascii="Arial" w:hAnsi="Arial" w:cs="Arial"/>
          <w:color w:val="000000"/>
          <w:sz w:val="20"/>
          <w:szCs w:val="20"/>
        </w:rPr>
        <w:t xml:space="preserve"> provede opravu </w:t>
      </w:r>
      <w:r w:rsidR="002D6684">
        <w:rPr>
          <w:rFonts w:ascii="Arial" w:hAnsi="Arial" w:cs="Arial"/>
          <w:color w:val="000000"/>
          <w:sz w:val="20"/>
          <w:szCs w:val="20"/>
        </w:rPr>
        <w:t>K</w:t>
      </w:r>
      <w:r w:rsidR="001D1474" w:rsidRPr="001D1474">
        <w:rPr>
          <w:rFonts w:ascii="Arial" w:hAnsi="Arial" w:cs="Arial"/>
          <w:color w:val="000000"/>
          <w:sz w:val="20"/>
          <w:szCs w:val="20"/>
        </w:rPr>
        <w:t>omunikace na své náklady, a to v rozsahu v jakém byla Komunikace dotčena jeho činností.</w:t>
      </w:r>
    </w:p>
    <w:p w14:paraId="522E3967" w14:textId="77777777" w:rsidR="007226AC" w:rsidRPr="007B43BA" w:rsidRDefault="007226AC" w:rsidP="007226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B3E7CDD" w14:textId="77777777" w:rsidR="007226AC" w:rsidRPr="004C7696" w:rsidRDefault="007226AC" w:rsidP="003C1576">
      <w:pPr>
        <w:pStyle w:val="Zkladntext"/>
        <w:ind w:firstLine="708"/>
        <w:jc w:val="center"/>
        <w:rPr>
          <w:b/>
          <w:sz w:val="22"/>
          <w:lang w:eastAsia="cs-CZ" w:bidi="ar-SA"/>
        </w:rPr>
      </w:pPr>
    </w:p>
    <w:p w14:paraId="03044B9C" w14:textId="668654BF" w:rsidR="00790B5A" w:rsidRPr="004C7696" w:rsidRDefault="00790B5A" w:rsidP="003C1576">
      <w:pPr>
        <w:pStyle w:val="Zkladntext"/>
        <w:numPr>
          <w:ilvl w:val="0"/>
          <w:numId w:val="25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042F7134" w:rsidR="00546A32" w:rsidRPr="00423D63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</w:t>
      </w:r>
      <w:r w:rsidRPr="00423D63">
        <w:rPr>
          <w:rFonts w:ascii="Arial" w:hAnsi="Arial" w:cs="Arial"/>
          <w:sz w:val="20"/>
          <w:szCs w:val="20"/>
        </w:rPr>
        <w:t>ujednání</w:t>
      </w:r>
      <w:r w:rsidR="003C1576">
        <w:rPr>
          <w:rFonts w:ascii="Arial" w:hAnsi="Arial" w:cs="Arial"/>
          <w:sz w:val="20"/>
          <w:szCs w:val="20"/>
        </w:rPr>
        <w:t xml:space="preserve"> dohody o úhradě nákladů na rekonstrukci </w:t>
      </w:r>
      <w:r w:rsidR="00F00C0D">
        <w:rPr>
          <w:rFonts w:ascii="Arial" w:hAnsi="Arial" w:cs="Arial"/>
          <w:sz w:val="20"/>
          <w:szCs w:val="20"/>
        </w:rPr>
        <w:t>komunikace ze</w:t>
      </w:r>
      <w:r w:rsidRPr="00423D63">
        <w:rPr>
          <w:rFonts w:ascii="Arial" w:hAnsi="Arial" w:cs="Arial"/>
          <w:sz w:val="20"/>
          <w:szCs w:val="20"/>
        </w:rPr>
        <w:t xml:space="preserve"> dne </w:t>
      </w:r>
      <w:r w:rsidR="00423D63" w:rsidRPr="00423D63">
        <w:rPr>
          <w:rFonts w:ascii="Arial" w:hAnsi="Arial" w:cs="Arial"/>
          <w:sz w:val="20"/>
          <w:szCs w:val="20"/>
        </w:rPr>
        <w:t>14. 09. 2020</w:t>
      </w:r>
      <w:r w:rsidRPr="00423D63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47330F48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je vystaven ve 2 vyhotoveních, z nich</w:t>
      </w:r>
      <w:r w:rsidR="00FD015F" w:rsidRPr="000619A9">
        <w:rPr>
          <w:rFonts w:ascii="Arial" w:hAnsi="Arial" w:cs="Arial"/>
          <w:sz w:val="20"/>
          <w:szCs w:val="20"/>
        </w:rPr>
        <w:t xml:space="preserve">ž každý má platnost a závaznost </w:t>
      </w:r>
      <w:r w:rsidRPr="000619A9">
        <w:rPr>
          <w:rFonts w:ascii="Arial" w:hAnsi="Arial" w:cs="Arial"/>
          <w:sz w:val="20"/>
          <w:szCs w:val="20"/>
        </w:rPr>
        <w:t xml:space="preserve">originálu.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296B471B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27246D">
        <w:rPr>
          <w:rFonts w:ascii="Arial" w:hAnsi="Arial" w:cs="Arial"/>
          <w:sz w:val="20"/>
          <w:szCs w:val="20"/>
        </w:rPr>
        <w:t xml:space="preserve">. </w:t>
      </w:r>
      <w:r w:rsidR="0027246D" w:rsidRPr="0027246D">
        <w:rPr>
          <w:rFonts w:ascii="Arial" w:hAnsi="Arial" w:cs="Arial"/>
          <w:sz w:val="20"/>
          <w:szCs w:val="20"/>
        </w:rPr>
        <w:t>3573/R/101022</w:t>
      </w:r>
      <w:r w:rsidR="00F97611">
        <w:rPr>
          <w:rFonts w:ascii="Arial" w:hAnsi="Arial" w:cs="Arial"/>
          <w:sz w:val="20"/>
          <w:szCs w:val="20"/>
        </w:rPr>
        <w:t xml:space="preserve"> </w:t>
      </w:r>
      <w:r w:rsidR="00DD2430" w:rsidRPr="0027246D">
        <w:rPr>
          <w:rFonts w:ascii="Arial" w:hAnsi="Arial" w:cs="Arial"/>
          <w:sz w:val="20"/>
          <w:szCs w:val="20"/>
        </w:rPr>
        <w:t xml:space="preserve">dne </w:t>
      </w:r>
      <w:r w:rsidR="0027246D">
        <w:rPr>
          <w:rFonts w:ascii="Arial" w:hAnsi="Arial" w:cs="Arial"/>
          <w:sz w:val="20"/>
          <w:szCs w:val="20"/>
        </w:rPr>
        <w:t>10. 10. 2022.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73483C48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>V</w:t>
      </w:r>
      <w:r w:rsidR="00D04374">
        <w:rPr>
          <w:lang w:eastAsia="cs-CZ" w:bidi="ar-SA"/>
        </w:rPr>
        <w:t> Ústí nad Labem</w:t>
      </w:r>
      <w:r w:rsidRPr="000619A9">
        <w:rPr>
          <w:lang w:eastAsia="cs-CZ" w:bidi="ar-SA"/>
        </w:rPr>
        <w:t xml:space="preserve"> dne ………… </w:t>
      </w:r>
      <w:r w:rsidRPr="000619A9">
        <w:rPr>
          <w:lang w:eastAsia="cs-CZ" w:bidi="ar-SA"/>
        </w:rPr>
        <w:tab/>
        <w:t xml:space="preserve"> </w:t>
      </w:r>
      <w:r w:rsidR="00D04374" w:rsidRPr="000619A9">
        <w:rPr>
          <w:lang w:eastAsia="cs-CZ" w:bidi="ar-SA"/>
        </w:rPr>
        <w:t>V Moravské Třebové dne …………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535E83" w:rsidRPr="003F1221" w14:paraId="72D962FC" w14:textId="77777777" w:rsidTr="00880EA1">
        <w:tc>
          <w:tcPr>
            <w:tcW w:w="4395" w:type="dxa"/>
          </w:tcPr>
          <w:p w14:paraId="354A8E7B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48D5AF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D3A5B9C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C7605C" w14:paraId="4A6AF4D4" w14:textId="77777777" w:rsidTr="002F259F">
        <w:trPr>
          <w:trHeight w:val="915"/>
        </w:trPr>
        <w:tc>
          <w:tcPr>
            <w:tcW w:w="4395" w:type="dxa"/>
            <w:vAlign w:val="center"/>
          </w:tcPr>
          <w:p w14:paraId="4AF97E80" w14:textId="7DBC025B" w:rsidR="00535E83" w:rsidRPr="002F259F" w:rsidRDefault="0052729A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D04374">
              <w:rPr>
                <w:rFonts w:ascii="Arial" w:hAnsi="Arial" w:cs="Arial"/>
                <w:sz w:val="20"/>
                <w:szCs w:val="20"/>
              </w:rPr>
              <w:t xml:space="preserve"> – ředitel strategie a správy 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76D1D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5DCB33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2E493B0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043F4F12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04374" w:rsidRPr="003F1221" w14:paraId="5A73A26E" w14:textId="77777777" w:rsidTr="00DC46A6">
        <w:tc>
          <w:tcPr>
            <w:tcW w:w="4395" w:type="dxa"/>
          </w:tcPr>
          <w:p w14:paraId="210211E2" w14:textId="77777777" w:rsidR="00D04374" w:rsidRDefault="00D04374" w:rsidP="00DC4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4D50E" w14:textId="77777777" w:rsidR="00D04374" w:rsidRDefault="00D04374" w:rsidP="00DC4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E5EA5" w14:textId="77777777" w:rsidR="00D04374" w:rsidRDefault="00D04374" w:rsidP="00DC4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38E37" w14:textId="77777777" w:rsidR="00D04374" w:rsidRPr="003F1221" w:rsidRDefault="00D04374" w:rsidP="00DC4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374" w:rsidRPr="002F259F" w14:paraId="11DB3161" w14:textId="77777777" w:rsidTr="00DC46A6">
        <w:trPr>
          <w:trHeight w:val="915"/>
        </w:trPr>
        <w:tc>
          <w:tcPr>
            <w:tcW w:w="4395" w:type="dxa"/>
            <w:vAlign w:val="center"/>
          </w:tcPr>
          <w:p w14:paraId="212B369F" w14:textId="52140DE8" w:rsidR="00D04374" w:rsidRPr="002F259F" w:rsidRDefault="0052729A" w:rsidP="00DC4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D04374">
              <w:rPr>
                <w:rFonts w:ascii="Arial" w:hAnsi="Arial" w:cs="Arial"/>
                <w:sz w:val="20"/>
                <w:szCs w:val="20"/>
              </w:rPr>
              <w:t>, vedoucí správy DS – Čechy východ</w:t>
            </w:r>
          </w:p>
        </w:tc>
      </w:tr>
    </w:tbl>
    <w:p w14:paraId="0BC92827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3F162600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 w:rsidSect="005A2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27CF" w14:textId="77777777" w:rsidR="00AC27F0" w:rsidRDefault="00AC27F0" w:rsidP="009015D6">
      <w:r>
        <w:separator/>
      </w:r>
    </w:p>
  </w:endnote>
  <w:endnote w:type="continuationSeparator" w:id="0">
    <w:p w14:paraId="00CCD33C" w14:textId="77777777" w:rsidR="00AC27F0" w:rsidRDefault="00AC27F0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B2CB8" w14:textId="77777777" w:rsidR="00D748DD" w:rsidRDefault="00D74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198594"/>
      <w:docPartObj>
        <w:docPartGallery w:val="Page Numbers (Bottom of Page)"/>
        <w:docPartUnique/>
      </w:docPartObj>
    </w:sdtPr>
    <w:sdtEndPr/>
    <w:sdtContent>
      <w:p w14:paraId="40EEE194" w14:textId="5DC7802E" w:rsidR="005A204E" w:rsidRDefault="005A2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9A">
          <w:rPr>
            <w:noProof/>
          </w:rPr>
          <w:t>- 2 -</w:t>
        </w:r>
        <w:r>
          <w:fldChar w:fldCharType="end"/>
        </w:r>
      </w:p>
    </w:sdtContent>
  </w:sdt>
  <w:p w14:paraId="336F9BED" w14:textId="77777777" w:rsidR="005A204E" w:rsidRDefault="005A20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4BBB9" w14:textId="77777777" w:rsidR="00D748DD" w:rsidRDefault="00D74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42B0F" w14:textId="77777777" w:rsidR="00AC27F0" w:rsidRDefault="00AC27F0" w:rsidP="009015D6">
      <w:r>
        <w:separator/>
      </w:r>
    </w:p>
  </w:footnote>
  <w:footnote w:type="continuationSeparator" w:id="0">
    <w:p w14:paraId="08D04019" w14:textId="77777777" w:rsidR="00AC27F0" w:rsidRDefault="00AC27F0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694E5" w14:textId="77777777" w:rsidR="00D748DD" w:rsidRDefault="00D74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D183" w14:textId="77777777" w:rsidR="00D81136" w:rsidRDefault="009015D6" w:rsidP="00D81136">
    <w:pPr>
      <w:pStyle w:val="Textvbloku1"/>
      <w:ind w:left="0" w:right="-1" w:firstLine="0"/>
      <w:rPr>
        <w:rFonts w:asciiTheme="minorHAnsi" w:hAnsiTheme="minorHAnsi" w:cstheme="minorHAnsi"/>
        <w:b w:val="0"/>
        <w:i/>
        <w:sz w:val="20"/>
        <w:lang w:eastAsia="cs-CZ" w:bidi="ar-SA"/>
      </w:rPr>
    </w:pPr>
    <w:r w:rsidRPr="00D81136">
      <w:rPr>
        <w:rFonts w:asciiTheme="minorHAnsi" w:hAnsiTheme="minorHAnsi" w:cstheme="minorHAnsi"/>
        <w:b w:val="0"/>
        <w:i/>
        <w:sz w:val="20"/>
      </w:rPr>
      <w:t>Dodatek č. 1 k </w:t>
    </w:r>
    <w:r w:rsidR="00D81136" w:rsidRPr="00D81136">
      <w:rPr>
        <w:rFonts w:asciiTheme="minorHAnsi" w:hAnsiTheme="minorHAnsi" w:cstheme="minorHAnsi"/>
        <w:b w:val="0"/>
        <w:i/>
        <w:sz w:val="20"/>
        <w:lang w:eastAsia="cs-CZ" w:bidi="ar-SA"/>
      </w:rPr>
      <w:t>Dohodě o úhradě nákladů na rekonstrukci komunikace</w:t>
    </w:r>
  </w:p>
  <w:p w14:paraId="6C425636" w14:textId="341B8A55" w:rsidR="00D748DD" w:rsidRDefault="00D748DD" w:rsidP="00D81136">
    <w:pPr>
      <w:pStyle w:val="Textvbloku1"/>
      <w:ind w:left="0" w:right="-1" w:firstLine="0"/>
      <w:rPr>
        <w:rFonts w:asciiTheme="minorHAnsi" w:hAnsiTheme="minorHAnsi" w:cstheme="minorHAnsi"/>
        <w:b w:val="0"/>
        <w:i/>
        <w:sz w:val="20"/>
        <w:lang w:eastAsia="cs-CZ" w:bidi="ar-SA"/>
      </w:rPr>
    </w:pPr>
    <w:r>
      <w:rPr>
        <w:rFonts w:asciiTheme="minorHAnsi" w:hAnsiTheme="minorHAnsi" w:cstheme="minorHAnsi"/>
        <w:b w:val="0"/>
        <w:i/>
        <w:sz w:val="20"/>
        <w:lang w:eastAsia="cs-CZ" w:bidi="ar-SA"/>
      </w:rPr>
      <w:t>Číslo smlouvy: 7700102032</w:t>
    </w:r>
  </w:p>
  <w:p w14:paraId="47F243B0" w14:textId="752D9185" w:rsidR="00D748DD" w:rsidRDefault="00D748DD" w:rsidP="00D81136">
    <w:pPr>
      <w:pStyle w:val="Textvbloku1"/>
      <w:ind w:left="0" w:right="-1" w:firstLine="0"/>
      <w:rPr>
        <w:rFonts w:asciiTheme="minorHAnsi" w:hAnsiTheme="minorHAnsi" w:cstheme="minorHAnsi"/>
        <w:b w:val="0"/>
        <w:i/>
        <w:sz w:val="20"/>
        <w:lang w:eastAsia="cs-CZ" w:bidi="ar-SA"/>
      </w:rPr>
    </w:pPr>
    <w:r>
      <w:rPr>
        <w:rFonts w:asciiTheme="minorHAnsi" w:hAnsiTheme="minorHAnsi" w:cstheme="minorHAnsi"/>
        <w:b w:val="0"/>
        <w:i/>
        <w:sz w:val="20"/>
        <w:lang w:eastAsia="cs-CZ" w:bidi="ar-SA"/>
      </w:rPr>
      <w:t>DMS: 9420002203</w:t>
    </w:r>
  </w:p>
  <w:p w14:paraId="1F96BF17" w14:textId="09D4DB7F" w:rsidR="00D748DD" w:rsidRPr="00D81136" w:rsidRDefault="00C92940" w:rsidP="00D81136">
    <w:pPr>
      <w:pStyle w:val="Textvbloku1"/>
      <w:ind w:left="0" w:right="-1" w:firstLine="0"/>
      <w:rPr>
        <w:rFonts w:asciiTheme="minorHAnsi" w:hAnsiTheme="minorHAnsi" w:cstheme="minorHAnsi"/>
        <w:b w:val="0"/>
        <w:i/>
        <w:sz w:val="20"/>
        <w:lang w:eastAsia="cs-CZ" w:bidi="ar-SA"/>
      </w:rPr>
    </w:pPr>
    <w:r>
      <w:rPr>
        <w:rFonts w:asciiTheme="minorHAnsi" w:hAnsiTheme="minorHAnsi" w:cstheme="minorHAnsi"/>
        <w:b w:val="0"/>
        <w:i/>
        <w:sz w:val="20"/>
        <w:lang w:eastAsia="cs-CZ" w:bidi="ar-SA"/>
      </w:rPr>
      <w:t>OISM č. 0129/20</w:t>
    </w:r>
  </w:p>
  <w:p w14:paraId="15279253" w14:textId="30008616" w:rsidR="009015D6" w:rsidRPr="00D81136" w:rsidRDefault="009015D6" w:rsidP="009015D6">
    <w:pPr>
      <w:pStyle w:val="Zhlav"/>
      <w:jc w:val="center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893F6" w14:textId="77777777" w:rsidR="00D748DD" w:rsidRDefault="00D748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"/>
  </w:num>
  <w:num w:numId="5">
    <w:abstractNumId w:val="25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33"/>
  </w:num>
  <w:num w:numId="15">
    <w:abstractNumId w:val="35"/>
  </w:num>
  <w:num w:numId="16">
    <w:abstractNumId w:val="21"/>
  </w:num>
  <w:num w:numId="17">
    <w:abstractNumId w:val="24"/>
  </w:num>
  <w:num w:numId="18">
    <w:abstractNumId w:val="34"/>
  </w:num>
  <w:num w:numId="19">
    <w:abstractNumId w:val="12"/>
  </w:num>
  <w:num w:numId="20">
    <w:abstractNumId w:val="28"/>
  </w:num>
  <w:num w:numId="21">
    <w:abstractNumId w:val="18"/>
  </w:num>
  <w:num w:numId="22">
    <w:abstractNumId w:val="30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27"/>
  </w:num>
  <w:num w:numId="29">
    <w:abstractNumId w:val="3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6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80B16"/>
    <w:rsid w:val="00093C0E"/>
    <w:rsid w:val="000A0BC2"/>
    <w:rsid w:val="000A126C"/>
    <w:rsid w:val="000C099E"/>
    <w:rsid w:val="000D692C"/>
    <w:rsid w:val="00116C78"/>
    <w:rsid w:val="0013477C"/>
    <w:rsid w:val="00194CAD"/>
    <w:rsid w:val="001963D7"/>
    <w:rsid w:val="001A28FB"/>
    <w:rsid w:val="001B5992"/>
    <w:rsid w:val="001D1474"/>
    <w:rsid w:val="001E4121"/>
    <w:rsid w:val="00211082"/>
    <w:rsid w:val="00220A5D"/>
    <w:rsid w:val="002348AB"/>
    <w:rsid w:val="002517BF"/>
    <w:rsid w:val="0027246D"/>
    <w:rsid w:val="002837EC"/>
    <w:rsid w:val="002D6684"/>
    <w:rsid w:val="002F259F"/>
    <w:rsid w:val="003220FE"/>
    <w:rsid w:val="00346C1E"/>
    <w:rsid w:val="00372911"/>
    <w:rsid w:val="003C1576"/>
    <w:rsid w:val="003D6DF4"/>
    <w:rsid w:val="003F50F3"/>
    <w:rsid w:val="003F788C"/>
    <w:rsid w:val="00403C39"/>
    <w:rsid w:val="00423D63"/>
    <w:rsid w:val="00431A87"/>
    <w:rsid w:val="00470B5D"/>
    <w:rsid w:val="00475D6B"/>
    <w:rsid w:val="004806EA"/>
    <w:rsid w:val="00486747"/>
    <w:rsid w:val="0049756E"/>
    <w:rsid w:val="004A7940"/>
    <w:rsid w:val="004B45FB"/>
    <w:rsid w:val="004C7696"/>
    <w:rsid w:val="004E4AA6"/>
    <w:rsid w:val="0052729A"/>
    <w:rsid w:val="00535E83"/>
    <w:rsid w:val="00542408"/>
    <w:rsid w:val="0054422C"/>
    <w:rsid w:val="00544A72"/>
    <w:rsid w:val="00546A32"/>
    <w:rsid w:val="00547AB5"/>
    <w:rsid w:val="005522AD"/>
    <w:rsid w:val="005779FF"/>
    <w:rsid w:val="0059512B"/>
    <w:rsid w:val="005A204E"/>
    <w:rsid w:val="005C30B7"/>
    <w:rsid w:val="005C3DCE"/>
    <w:rsid w:val="005D5E69"/>
    <w:rsid w:val="005D77DB"/>
    <w:rsid w:val="005E2324"/>
    <w:rsid w:val="00601BE6"/>
    <w:rsid w:val="00615723"/>
    <w:rsid w:val="00623A46"/>
    <w:rsid w:val="00627B03"/>
    <w:rsid w:val="006813B6"/>
    <w:rsid w:val="006B2989"/>
    <w:rsid w:val="006B2EC1"/>
    <w:rsid w:val="006B67E6"/>
    <w:rsid w:val="006E3712"/>
    <w:rsid w:val="006F18ED"/>
    <w:rsid w:val="007226AC"/>
    <w:rsid w:val="00722F11"/>
    <w:rsid w:val="007331D0"/>
    <w:rsid w:val="00740F62"/>
    <w:rsid w:val="00790B5A"/>
    <w:rsid w:val="007B43BA"/>
    <w:rsid w:val="007D58CD"/>
    <w:rsid w:val="007F3746"/>
    <w:rsid w:val="00811F63"/>
    <w:rsid w:val="00843BC0"/>
    <w:rsid w:val="00881BBB"/>
    <w:rsid w:val="008B2D0C"/>
    <w:rsid w:val="008B6394"/>
    <w:rsid w:val="008D0CD1"/>
    <w:rsid w:val="008E26B7"/>
    <w:rsid w:val="009015D6"/>
    <w:rsid w:val="00904FD9"/>
    <w:rsid w:val="00923CDF"/>
    <w:rsid w:val="009466F4"/>
    <w:rsid w:val="009825FE"/>
    <w:rsid w:val="00992698"/>
    <w:rsid w:val="009C0580"/>
    <w:rsid w:val="00A27E8C"/>
    <w:rsid w:val="00A43092"/>
    <w:rsid w:val="00A54C76"/>
    <w:rsid w:val="00A62694"/>
    <w:rsid w:val="00AC27F0"/>
    <w:rsid w:val="00AE40DC"/>
    <w:rsid w:val="00BC4F78"/>
    <w:rsid w:val="00BF2644"/>
    <w:rsid w:val="00C156AC"/>
    <w:rsid w:val="00C23819"/>
    <w:rsid w:val="00C42B2C"/>
    <w:rsid w:val="00C5045F"/>
    <w:rsid w:val="00C67F42"/>
    <w:rsid w:val="00C7605C"/>
    <w:rsid w:val="00C84554"/>
    <w:rsid w:val="00C84D22"/>
    <w:rsid w:val="00C919EB"/>
    <w:rsid w:val="00C92940"/>
    <w:rsid w:val="00CB1783"/>
    <w:rsid w:val="00CC066C"/>
    <w:rsid w:val="00CE401C"/>
    <w:rsid w:val="00CE6389"/>
    <w:rsid w:val="00CE7A39"/>
    <w:rsid w:val="00D04374"/>
    <w:rsid w:val="00D43DE5"/>
    <w:rsid w:val="00D50678"/>
    <w:rsid w:val="00D748DD"/>
    <w:rsid w:val="00D81136"/>
    <w:rsid w:val="00D83F5D"/>
    <w:rsid w:val="00DB78F7"/>
    <w:rsid w:val="00DD2430"/>
    <w:rsid w:val="00DD38EB"/>
    <w:rsid w:val="00E01F37"/>
    <w:rsid w:val="00E3071A"/>
    <w:rsid w:val="00E50D43"/>
    <w:rsid w:val="00E75B1B"/>
    <w:rsid w:val="00EA4695"/>
    <w:rsid w:val="00EB2948"/>
    <w:rsid w:val="00EC203C"/>
    <w:rsid w:val="00F00C0D"/>
    <w:rsid w:val="00F0301B"/>
    <w:rsid w:val="00F322E0"/>
    <w:rsid w:val="00F351F8"/>
    <w:rsid w:val="00F4565B"/>
    <w:rsid w:val="00F92698"/>
    <w:rsid w:val="00F97611"/>
    <w:rsid w:val="00FA2834"/>
    <w:rsid w:val="00FA59D8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7</cp:revision>
  <cp:lastPrinted>2022-08-01T07:53:00Z</cp:lastPrinted>
  <dcterms:created xsi:type="dcterms:W3CDTF">2022-10-05T06:12:00Z</dcterms:created>
  <dcterms:modified xsi:type="dcterms:W3CDTF">2023-02-06T09:29:00Z</dcterms:modified>
</cp:coreProperties>
</file>