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702FF6E3" w:rsidR="00CD22B3" w:rsidRPr="00012475" w:rsidRDefault="006122CD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6122CD">
        <w:rPr>
          <w:rFonts w:ascii="Calibri" w:hAnsi="Calibri"/>
          <w:b/>
          <w:sz w:val="22"/>
          <w:szCs w:val="22"/>
        </w:rPr>
        <w:t>Základní umělecká škola, Vítkov, Lidická 639, příspěvková organizace</w:t>
      </w:r>
    </w:p>
    <w:p w14:paraId="6908E129" w14:textId="5F9C87CD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5D408A" w:rsidRPr="005D408A">
        <w:rPr>
          <w:rFonts w:ascii="Calibri" w:hAnsi="Calibri"/>
          <w:sz w:val="22"/>
          <w:szCs w:val="22"/>
        </w:rPr>
        <w:t>749 01</w:t>
      </w:r>
      <w:r w:rsidR="005D408A">
        <w:rPr>
          <w:rFonts w:ascii="Calibri" w:hAnsi="Calibri"/>
          <w:sz w:val="22"/>
          <w:szCs w:val="22"/>
        </w:rPr>
        <w:t xml:space="preserve"> </w:t>
      </w:r>
      <w:r w:rsidR="005D408A" w:rsidRPr="005D408A">
        <w:rPr>
          <w:rFonts w:ascii="Calibri" w:hAnsi="Calibri"/>
          <w:sz w:val="22"/>
          <w:szCs w:val="22"/>
        </w:rPr>
        <w:t>Vítkov</w:t>
      </w:r>
      <w:r w:rsidR="005D408A">
        <w:rPr>
          <w:rFonts w:ascii="Calibri" w:hAnsi="Calibri"/>
          <w:sz w:val="22"/>
          <w:szCs w:val="22"/>
        </w:rPr>
        <w:t xml:space="preserve">, </w:t>
      </w:r>
      <w:r w:rsidR="005D408A" w:rsidRPr="005D408A">
        <w:rPr>
          <w:rFonts w:ascii="Calibri" w:hAnsi="Calibri"/>
          <w:sz w:val="22"/>
          <w:szCs w:val="22"/>
        </w:rPr>
        <w:t>Lidická 639</w:t>
      </w:r>
    </w:p>
    <w:p w14:paraId="14B2BE49" w14:textId="26DFCA67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5D408A" w:rsidRPr="005D408A">
        <w:rPr>
          <w:rFonts w:ascii="Calibri" w:hAnsi="Calibri"/>
          <w:sz w:val="22"/>
          <w:szCs w:val="22"/>
        </w:rPr>
        <w:t>Lenka Šimerová</w:t>
      </w:r>
      <w:r w:rsidR="005D408A">
        <w:rPr>
          <w:rFonts w:ascii="Calibri" w:hAnsi="Calibri"/>
          <w:sz w:val="22"/>
          <w:szCs w:val="22"/>
        </w:rPr>
        <w:t>, ředitelka školy</w:t>
      </w:r>
    </w:p>
    <w:p w14:paraId="283AA893" w14:textId="156BB449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5D408A" w:rsidRPr="005D408A">
        <w:rPr>
          <w:rFonts w:ascii="Calibri" w:hAnsi="Calibri"/>
          <w:sz w:val="22"/>
          <w:szCs w:val="22"/>
        </w:rPr>
        <w:t>47813598</w:t>
      </w:r>
    </w:p>
    <w:p w14:paraId="6D61CFC3" w14:textId="4085C283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5D408A" w:rsidRPr="005D408A">
        <w:rPr>
          <w:rFonts w:ascii="Calibri" w:hAnsi="Calibri"/>
          <w:sz w:val="22"/>
          <w:szCs w:val="22"/>
        </w:rPr>
        <w:t>---</w:t>
      </w:r>
    </w:p>
    <w:p w14:paraId="5C6C6D2A" w14:textId="7602CAD9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5D408A" w:rsidRPr="005D408A">
        <w:rPr>
          <w:rFonts w:ascii="Calibri" w:hAnsi="Calibri"/>
          <w:sz w:val="22"/>
          <w:szCs w:val="22"/>
        </w:rPr>
        <w:t>26635821/0100</w:t>
      </w:r>
      <w:r w:rsidR="005D408A">
        <w:rPr>
          <w:rFonts w:ascii="Calibri" w:hAnsi="Calibri"/>
          <w:sz w:val="22"/>
          <w:szCs w:val="22"/>
        </w:rPr>
        <w:t xml:space="preserve"> – </w:t>
      </w:r>
      <w:r w:rsidR="005D408A" w:rsidRPr="005D408A">
        <w:rPr>
          <w:rFonts w:ascii="Calibri" w:hAnsi="Calibri"/>
          <w:sz w:val="22"/>
          <w:szCs w:val="22"/>
        </w:rPr>
        <w:t>Komerční banka,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471C2C54" w:rsidR="00CD22B3" w:rsidRPr="00231F61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 xml:space="preserve">dokupů dle následujícího </w:t>
      </w:r>
      <w:r w:rsidRPr="005D408A">
        <w:rPr>
          <w:rFonts w:ascii="Calibri" w:hAnsi="Calibri"/>
          <w:sz w:val="22"/>
          <w:szCs w:val="22"/>
        </w:rPr>
        <w:t xml:space="preserve">bodu </w:t>
      </w:r>
      <w:r w:rsidR="005D408A" w:rsidRPr="005D408A">
        <w:rPr>
          <w:rFonts w:ascii="Calibri" w:hAnsi="Calibri"/>
          <w:sz w:val="22"/>
          <w:szCs w:val="22"/>
        </w:rPr>
        <w:t>b</w:t>
      </w:r>
      <w:r w:rsidRPr="005D408A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5D408A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5D408A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5D408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5D408A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5D408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5D408A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5D408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5D408A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5D408A">
        <w:rPr>
          <w:rFonts w:ascii="Calibri" w:hAnsi="Calibri" w:cs="Calibri"/>
          <w:i/>
          <w:szCs w:val="22"/>
        </w:rPr>
        <w:t xml:space="preserve">Subdodavatelé – </w:t>
      </w:r>
      <w:r w:rsidRPr="005D408A">
        <w:rPr>
          <w:rFonts w:ascii="Calibri" w:hAnsi="Calibri" w:cs="Calibri"/>
          <w:i/>
          <w:szCs w:val="22"/>
        </w:rPr>
        <w:t>Dílčí</w:t>
      </w:r>
      <w:r w:rsidR="001B348D" w:rsidRPr="005D408A">
        <w:rPr>
          <w:rFonts w:ascii="Calibri" w:hAnsi="Calibri" w:cs="Calibri"/>
          <w:i/>
          <w:szCs w:val="22"/>
        </w:rPr>
        <w:t xml:space="preserve"> </w:t>
      </w:r>
      <w:r w:rsidRPr="005D408A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1EDD73DA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14:paraId="5F064BCC" w14:textId="77DBF5D1" w:rsidR="00642D02" w:rsidRPr="005D408A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5D408A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7C5F1077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366CEF">
        <w:rPr>
          <w:rFonts w:ascii="Calibri" w:hAnsi="Calibri" w:cs="Calibri"/>
          <w:sz w:val="22"/>
          <w:szCs w:val="22"/>
        </w:rPr>
        <w:t xml:space="preserve">Fenix č.: </w:t>
      </w:r>
      <w:r w:rsidR="005D408A" w:rsidRPr="00366CEF">
        <w:rPr>
          <w:rFonts w:ascii="Calibri" w:hAnsi="Calibri" w:cs="Calibri"/>
          <w:sz w:val="22"/>
          <w:szCs w:val="22"/>
        </w:rPr>
        <w:t xml:space="preserve">F-10-01768 </w:t>
      </w:r>
      <w:r w:rsidR="00D05217" w:rsidRPr="00366CEF">
        <w:rPr>
          <w:rFonts w:ascii="Calibri" w:hAnsi="Calibri" w:cs="Calibri"/>
          <w:sz w:val="22"/>
          <w:szCs w:val="22"/>
        </w:rPr>
        <w:t xml:space="preserve">ze dne </w:t>
      </w:r>
      <w:r w:rsidR="005D408A" w:rsidRPr="00366CEF">
        <w:rPr>
          <w:rFonts w:ascii="Calibri" w:hAnsi="Calibri" w:cs="Calibri"/>
          <w:sz w:val="22"/>
          <w:szCs w:val="22"/>
        </w:rPr>
        <w:t xml:space="preserve">30.12.2010 </w:t>
      </w:r>
      <w:r w:rsidRPr="00366CEF">
        <w:rPr>
          <w:rFonts w:ascii="Calibri" w:hAnsi="Calibri" w:cs="Calibri"/>
          <w:sz w:val="22"/>
          <w:szCs w:val="22"/>
        </w:rPr>
        <w:t xml:space="preserve">včetně jejích dodatků č.: </w:t>
      </w:r>
      <w:r w:rsidR="005D408A" w:rsidRPr="00366CEF">
        <w:rPr>
          <w:rFonts w:ascii="Calibri" w:hAnsi="Calibri" w:cs="Calibri"/>
          <w:sz w:val="22"/>
          <w:szCs w:val="22"/>
        </w:rPr>
        <w:t xml:space="preserve">F-10-01768-01 </w:t>
      </w:r>
      <w:r w:rsidRPr="00366CEF">
        <w:rPr>
          <w:rFonts w:ascii="Calibri" w:hAnsi="Calibri" w:cs="Calibri"/>
          <w:sz w:val="22"/>
          <w:szCs w:val="22"/>
        </w:rPr>
        <w:t xml:space="preserve">ze dne </w:t>
      </w:r>
      <w:r w:rsidR="005D408A" w:rsidRPr="00366CEF">
        <w:rPr>
          <w:rFonts w:ascii="Calibri" w:hAnsi="Calibri" w:cs="Calibri"/>
          <w:sz w:val="22"/>
          <w:szCs w:val="22"/>
        </w:rPr>
        <w:t xml:space="preserve">21.3.2013 a F-10-01768-02 ze dne </w:t>
      </w:r>
      <w:r w:rsidR="00366CEF" w:rsidRPr="00366CEF">
        <w:rPr>
          <w:rFonts w:ascii="Calibri" w:hAnsi="Calibri" w:cs="Calibri"/>
          <w:sz w:val="22"/>
          <w:szCs w:val="22"/>
        </w:rPr>
        <w:t xml:space="preserve">2.3.2015 </w:t>
      </w:r>
      <w:r w:rsidRPr="005F0560">
        <w:rPr>
          <w:rFonts w:ascii="Calibri" w:hAnsi="Calibri" w:cs="Calibri"/>
          <w:sz w:val="22"/>
          <w:szCs w:val="22"/>
        </w:rPr>
        <w:t>(dál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účinnosti </w:t>
      </w:r>
      <w:r w:rsidRPr="005F0560">
        <w:rPr>
          <w:rFonts w:ascii="Calibri" w:hAnsi="Calibri" w:cs="Calibri"/>
          <w:sz w:val="22"/>
          <w:szCs w:val="22"/>
        </w:rPr>
        <w:lastRenderedPageBreak/>
        <w:t>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0A13DE03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738C1C7" w14:textId="77777777" w:rsidR="005D408A" w:rsidRPr="00FA4861" w:rsidRDefault="005D408A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32A84B05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>V</w:t>
            </w:r>
            <w:r w:rsidR="005D408A">
              <w:rPr>
                <w:rFonts w:ascii="Calibri" w:hAnsi="Calibri" w:cs="Arial"/>
                <w:sz w:val="22"/>
                <w:szCs w:val="22"/>
              </w:rPr>
              <w:t>e</w:t>
            </w:r>
            <w:r w:rsidRPr="00FA486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D408A">
              <w:rPr>
                <w:rFonts w:ascii="Calibri" w:hAnsi="Calibri" w:cs="Arial"/>
                <w:sz w:val="22"/>
                <w:szCs w:val="22"/>
              </w:rPr>
              <w:t>Vítkově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1C5F2B7B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5D408A" w:rsidRPr="005D408A">
              <w:rPr>
                <w:rFonts w:ascii="Calibri" w:hAnsi="Calibri"/>
                <w:sz w:val="22"/>
                <w:szCs w:val="22"/>
              </w:rPr>
              <w:t>Základní uměleck</w:t>
            </w:r>
            <w:r w:rsidR="005D408A">
              <w:rPr>
                <w:rFonts w:ascii="Calibri" w:hAnsi="Calibri"/>
                <w:sz w:val="22"/>
                <w:szCs w:val="22"/>
              </w:rPr>
              <w:t>ou</w:t>
            </w:r>
            <w:r w:rsidR="005D408A" w:rsidRPr="005D408A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5D408A">
              <w:rPr>
                <w:rFonts w:ascii="Calibri" w:hAnsi="Calibri"/>
                <w:sz w:val="22"/>
                <w:szCs w:val="22"/>
              </w:rPr>
              <w:t>u</w:t>
            </w:r>
            <w:r w:rsidR="005D408A" w:rsidRPr="005D408A">
              <w:rPr>
                <w:rFonts w:ascii="Calibri" w:hAnsi="Calibri"/>
                <w:sz w:val="22"/>
                <w:szCs w:val="22"/>
              </w:rPr>
              <w:t>, Vítkov, Lidická 639, příspěvkov</w:t>
            </w:r>
            <w:r w:rsidR="005D408A">
              <w:rPr>
                <w:rFonts w:ascii="Calibri" w:hAnsi="Calibri"/>
                <w:sz w:val="22"/>
                <w:szCs w:val="22"/>
              </w:rPr>
              <w:t>ou</w:t>
            </w:r>
            <w:r w:rsidR="005D408A" w:rsidRPr="005D408A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5D408A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5A3F51A8" w14:textId="77777777" w:rsidR="005D408A" w:rsidRDefault="005D408A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5D408A">
              <w:rPr>
                <w:rFonts w:ascii="Calibri" w:hAnsi="Calibri"/>
                <w:sz w:val="22"/>
                <w:szCs w:val="22"/>
              </w:rPr>
              <w:t>Lenka Šimerová</w:t>
            </w:r>
          </w:p>
          <w:p w14:paraId="13B68A85" w14:textId="292DB9D8" w:rsidR="007B02A8" w:rsidRPr="00FA4861" w:rsidRDefault="005D408A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48C3F08D" w:rsidR="00EA02FF" w:rsidRPr="001615FC" w:rsidRDefault="009A5834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5834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5774244B" w:rsidR="00EA02FF" w:rsidRPr="001615FC" w:rsidRDefault="009A5834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5834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37E3DDA4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9A5834" w:rsidRPr="0000727D" w14:paraId="6FA7199E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3B5E" w14:textId="5BA15B15" w:rsidR="009A5834" w:rsidRPr="009A5834" w:rsidRDefault="009A5834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5834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E7625" w14:textId="0DB7C358" w:rsidR="009A5834" w:rsidRDefault="009A5834" w:rsidP="00EA02FF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14A8F082" w:rsidR="00EA02FF" w:rsidRPr="0000727D" w:rsidRDefault="009A5834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EA02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1EDAA5C9" w:rsidR="00EA02FF" w:rsidRPr="0000727D" w:rsidRDefault="009A5834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17EBD311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*) Cena za poskytnutí modulů byla uhrazena na základě dříve uzavřené smlouvy uvedené v čl. 15 </w:t>
      </w:r>
      <w:r w:rsidRPr="009A5834">
        <w:rPr>
          <w:rFonts w:ascii="Calibri" w:hAnsi="Calibri"/>
          <w:sz w:val="22"/>
          <w:szCs w:val="22"/>
        </w:rPr>
        <w:t>odst</w:t>
      </w:r>
      <w:r w:rsidRPr="009A5834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8B07CDC" w14:textId="4D0CF171" w:rsidR="004317E7" w:rsidRDefault="004317E7" w:rsidP="004317E7">
      <w:pPr>
        <w:rPr>
          <w:rFonts w:ascii="Calibri" w:hAnsi="Calibri"/>
          <w:sz w:val="22"/>
          <w:szCs w:val="22"/>
        </w:rPr>
      </w:pPr>
    </w:p>
    <w:p w14:paraId="049753B9" w14:textId="3C738140" w:rsidR="009A5834" w:rsidRDefault="009A5834" w:rsidP="004317E7">
      <w:pPr>
        <w:rPr>
          <w:rFonts w:ascii="Calibri" w:hAnsi="Calibri"/>
          <w:sz w:val="22"/>
          <w:szCs w:val="22"/>
        </w:rPr>
      </w:pPr>
    </w:p>
    <w:p w14:paraId="36325210" w14:textId="77777777" w:rsidR="009A5834" w:rsidRPr="0000727D" w:rsidRDefault="009A5834" w:rsidP="004317E7">
      <w:pPr>
        <w:rPr>
          <w:rFonts w:ascii="Calibri" w:hAnsi="Calibri"/>
          <w:sz w:val="22"/>
          <w:szCs w:val="22"/>
        </w:rPr>
      </w:pPr>
    </w:p>
    <w:p w14:paraId="35B2EA6D" w14:textId="77777777" w:rsidR="004317E7" w:rsidRPr="0000727D" w:rsidRDefault="004317E7" w:rsidP="004317E7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4317E7" w:rsidRPr="0000727D" w14:paraId="77DAA1B8" w14:textId="77777777" w:rsidTr="00875D8D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BD81DA8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1CF68981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905DAAD" w14:textId="77777777" w:rsidR="004317E7" w:rsidRPr="00460C55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30A2FD42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4317E7" w:rsidRPr="0000727D" w14:paraId="69C937A2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AFA65" w14:textId="77777777" w:rsidR="004317E7" w:rsidRPr="001615FC" w:rsidRDefault="004317E7" w:rsidP="00875D8D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B38F" w14:textId="77777777" w:rsidR="004317E7" w:rsidRPr="001615FC" w:rsidRDefault="004317E7" w:rsidP="00875D8D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4317E7" w:rsidRPr="0000727D" w14:paraId="1A0AC6E5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7683504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6BB43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4317E7" w:rsidRPr="0000727D" w14:paraId="6765EA3E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A7CF298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37BED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9A5834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44E32958" w:rsidR="009A5834" w:rsidRPr="00B66945" w:rsidRDefault="009A5834" w:rsidP="009A583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9A5834" w:rsidRPr="004B6634" w:rsidRDefault="009A5834" w:rsidP="009A58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430C839A" w:rsidR="009A5834" w:rsidRPr="004B6634" w:rsidRDefault="009A5834" w:rsidP="009A5834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3 036</w:t>
            </w:r>
          </w:p>
        </w:tc>
      </w:tr>
      <w:tr w:rsidR="009A5834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59B5F5ED" w:rsidR="009A5834" w:rsidRPr="00B66945" w:rsidRDefault="009A5834" w:rsidP="009A583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9A5834" w:rsidRPr="004B6634" w:rsidRDefault="009A5834" w:rsidP="009A58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537BFE36" w:rsidR="009A5834" w:rsidRPr="004B6634" w:rsidRDefault="009A5834" w:rsidP="009A5834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</w:tr>
      <w:tr w:rsidR="009A5834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34A86096" w:rsidR="009A5834" w:rsidRPr="0000727D" w:rsidRDefault="009A5834" w:rsidP="009A583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5834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9A5834" w:rsidRPr="004B6634" w:rsidRDefault="009A5834" w:rsidP="009A58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1D8CF2BD" w:rsidR="009A5834" w:rsidRPr="004B6634" w:rsidRDefault="009A5834" w:rsidP="009A5834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9A5834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3A8E2C04" w:rsidR="009A5834" w:rsidRPr="00B66945" w:rsidRDefault="009A5834" w:rsidP="009A583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5834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56A954A1" w:rsidR="009A5834" w:rsidRPr="004B6634" w:rsidRDefault="009A5834" w:rsidP="009A58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45CF3BAC" w:rsidR="009A5834" w:rsidRPr="004B6634" w:rsidRDefault="009A5834" w:rsidP="009A5834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9A5834" w:rsidRPr="004B6634" w14:paraId="285493BD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129" w14:textId="7B3B60E7" w:rsidR="009A5834" w:rsidRPr="0000727D" w:rsidRDefault="009A5834" w:rsidP="009A583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5834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7DD3" w14:textId="392084C6" w:rsidR="009A5834" w:rsidRPr="004B6634" w:rsidRDefault="009A5834" w:rsidP="009A58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BF221" w14:textId="347E88DC" w:rsidR="009A5834" w:rsidRPr="004B6634" w:rsidRDefault="009A5834" w:rsidP="009A5834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5C7020CB" w:rsidR="00CD22B3" w:rsidRPr="0000727D" w:rsidRDefault="009A5834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4" w:name="_Hlk77951251"/>
      <w:bookmarkStart w:id="15" w:name="_Hlk91793992"/>
      <w:bookmarkStart w:id="16" w:name="_Hlk78215522"/>
      <w:bookmarkStart w:id="17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2AD0EE27" w14:textId="2A4CA67E" w:rsidR="00B6646E" w:rsidRDefault="00DB251A" w:rsidP="00B664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18" w:name="_Hlk91794191"/>
      <w:bookmarkStart w:id="19" w:name="_Hlk91791593"/>
      <w:bookmarkEnd w:id="14"/>
      <w:bookmarkEnd w:id="15"/>
      <w:r w:rsidR="00CD22B3" w:rsidRPr="00460C55">
        <w:rPr>
          <w:rFonts w:ascii="Calibri" w:hAnsi="Calibri"/>
          <w:b/>
          <w:sz w:val="22"/>
          <w:szCs w:val="22"/>
        </w:rPr>
        <w:lastRenderedPageBreak/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18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0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028AB39A" w:rsidR="00CD22B3" w:rsidRPr="0000727D" w:rsidRDefault="009A5834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7 661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1E18D671" w:rsidR="00CD22B3" w:rsidRPr="0000727D" w:rsidRDefault="009A5834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629A43F8" w:rsidR="00CD22B3" w:rsidRPr="0000727D" w:rsidRDefault="009A5834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532E5B62" w:rsidR="00E21847" w:rsidRPr="0000727D" w:rsidRDefault="009A5834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2ECB6B96" w:rsidR="00CD22B3" w:rsidRPr="0000727D" w:rsidRDefault="009A5834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12 011,00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46ADE3C4" w:rsidR="00CD22B3" w:rsidRPr="0000727D" w:rsidRDefault="009A5834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14 533,31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1" w:name="_Hlk104103024"/>
      <w:bookmarkStart w:id="22" w:name="_Hlk33305635"/>
      <w:bookmarkEnd w:id="16"/>
      <w:bookmarkEnd w:id="19"/>
      <w:bookmarkEnd w:id="20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7753E0DE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</w:t>
      </w:r>
      <w:r w:rsidRPr="009A5834">
        <w:rPr>
          <w:rFonts w:ascii="Calibri" w:hAnsi="Calibri"/>
          <w:sz w:val="22"/>
          <w:szCs w:val="22"/>
        </w:rPr>
        <w:t>dst.</w:t>
      </w:r>
      <w:r w:rsidRPr="009A5834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9A5834">
        <w:rPr>
          <w:rFonts w:ascii="Calibri" w:hAnsi="Calibri"/>
          <w:color w:val="000000"/>
          <w:sz w:val="22"/>
          <w:szCs w:val="22"/>
        </w:rPr>
        <w:t>9</w:t>
      </w:r>
    </w:p>
    <w:bookmarkEnd w:id="17"/>
    <w:bookmarkEnd w:id="21"/>
    <w:p w14:paraId="2B8AB63E" w14:textId="67E69B7C" w:rsidR="004813DC" w:rsidRDefault="004813DC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14E7C130" w14:textId="19EAF973" w:rsidR="009A5834" w:rsidRDefault="009A5834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66706E4B" w14:textId="77777777" w:rsidR="009A5834" w:rsidRDefault="009A5834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3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rok </w:t>
            </w:r>
            <w:r w:rsidRPr="009A5834">
              <w:rPr>
                <w:rFonts w:ascii="Calibri" w:hAnsi="Calibri"/>
                <w:sz w:val="22"/>
                <w:szCs w:val="22"/>
              </w:rPr>
              <w:t>20</w:t>
            </w:r>
            <w:r w:rsidR="00FB64C3" w:rsidRPr="009A5834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6047125B" w:rsidR="008B2B13" w:rsidRPr="000B3F81" w:rsidRDefault="009C7D7F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9C7D7F">
              <w:rPr>
                <w:rFonts w:ascii="Calibri" w:hAnsi="Calibri"/>
                <w:sz w:val="22"/>
                <w:szCs w:val="22"/>
              </w:rPr>
              <w:t>323,23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5DAB00CA" w:rsidR="008B2B13" w:rsidRPr="00236B8E" w:rsidRDefault="009C7D7F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9C7D7F">
              <w:rPr>
                <w:rFonts w:ascii="Calibri" w:hAnsi="Calibri"/>
                <w:sz w:val="22"/>
                <w:szCs w:val="22"/>
              </w:rPr>
              <w:t>844,68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4FA2C0A2" w:rsidR="008B2B13" w:rsidRPr="00236B8E" w:rsidRDefault="009C7D7F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1 167,91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75872A8F" w:rsidR="008B2B13" w:rsidRPr="00236B8E" w:rsidRDefault="009C7D7F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1 413,17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42ABD6E6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9C7D7F">
        <w:rPr>
          <w:rFonts w:ascii="Calibri" w:hAnsi="Calibri"/>
          <w:color w:val="000000"/>
          <w:sz w:val="22"/>
          <w:szCs w:val="22"/>
        </w:rPr>
        <w:t>. 9</w:t>
      </w:r>
      <w:r w:rsidR="00271D2B" w:rsidRPr="009C7D7F">
        <w:rPr>
          <w:rFonts w:ascii="Calibri" w:hAnsi="Calibri"/>
          <w:sz w:val="22"/>
          <w:szCs w:val="22"/>
        </w:rPr>
        <w:t xml:space="preserve">. </w:t>
      </w:r>
      <w:r w:rsidRPr="009C7D7F">
        <w:rPr>
          <w:rFonts w:ascii="Calibri" w:hAnsi="Calibri"/>
          <w:sz w:val="22"/>
          <w:szCs w:val="22"/>
        </w:rPr>
        <w:t xml:space="preserve">Tabulka shrnuje stav </w:t>
      </w:r>
      <w:r w:rsidR="00501903" w:rsidRPr="009C7D7F">
        <w:rPr>
          <w:rFonts w:ascii="Calibri" w:hAnsi="Calibri"/>
          <w:sz w:val="22"/>
          <w:szCs w:val="22"/>
        </w:rPr>
        <w:t xml:space="preserve">jednotlivých položek </w:t>
      </w:r>
      <w:r w:rsidR="00271D2B" w:rsidRPr="009C7D7F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9C7D7F">
        <w:rPr>
          <w:rFonts w:ascii="Calibri" w:hAnsi="Calibri"/>
          <w:sz w:val="22"/>
          <w:szCs w:val="22"/>
        </w:rPr>
        <w:t> </w:t>
      </w:r>
      <w:r w:rsidR="00271D2B" w:rsidRPr="009C7D7F">
        <w:rPr>
          <w:rFonts w:ascii="Calibri" w:hAnsi="Calibri"/>
          <w:sz w:val="22"/>
          <w:szCs w:val="22"/>
        </w:rPr>
        <w:t>lednu</w:t>
      </w:r>
      <w:r w:rsidR="009A34D5" w:rsidRPr="009C7D7F">
        <w:rPr>
          <w:rFonts w:ascii="Calibri" w:hAnsi="Calibri"/>
          <w:sz w:val="22"/>
          <w:szCs w:val="22"/>
        </w:rPr>
        <w:t> </w:t>
      </w:r>
      <w:r w:rsidR="00271D2B" w:rsidRPr="009C7D7F">
        <w:rPr>
          <w:rFonts w:ascii="Calibri" w:hAnsi="Calibri"/>
          <w:sz w:val="22"/>
          <w:szCs w:val="22"/>
        </w:rPr>
        <w:t xml:space="preserve">2022. </w:t>
      </w:r>
      <w:r w:rsidR="008211A3" w:rsidRPr="009C7D7F">
        <w:rPr>
          <w:rFonts w:ascii="Calibri" w:hAnsi="Calibri"/>
          <w:sz w:val="22"/>
          <w:szCs w:val="22"/>
        </w:rPr>
        <w:t>A bude sloužit jako výchozí údaj pro výpočet inflační doložky za rok 2022 a další roky.</w:t>
      </w:r>
    </w:p>
    <w:bookmarkEnd w:id="22"/>
    <w:bookmarkEnd w:id="23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4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5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6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6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27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4"/>
      <w:bookmarkEnd w:id="25"/>
      <w:bookmarkEnd w:id="27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EDB7" w14:textId="77777777" w:rsidR="00244836" w:rsidRDefault="00244836" w:rsidP="00277F02">
      <w:r>
        <w:separator/>
      </w:r>
    </w:p>
  </w:endnote>
  <w:endnote w:type="continuationSeparator" w:id="0">
    <w:p w14:paraId="201FE5E9" w14:textId="77777777" w:rsidR="00244836" w:rsidRDefault="00244836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90B0" w14:textId="77777777" w:rsidR="00A67FA2" w:rsidRPr="00A67FA2" w:rsidRDefault="00EB5F64" w:rsidP="007F6BD7">
    <w:pPr>
      <w:pStyle w:val="Zpat"/>
      <w:jc w:val="right"/>
    </w:pPr>
    <w:r>
      <w:rPr>
        <w:noProof/>
      </w:rPr>
      <w:pict w14:anchorId="2EC4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25pt;height:28.5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ECBD" w14:textId="77777777" w:rsidR="00244836" w:rsidRDefault="00244836" w:rsidP="00277F02">
      <w:r>
        <w:separator/>
      </w:r>
    </w:p>
  </w:footnote>
  <w:footnote w:type="continuationSeparator" w:id="0">
    <w:p w14:paraId="708C1657" w14:textId="77777777" w:rsidR="00244836" w:rsidRDefault="00244836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C49" w14:textId="77777777" w:rsidR="00BD5F26" w:rsidRPr="00B84D10" w:rsidRDefault="00000000" w:rsidP="00B84D10">
    <w:pPr>
      <w:pStyle w:val="Zhlav"/>
    </w:pPr>
    <w:r>
      <w:rPr>
        <w:noProof/>
      </w:rPr>
      <w:pict w14:anchorId="1409EA8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9.8pt;margin-top:20.3pt;width:341.45pt;height:49.5pt;z-index:1" stroked="f">
          <v:textbox style="mso-next-textbox:#_x0000_s1038" inset="0,0,0,0">
            <w:txbxContent>
              <w:p w14:paraId="59860824" w14:textId="77777777"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14:paraId="05F3275F" w14:textId="598A1C2C"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5D408A" w:rsidRPr="005D408A">
                  <w:rPr>
                    <w:rFonts w:ascii="Calibri" w:hAnsi="Calibri"/>
                    <w:i/>
                    <w:sz w:val="20"/>
                  </w:rPr>
                  <w:t>F-22-00594</w:t>
                </w:r>
              </w:p>
              <w:p w14:paraId="5C3A1644" w14:textId="77777777" w:rsidR="00E971A3" w:rsidRDefault="00E971A3"/>
            </w:txbxContent>
          </v:textbox>
        </v:shape>
      </w:pict>
    </w:r>
    <w:r>
      <w:rPr>
        <w:noProof/>
      </w:rPr>
      <w:pict w14:anchorId="5B76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40" type="#_x0000_t75" style="position:absolute;margin-left:.1pt;margin-top:38.5pt;width:123.55pt;height:28.75pt;z-index:2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21526715">
    <w:abstractNumId w:val="8"/>
  </w:num>
  <w:num w:numId="2" w16cid:durableId="1778909603">
    <w:abstractNumId w:val="3"/>
  </w:num>
  <w:num w:numId="3" w16cid:durableId="1868904941">
    <w:abstractNumId w:val="2"/>
  </w:num>
  <w:num w:numId="4" w16cid:durableId="1736125967">
    <w:abstractNumId w:val="1"/>
  </w:num>
  <w:num w:numId="5" w16cid:durableId="812866728">
    <w:abstractNumId w:val="0"/>
  </w:num>
  <w:num w:numId="6" w16cid:durableId="1655714528">
    <w:abstractNumId w:val="31"/>
  </w:num>
  <w:num w:numId="7" w16cid:durableId="1879857751">
    <w:abstractNumId w:val="31"/>
  </w:num>
  <w:num w:numId="8" w16cid:durableId="1967544587">
    <w:abstractNumId w:val="31"/>
  </w:num>
  <w:num w:numId="9" w16cid:durableId="950238829">
    <w:abstractNumId w:val="31"/>
  </w:num>
  <w:num w:numId="10" w16cid:durableId="1925451607">
    <w:abstractNumId w:val="31"/>
  </w:num>
  <w:num w:numId="11" w16cid:durableId="626469265">
    <w:abstractNumId w:val="31"/>
  </w:num>
  <w:num w:numId="12" w16cid:durableId="1825315953">
    <w:abstractNumId w:val="31"/>
  </w:num>
  <w:num w:numId="13" w16cid:durableId="1549683026">
    <w:abstractNumId w:val="9"/>
  </w:num>
  <w:num w:numId="14" w16cid:durableId="128672778">
    <w:abstractNumId w:val="7"/>
  </w:num>
  <w:num w:numId="15" w16cid:durableId="558173172">
    <w:abstractNumId w:val="6"/>
  </w:num>
  <w:num w:numId="16" w16cid:durableId="829565199">
    <w:abstractNumId w:val="5"/>
  </w:num>
  <w:num w:numId="17" w16cid:durableId="1487240420">
    <w:abstractNumId w:val="4"/>
  </w:num>
  <w:num w:numId="18" w16cid:durableId="15162901">
    <w:abstractNumId w:val="27"/>
  </w:num>
  <w:num w:numId="19" w16cid:durableId="322851671">
    <w:abstractNumId w:val="27"/>
  </w:num>
  <w:num w:numId="20" w16cid:durableId="1960214336">
    <w:abstractNumId w:val="16"/>
  </w:num>
  <w:num w:numId="21" w16cid:durableId="2126146377">
    <w:abstractNumId w:val="12"/>
  </w:num>
  <w:num w:numId="22" w16cid:durableId="292562327">
    <w:abstractNumId w:val="29"/>
  </w:num>
  <w:num w:numId="23" w16cid:durableId="1089042808">
    <w:abstractNumId w:val="21"/>
  </w:num>
  <w:num w:numId="24" w16cid:durableId="894511983">
    <w:abstractNumId w:val="20"/>
  </w:num>
  <w:num w:numId="25" w16cid:durableId="105124064">
    <w:abstractNumId w:val="37"/>
  </w:num>
  <w:num w:numId="26" w16cid:durableId="663241856">
    <w:abstractNumId w:val="26"/>
  </w:num>
  <w:num w:numId="27" w16cid:durableId="488443035">
    <w:abstractNumId w:val="14"/>
  </w:num>
  <w:num w:numId="28" w16cid:durableId="1133717730">
    <w:abstractNumId w:val="32"/>
  </w:num>
  <w:num w:numId="29" w16cid:durableId="365378162">
    <w:abstractNumId w:val="36"/>
  </w:num>
  <w:num w:numId="30" w16cid:durableId="1435788276">
    <w:abstractNumId w:val="24"/>
  </w:num>
  <w:num w:numId="31" w16cid:durableId="1596935106">
    <w:abstractNumId w:val="15"/>
  </w:num>
  <w:num w:numId="32" w16cid:durableId="262887589">
    <w:abstractNumId w:val="13"/>
  </w:num>
  <w:num w:numId="33" w16cid:durableId="1950045150">
    <w:abstractNumId w:val="33"/>
  </w:num>
  <w:num w:numId="34" w16cid:durableId="983199863">
    <w:abstractNumId w:val="30"/>
  </w:num>
  <w:num w:numId="35" w16cid:durableId="1138378533">
    <w:abstractNumId w:val="19"/>
  </w:num>
  <w:num w:numId="36" w16cid:durableId="602684413">
    <w:abstractNumId w:val="28"/>
  </w:num>
  <w:num w:numId="37" w16cid:durableId="499003198">
    <w:abstractNumId w:val="11"/>
  </w:num>
  <w:num w:numId="38" w16cid:durableId="470369113">
    <w:abstractNumId w:val="34"/>
  </w:num>
  <w:num w:numId="39" w16cid:durableId="1585333279">
    <w:abstractNumId w:val="7"/>
  </w:num>
  <w:num w:numId="40" w16cid:durableId="354965348">
    <w:abstractNumId w:val="7"/>
  </w:num>
  <w:num w:numId="41" w16cid:durableId="1342733606">
    <w:abstractNumId w:val="23"/>
  </w:num>
  <w:num w:numId="42" w16cid:durableId="1903561479">
    <w:abstractNumId w:val="22"/>
  </w:num>
  <w:num w:numId="43" w16cid:durableId="925115643">
    <w:abstractNumId w:val="25"/>
  </w:num>
  <w:num w:numId="44" w16cid:durableId="1866946740">
    <w:abstractNumId w:val="18"/>
  </w:num>
  <w:num w:numId="45" w16cid:durableId="704790756">
    <w:abstractNumId w:val="10"/>
  </w:num>
  <w:num w:numId="46" w16cid:durableId="429664540">
    <w:abstractNumId w:val="7"/>
  </w:num>
  <w:num w:numId="47" w16cid:durableId="1655527508">
    <w:abstractNumId w:val="17"/>
  </w:num>
  <w:num w:numId="48" w16cid:durableId="160989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2475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0A7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6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00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66CEF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17E7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94F2B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172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D408A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55B5"/>
    <w:rsid w:val="0060631F"/>
    <w:rsid w:val="00610359"/>
    <w:rsid w:val="006122CD"/>
    <w:rsid w:val="00613B1E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4834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C7A95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1A3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A5834"/>
    <w:rsid w:val="009B41AE"/>
    <w:rsid w:val="009B56DD"/>
    <w:rsid w:val="009B6075"/>
    <w:rsid w:val="009B74D9"/>
    <w:rsid w:val="009C61B4"/>
    <w:rsid w:val="009C7D7F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5822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682B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1E5E"/>
    <w:rsid w:val="00E32884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43"/>
    <w:rsid w:val="00E971A3"/>
    <w:rsid w:val="00EA02FF"/>
    <w:rsid w:val="00EA7378"/>
    <w:rsid w:val="00EB02FE"/>
    <w:rsid w:val="00EB3B97"/>
    <w:rsid w:val="00EB5F64"/>
    <w:rsid w:val="00EC1C89"/>
    <w:rsid w:val="00EC2282"/>
    <w:rsid w:val="00EC56D3"/>
    <w:rsid w:val="00EC6ED3"/>
    <w:rsid w:val="00ED050D"/>
    <w:rsid w:val="00ED110C"/>
    <w:rsid w:val="00ED7D39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3441C"/>
    <w:rsid w:val="00F40111"/>
    <w:rsid w:val="00F4268B"/>
    <w:rsid w:val="00F43687"/>
    <w:rsid w:val="00F45137"/>
    <w:rsid w:val="00F46D1C"/>
    <w:rsid w:val="00F51A9E"/>
    <w:rsid w:val="00F5408D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0A2-1FD2-4D72-A379-EC67784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1</TotalTime>
  <Pages>14</Pages>
  <Words>4027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27736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Odvodyová Vendula</cp:lastModifiedBy>
  <cp:revision>2</cp:revision>
  <cp:lastPrinted>2011-12-19T15:36:00Z</cp:lastPrinted>
  <dcterms:created xsi:type="dcterms:W3CDTF">2023-02-06T08:48:00Z</dcterms:created>
  <dcterms:modified xsi:type="dcterms:W3CDTF">2023-02-06T08:48:00Z</dcterms:modified>
</cp:coreProperties>
</file>