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52331F" w:rsidRPr="0052331F" w:rsidRDefault="0099107B" w:rsidP="0052331F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</w:rPr>
      </w:pPr>
      <w:r w:rsidRPr="0052331F">
        <w:rPr>
          <w:rFonts w:ascii="Arial" w:hAnsi="Arial" w:cs="Arial"/>
          <w:b/>
          <w:smallCaps/>
          <w:spacing w:val="40"/>
          <w:sz w:val="28"/>
          <w:szCs w:val="28"/>
        </w:rPr>
        <w:t>Dodatek č. 1</w:t>
      </w:r>
      <w:r w:rsidR="00310737" w:rsidRPr="0052331F">
        <w:rPr>
          <w:rFonts w:ascii="Arial" w:hAnsi="Arial" w:cs="Arial"/>
          <w:b/>
          <w:smallCaps/>
          <w:spacing w:val="40"/>
          <w:sz w:val="28"/>
          <w:szCs w:val="28"/>
        </w:rPr>
        <w:t xml:space="preserve"> </w:t>
      </w:r>
      <w:r w:rsidR="00CD5246" w:rsidRPr="0052331F">
        <w:rPr>
          <w:rFonts w:ascii="Arial" w:hAnsi="Arial" w:cs="Arial"/>
          <w:b/>
          <w:smallCaps/>
          <w:spacing w:val="40"/>
          <w:sz w:val="28"/>
          <w:szCs w:val="28"/>
        </w:rPr>
        <w:t>k</w:t>
      </w:r>
      <w:r w:rsidR="00907234" w:rsidRPr="0052331F">
        <w:rPr>
          <w:rFonts w:ascii="Arial" w:hAnsi="Arial" w:cs="Arial"/>
          <w:b/>
          <w:smallCaps/>
          <w:spacing w:val="40"/>
          <w:sz w:val="28"/>
          <w:szCs w:val="28"/>
        </w:rPr>
        <w:t>e</w:t>
      </w:r>
      <w:r w:rsidR="00CC52A5" w:rsidRPr="0052331F">
        <w:rPr>
          <w:rFonts w:ascii="Arial" w:hAnsi="Arial" w:cs="Arial"/>
          <w:b/>
          <w:smallCaps/>
          <w:spacing w:val="40"/>
          <w:sz w:val="28"/>
          <w:szCs w:val="28"/>
        </w:rPr>
        <w:t xml:space="preserve"> smlouvě</w:t>
      </w:r>
      <w:r w:rsidR="0052331F" w:rsidRPr="0052331F">
        <w:rPr>
          <w:rFonts w:ascii="Arial" w:hAnsi="Arial" w:cs="Arial"/>
          <w:b/>
          <w:smallCaps/>
          <w:spacing w:val="40"/>
          <w:sz w:val="28"/>
          <w:szCs w:val="28"/>
        </w:rPr>
        <w:t xml:space="preserve"> o společném výzkumu</w:t>
      </w:r>
      <w:r w:rsidR="00310737" w:rsidRPr="0052331F">
        <w:rPr>
          <w:rFonts w:ascii="Arial" w:hAnsi="Arial" w:cs="Arial"/>
          <w:b/>
          <w:smallCaps/>
          <w:spacing w:val="40"/>
          <w:sz w:val="28"/>
          <w:szCs w:val="28"/>
        </w:rPr>
        <w:t>:</w:t>
      </w:r>
      <w:r w:rsidR="00310737" w:rsidRPr="0052331F">
        <w:rPr>
          <w:rFonts w:ascii="Arial" w:hAnsi="Arial" w:cs="Arial"/>
          <w:b/>
          <w:i/>
          <w:smallCaps/>
          <w:spacing w:val="40"/>
          <w:sz w:val="28"/>
          <w:szCs w:val="28"/>
        </w:rPr>
        <w:br/>
      </w:r>
      <w:r w:rsidR="0052331F" w:rsidRPr="0052331F">
        <w:rPr>
          <w:rFonts w:ascii="Arial" w:hAnsi="Arial" w:cs="Arial"/>
          <w:b/>
          <w:bCs/>
          <w:smallCaps/>
          <w:spacing w:val="20"/>
          <w:sz w:val="28"/>
          <w:szCs w:val="28"/>
        </w:rPr>
        <w:t>Komplexní analýza eroze pro současné i budoucí klima v adaptačních strategiích SustES a dopady na vodní režim a dostupnost vodních zdrojů</w:t>
      </w:r>
    </w:p>
    <w:p w:rsidR="007835B6" w:rsidRPr="00DA7E4F" w:rsidRDefault="007835B6" w:rsidP="0052331F">
      <w:pPr>
        <w:pStyle w:val="Zkladntext"/>
        <w:suppressAutoHyphens/>
        <w:spacing w:line="240" w:lineRule="atLeast"/>
        <w:ind w:left="0" w:firstLine="0"/>
        <w:jc w:val="center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7835B6" w:rsidRPr="006F6BBE" w:rsidRDefault="007835B6" w:rsidP="00661E77">
      <w:pPr>
        <w:pStyle w:val="Zkladntext"/>
        <w:suppressAutoHyphens/>
        <w:spacing w:line="240" w:lineRule="atLeast"/>
        <w:ind w:left="0" w:firstLine="0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</w:p>
    <w:tbl>
      <w:tblPr>
        <w:tblStyle w:val="Mkatabulky1"/>
        <w:tblW w:w="9286" w:type="dxa"/>
        <w:tblLayout w:type="fixed"/>
        <w:tblLook w:val="04A0" w:firstRow="1" w:lastRow="0" w:firstColumn="1" w:lastColumn="0" w:noHBand="0" w:noVBand="1"/>
      </w:tblPr>
      <w:tblGrid>
        <w:gridCol w:w="1384"/>
        <w:gridCol w:w="3000"/>
        <w:gridCol w:w="689"/>
        <w:gridCol w:w="4213"/>
      </w:tblGrid>
      <w:tr w:rsidR="0052331F" w:rsidRPr="0052331F" w:rsidTr="00903D43">
        <w:trPr>
          <w:trHeight w:val="43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379"/>
              <w:gridCol w:w="2960"/>
              <w:gridCol w:w="687"/>
              <w:gridCol w:w="4152"/>
            </w:tblGrid>
            <w:tr w:rsidR="0052331F" w:rsidRPr="0052331F" w:rsidTr="0047585E">
              <w:trPr>
                <w:trHeight w:val="434"/>
              </w:trPr>
              <w:tc>
                <w:tcPr>
                  <w:tcW w:w="1379" w:type="dxa"/>
                  <w:vAlign w:val="center"/>
                </w:tcPr>
                <w:p w:rsidR="0052331F" w:rsidRPr="0052331F" w:rsidRDefault="00903D43" w:rsidP="0052331F">
                  <w:pPr>
                    <w:suppressAutoHyphens/>
                    <w:spacing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Název</w:t>
                  </w:r>
                </w:p>
              </w:tc>
              <w:tc>
                <w:tcPr>
                  <w:tcW w:w="7799" w:type="dxa"/>
                  <w:gridSpan w:val="3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line="240" w:lineRule="atLeast"/>
                    <w:rPr>
                      <w:rFonts w:eastAsia="Calibri" w:cs="Arial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Ústav výzkumu globální změny AV ČR, v. v. i.</w:t>
                  </w:r>
                </w:p>
              </w:tc>
            </w:tr>
            <w:tr w:rsidR="0052331F" w:rsidRPr="0052331F" w:rsidTr="0047585E">
              <w:tc>
                <w:tcPr>
                  <w:tcW w:w="1379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Sídlem</w:t>
                  </w:r>
                </w:p>
              </w:tc>
              <w:tc>
                <w:tcPr>
                  <w:tcW w:w="7799" w:type="dxa"/>
                  <w:gridSpan w:val="3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Bělidla 986/4a, 603  00 Brno</w:t>
                  </w:r>
                </w:p>
              </w:tc>
            </w:tr>
            <w:tr w:rsidR="0052331F" w:rsidRPr="0052331F" w:rsidTr="0047585E">
              <w:tc>
                <w:tcPr>
                  <w:tcW w:w="1379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IČO</w:t>
                  </w:r>
                </w:p>
              </w:tc>
              <w:tc>
                <w:tcPr>
                  <w:tcW w:w="2960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86652079</w:t>
                  </w:r>
                </w:p>
              </w:tc>
              <w:tc>
                <w:tcPr>
                  <w:tcW w:w="687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DIČ</w:t>
                  </w:r>
                </w:p>
              </w:tc>
              <w:tc>
                <w:tcPr>
                  <w:tcW w:w="4152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CZ86652079</w:t>
                  </w:r>
                </w:p>
              </w:tc>
            </w:tr>
            <w:tr w:rsidR="0052331F" w:rsidRPr="0052331F" w:rsidTr="0047585E">
              <w:tc>
                <w:tcPr>
                  <w:tcW w:w="1379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 xml:space="preserve">zapsaná v </w:t>
                  </w:r>
                </w:p>
              </w:tc>
              <w:tc>
                <w:tcPr>
                  <w:tcW w:w="7799" w:type="dxa"/>
                  <w:gridSpan w:val="3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Rejstříku veřejných výzkumných institucí</w:t>
                  </w:r>
                </w:p>
              </w:tc>
            </w:tr>
            <w:tr w:rsidR="0052331F" w:rsidRPr="0052331F" w:rsidTr="0047585E">
              <w:tc>
                <w:tcPr>
                  <w:tcW w:w="1379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 xml:space="preserve">zastoupen </w:t>
                  </w:r>
                </w:p>
              </w:tc>
              <w:tc>
                <w:tcPr>
                  <w:tcW w:w="7799" w:type="dxa"/>
                  <w:gridSpan w:val="3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prof. RNDr. Ing. Michalem V. Markem, DrSc., dr. h. c., ředitelem</w:t>
                  </w:r>
                </w:p>
              </w:tc>
            </w:tr>
            <w:tr w:rsidR="0052331F" w:rsidRPr="0052331F" w:rsidTr="0047585E">
              <w:tc>
                <w:tcPr>
                  <w:tcW w:w="1379" w:type="dxa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číslo účtu</w:t>
                  </w:r>
                </w:p>
              </w:tc>
              <w:tc>
                <w:tcPr>
                  <w:tcW w:w="7799" w:type="dxa"/>
                  <w:gridSpan w:val="3"/>
                  <w:vAlign w:val="center"/>
                </w:tcPr>
                <w:p w:rsidR="0052331F" w:rsidRPr="0052331F" w:rsidRDefault="0052331F" w:rsidP="0052331F">
                  <w:pPr>
                    <w:suppressAutoHyphens/>
                    <w:spacing w:before="0" w:after="0" w:line="240" w:lineRule="atLeast"/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</w:pPr>
                  <w:r w:rsidRPr="0052331F">
                    <w:rPr>
                      <w:rFonts w:eastAsia="Calibri" w:cs="Arial"/>
                      <w:color w:val="000000"/>
                      <w:sz w:val="21"/>
                      <w:szCs w:val="21"/>
                      <w:lang w:eastAsia="cs-CZ"/>
                    </w:rPr>
                    <w:t>61722621/0710 – ČNB – Pobočka Brno</w:t>
                  </w:r>
                </w:p>
              </w:tc>
            </w:tr>
          </w:tbl>
          <w:p w:rsidR="0052331F" w:rsidRPr="0052331F" w:rsidRDefault="0052331F" w:rsidP="0052331F">
            <w:pPr>
              <w:spacing w:after="120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2331F">
              <w:rPr>
                <w:rFonts w:ascii="Arial" w:hAnsi="Arial" w:cs="Arial"/>
                <w:sz w:val="21"/>
                <w:szCs w:val="21"/>
                <w:lang w:eastAsia="en-US"/>
              </w:rPr>
              <w:t>(dále jen CzechGlobe)</w:t>
            </w:r>
          </w:p>
          <w:p w:rsidR="0052331F" w:rsidRPr="0052331F" w:rsidRDefault="0052331F" w:rsidP="0052331F">
            <w:pPr>
              <w:spacing w:after="120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52331F">
              <w:rPr>
                <w:rFonts w:ascii="Arial" w:hAnsi="Arial" w:cs="Arial"/>
                <w:sz w:val="21"/>
                <w:szCs w:val="21"/>
                <w:lang w:eastAsia="en-US"/>
              </w:rPr>
              <w:t>(společně dále také jako „smluvní strany“)</w:t>
            </w:r>
          </w:p>
          <w:p w:rsidR="0052331F" w:rsidRPr="0052331F" w:rsidRDefault="0052331F" w:rsidP="0052331F">
            <w:pPr>
              <w:spacing w:after="120"/>
              <w:rPr>
                <w:rFonts w:ascii="Arial" w:hAnsi="Arial" w:cs="Arial"/>
                <w:b/>
                <w:color w:val="000000"/>
                <w:sz w:val="21"/>
                <w:szCs w:val="21"/>
                <w:lang w:eastAsia="en-US"/>
              </w:rPr>
            </w:pPr>
          </w:p>
          <w:p w:rsidR="0052331F" w:rsidRDefault="0052331F" w:rsidP="00903D43">
            <w:pPr>
              <w:suppressAutoHyphens/>
              <w:spacing w:after="113" w:line="240" w:lineRule="atLeast"/>
              <w:rPr>
                <w:rFonts w:ascii="Arial" w:hAnsi="Arial" w:cs="Arial"/>
                <w:b/>
                <w:bCs/>
                <w:smallCaps/>
                <w:color w:val="000000"/>
                <w:spacing w:val="40"/>
                <w:sz w:val="21"/>
                <w:szCs w:val="21"/>
              </w:rPr>
            </w:pPr>
            <w:r w:rsidRPr="00903D43">
              <w:rPr>
                <w:rFonts w:ascii="Arial" w:hAnsi="Arial" w:cs="Arial"/>
                <w:b/>
                <w:bCs/>
                <w:smallCaps/>
                <w:color w:val="000000"/>
                <w:spacing w:val="40"/>
                <w:sz w:val="21"/>
                <w:szCs w:val="21"/>
              </w:rPr>
              <w:t>a</w:t>
            </w:r>
          </w:p>
          <w:p w:rsidR="008B18F5" w:rsidRPr="00903D43" w:rsidRDefault="008B18F5" w:rsidP="00903D43">
            <w:pPr>
              <w:suppressAutoHyphens/>
              <w:spacing w:after="113" w:line="240" w:lineRule="atLeast"/>
              <w:rPr>
                <w:rFonts w:ascii="Arial" w:hAnsi="Arial" w:cs="Arial"/>
                <w:b/>
                <w:bCs/>
                <w:smallCaps/>
                <w:color w:val="000000"/>
                <w:spacing w:val="40"/>
                <w:sz w:val="21"/>
                <w:szCs w:val="21"/>
              </w:rPr>
            </w:pPr>
          </w:p>
        </w:tc>
      </w:tr>
      <w:tr w:rsidR="00903D43" w:rsidRPr="0052331F" w:rsidTr="00903D4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43" w:rsidRPr="00903D43" w:rsidRDefault="00903D43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3D43">
              <w:rPr>
                <w:rFonts w:ascii="Arial" w:eastAsia="Calibri" w:hAnsi="Arial" w:cs="Arial"/>
                <w:color w:val="000000"/>
                <w:sz w:val="21"/>
                <w:szCs w:val="21"/>
              </w:rPr>
              <w:t>Název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43" w:rsidRPr="00903D43" w:rsidRDefault="00903D43" w:rsidP="00903D43">
            <w:pPr>
              <w:spacing w:after="120" w:line="240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03D43">
              <w:rPr>
                <w:rFonts w:ascii="Arial" w:hAnsi="Arial" w:cs="Arial"/>
                <w:b/>
                <w:color w:val="000000"/>
                <w:sz w:val="21"/>
                <w:szCs w:val="21"/>
              </w:rPr>
              <w:t>Výzkumný ústav vodohospodářský T. G. Masaryka, veřejná výzkumná instituce</w:t>
            </w:r>
          </w:p>
        </w:tc>
      </w:tr>
      <w:tr w:rsidR="0052331F" w:rsidRPr="0052331F" w:rsidTr="00903D4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Sídlem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Podbabská 2582/30, 160 00  Praha 6</w:t>
            </w:r>
          </w:p>
        </w:tc>
      </w:tr>
      <w:tr w:rsidR="0052331F" w:rsidRPr="0052331F" w:rsidTr="00903D4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IČO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00020711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DIČ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CZ00020711</w:t>
            </w:r>
          </w:p>
        </w:tc>
      </w:tr>
      <w:tr w:rsidR="00903D43" w:rsidRPr="0052331F" w:rsidTr="00BF0FF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43" w:rsidRPr="00903D43" w:rsidRDefault="00903D43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3D43">
              <w:rPr>
                <w:rFonts w:ascii="Arial" w:hAnsi="Arial" w:cs="Arial"/>
                <w:color w:val="000000"/>
                <w:sz w:val="21"/>
                <w:szCs w:val="21"/>
              </w:rPr>
              <w:t>zapsaná v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43" w:rsidRPr="00903D43" w:rsidRDefault="00903D43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3D43">
              <w:rPr>
                <w:rFonts w:ascii="Arial" w:hAnsi="Arial" w:cs="Arial"/>
                <w:color w:val="000000"/>
                <w:sz w:val="21"/>
                <w:szCs w:val="21"/>
              </w:rPr>
              <w:t>Rejstřík veřejných výzkumných institucí</w:t>
            </w:r>
          </w:p>
        </w:tc>
      </w:tr>
      <w:tr w:rsidR="0052331F" w:rsidRPr="0052331F" w:rsidTr="00903D4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 xml:space="preserve">zastoupen 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1F" w:rsidRPr="0052331F" w:rsidRDefault="0052331F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Ing. Tomášem Urbanem, ředitelem</w:t>
            </w:r>
          </w:p>
        </w:tc>
      </w:tr>
      <w:tr w:rsidR="00903D43" w:rsidRPr="0052331F" w:rsidTr="00903D4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43" w:rsidRPr="00903D43" w:rsidRDefault="00903D43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3D43">
              <w:rPr>
                <w:rFonts w:ascii="Arial" w:hAnsi="Arial" w:cs="Arial"/>
                <w:color w:val="000000"/>
                <w:sz w:val="21"/>
                <w:szCs w:val="21"/>
              </w:rPr>
              <w:t>číslo účtu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43" w:rsidRPr="00903D43" w:rsidRDefault="00903D43" w:rsidP="0052331F">
            <w:pPr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331F">
              <w:rPr>
                <w:rFonts w:ascii="Arial" w:hAnsi="Arial" w:cs="Arial"/>
                <w:color w:val="000000"/>
                <w:sz w:val="21"/>
                <w:szCs w:val="21"/>
              </w:rPr>
              <w:t>32931061/0100</w:t>
            </w:r>
          </w:p>
        </w:tc>
      </w:tr>
    </w:tbl>
    <w:p w:rsidR="0052331F" w:rsidRPr="0052331F" w:rsidRDefault="0052331F" w:rsidP="0052331F">
      <w:pPr>
        <w:rPr>
          <w:rFonts w:eastAsia="Calibri" w:cs="Arial"/>
          <w:sz w:val="21"/>
          <w:szCs w:val="21"/>
        </w:rPr>
      </w:pPr>
      <w:r w:rsidRPr="0052331F">
        <w:rPr>
          <w:rFonts w:eastAsia="Calibri" w:cs="Arial"/>
          <w:sz w:val="21"/>
          <w:szCs w:val="21"/>
        </w:rPr>
        <w:t>(dále jen VÚV)</w:t>
      </w:r>
    </w:p>
    <w:p w:rsidR="008B18F5" w:rsidRDefault="0005326E" w:rsidP="008B18F5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uzavírají </w:t>
      </w:r>
      <w:r w:rsidR="00CD5246">
        <w:rPr>
          <w:rFonts w:cs="Arial"/>
          <w:sz w:val="21"/>
          <w:szCs w:val="21"/>
        </w:rPr>
        <w:t xml:space="preserve">dodatek následujícího znění: 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B56F28" w:rsidP="00A966A1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Smlouva</w:t>
      </w:r>
    </w:p>
    <w:p w:rsidR="00E64CC8" w:rsidRDefault="00E41A5E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strany uzavřely dn</w:t>
      </w:r>
      <w:r w:rsidRPr="00227317">
        <w:rPr>
          <w:rFonts w:cs="Arial"/>
          <w:sz w:val="21"/>
          <w:szCs w:val="21"/>
        </w:rPr>
        <w:t xml:space="preserve">e </w:t>
      </w:r>
      <w:r w:rsidR="0052331F">
        <w:rPr>
          <w:rFonts w:cs="Arial"/>
          <w:sz w:val="21"/>
          <w:szCs w:val="21"/>
        </w:rPr>
        <w:t>26</w:t>
      </w:r>
      <w:r w:rsidR="00BC2856">
        <w:rPr>
          <w:rFonts w:cs="Arial"/>
          <w:sz w:val="21"/>
          <w:szCs w:val="21"/>
        </w:rPr>
        <w:t xml:space="preserve">. </w:t>
      </w:r>
      <w:r w:rsidR="0052331F">
        <w:rPr>
          <w:rFonts w:cs="Arial"/>
          <w:sz w:val="21"/>
          <w:szCs w:val="21"/>
        </w:rPr>
        <w:t>7</w:t>
      </w:r>
      <w:r w:rsidR="00BC2856">
        <w:rPr>
          <w:rFonts w:cs="Arial"/>
          <w:sz w:val="21"/>
          <w:szCs w:val="21"/>
        </w:rPr>
        <w:t>. 20</w:t>
      </w:r>
      <w:r w:rsidR="00BA366A">
        <w:rPr>
          <w:rFonts w:cs="Arial"/>
          <w:sz w:val="21"/>
          <w:szCs w:val="21"/>
        </w:rPr>
        <w:t>22</w:t>
      </w:r>
      <w:r w:rsidR="00C11D72">
        <w:rPr>
          <w:rFonts w:cs="Arial"/>
          <w:sz w:val="21"/>
          <w:szCs w:val="21"/>
        </w:rPr>
        <w:t xml:space="preserve">, </w:t>
      </w:r>
      <w:r w:rsidR="00970B88">
        <w:rPr>
          <w:rFonts w:cs="Arial"/>
          <w:sz w:val="21"/>
          <w:szCs w:val="21"/>
        </w:rPr>
        <w:t>smlouvu o</w:t>
      </w:r>
      <w:r w:rsidR="00661E77">
        <w:rPr>
          <w:rFonts w:cs="Arial"/>
          <w:sz w:val="21"/>
          <w:szCs w:val="21"/>
        </w:rPr>
        <w:t xml:space="preserve"> </w:t>
      </w:r>
      <w:r w:rsidR="0052331F">
        <w:rPr>
          <w:rFonts w:cs="Arial"/>
          <w:sz w:val="21"/>
          <w:szCs w:val="21"/>
        </w:rPr>
        <w:t>společném výzkumu:</w:t>
      </w:r>
      <w:r w:rsidR="0052331F" w:rsidRPr="0052331F">
        <w:rPr>
          <w:rFonts w:cs="Arial"/>
          <w:b/>
          <w:bCs/>
          <w:smallCaps/>
          <w:spacing w:val="20"/>
          <w:sz w:val="28"/>
          <w:szCs w:val="28"/>
        </w:rPr>
        <w:t xml:space="preserve"> </w:t>
      </w:r>
      <w:r w:rsidR="0052331F" w:rsidRPr="0052331F">
        <w:rPr>
          <w:rFonts w:cs="Arial"/>
          <w:bCs/>
          <w:sz w:val="21"/>
          <w:szCs w:val="21"/>
        </w:rPr>
        <w:t>Komplexní analýza eroze pro současné i budoucí klima v adaptačních strategiích SustES a dopady na vodní režim a dostupnost vodních zdrojů</w:t>
      </w:r>
      <w:r w:rsidR="0052331F">
        <w:rPr>
          <w:rFonts w:cs="Arial"/>
          <w:sz w:val="21"/>
          <w:szCs w:val="21"/>
        </w:rPr>
        <w:t xml:space="preserve"> </w:t>
      </w:r>
      <w:r w:rsidR="00E64CC8" w:rsidRPr="00771E23">
        <w:rPr>
          <w:rFonts w:cs="Arial"/>
          <w:sz w:val="21"/>
          <w:szCs w:val="21"/>
        </w:rPr>
        <w:t>(dále jen Smlouva).</w:t>
      </w:r>
    </w:p>
    <w:p w:rsidR="00411651" w:rsidRDefault="00E25957" w:rsidP="00771E23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Před podpisem Smlouvy byly dle čl. I. odst. 2. Smlouvy hotové</w:t>
      </w:r>
      <w:r w:rsidR="0052331F">
        <w:rPr>
          <w:rFonts w:cs="Arial"/>
          <w:sz w:val="21"/>
          <w:szCs w:val="21"/>
        </w:rPr>
        <w:t xml:space="preserve"> </w:t>
      </w:r>
      <w:r w:rsidRPr="00E25957">
        <w:rPr>
          <w:rFonts w:cs="Arial"/>
          <w:sz w:val="21"/>
          <w:szCs w:val="21"/>
        </w:rPr>
        <w:t>datové podklady pro zpracování odhadů pro současné a budoucí klima</w:t>
      </w:r>
      <w:r>
        <w:rPr>
          <w:rFonts w:cs="Arial"/>
          <w:sz w:val="21"/>
          <w:szCs w:val="21"/>
        </w:rPr>
        <w:t>. Tyto podklady byly</w:t>
      </w:r>
      <w:r w:rsidR="00411651">
        <w:rPr>
          <w:rFonts w:cs="Arial"/>
          <w:sz w:val="21"/>
          <w:szCs w:val="21"/>
        </w:rPr>
        <w:t xml:space="preserve"> bezprostředně</w:t>
      </w:r>
      <w:r>
        <w:rPr>
          <w:rFonts w:cs="Arial"/>
          <w:sz w:val="21"/>
          <w:szCs w:val="21"/>
        </w:rPr>
        <w:t xml:space="preserve"> po podpisu Smlouvy poskytnuty VÚV za účelem jejich dalšího z</w:t>
      </w:r>
      <w:r w:rsidR="00411651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>pracování</w:t>
      </w:r>
      <w:r w:rsidR="00411651">
        <w:rPr>
          <w:rFonts w:cs="Arial"/>
          <w:sz w:val="21"/>
          <w:szCs w:val="21"/>
        </w:rPr>
        <w:t xml:space="preserve"> do</w:t>
      </w:r>
      <w:r>
        <w:rPr>
          <w:rFonts w:cs="Arial"/>
          <w:sz w:val="21"/>
          <w:szCs w:val="21"/>
        </w:rPr>
        <w:t xml:space="preserve"> komplexní analýzy eroze. CzechGlobe nicméně během září 2022 zjistil, že </w:t>
      </w:r>
      <w:r w:rsidR="004A419C">
        <w:rPr>
          <w:rFonts w:cs="Arial"/>
          <w:sz w:val="21"/>
          <w:szCs w:val="21"/>
        </w:rPr>
        <w:t xml:space="preserve">některé </w:t>
      </w:r>
      <w:r>
        <w:rPr>
          <w:rFonts w:cs="Arial"/>
          <w:sz w:val="21"/>
          <w:szCs w:val="21"/>
        </w:rPr>
        <w:t xml:space="preserve">předané </w:t>
      </w:r>
      <w:r w:rsidR="001369DD">
        <w:rPr>
          <w:rFonts w:cs="Arial"/>
          <w:sz w:val="21"/>
          <w:szCs w:val="21"/>
        </w:rPr>
        <w:t>datové podklady</w:t>
      </w:r>
      <w:r>
        <w:rPr>
          <w:rFonts w:cs="Arial"/>
          <w:sz w:val="21"/>
          <w:szCs w:val="21"/>
        </w:rPr>
        <w:t xml:space="preserve"> je potřeba</w:t>
      </w:r>
      <w:r w:rsidR="004A419C">
        <w:rPr>
          <w:rFonts w:cs="Arial"/>
          <w:sz w:val="21"/>
          <w:szCs w:val="21"/>
        </w:rPr>
        <w:t xml:space="preserve"> ještě</w:t>
      </w:r>
      <w:r w:rsidR="001369DD">
        <w:rPr>
          <w:rFonts w:cs="Arial"/>
          <w:sz w:val="21"/>
          <w:szCs w:val="21"/>
        </w:rPr>
        <w:t xml:space="preserve"> </w:t>
      </w:r>
      <w:proofErr w:type="spellStart"/>
      <w:r w:rsidR="001369DD">
        <w:rPr>
          <w:rFonts w:cs="Arial"/>
          <w:sz w:val="21"/>
          <w:szCs w:val="21"/>
        </w:rPr>
        <w:t>remodifikovat</w:t>
      </w:r>
      <w:proofErr w:type="spellEnd"/>
      <w:r w:rsidR="001369DD">
        <w:rPr>
          <w:rFonts w:cs="Arial"/>
          <w:sz w:val="21"/>
          <w:szCs w:val="21"/>
        </w:rPr>
        <w:t xml:space="preserve"> o čemž VÚV informoval. Smluvní strany se tedy dohodly, že VÚV</w:t>
      </w:r>
      <w:r w:rsidR="004A419C">
        <w:rPr>
          <w:rFonts w:cs="Arial"/>
          <w:sz w:val="21"/>
          <w:szCs w:val="21"/>
        </w:rPr>
        <w:t xml:space="preserve"> </w:t>
      </w:r>
      <w:proofErr w:type="spellStart"/>
      <w:r w:rsidR="004A419C">
        <w:rPr>
          <w:rFonts w:cs="Arial"/>
          <w:sz w:val="21"/>
          <w:szCs w:val="21"/>
        </w:rPr>
        <w:t>remodifikované</w:t>
      </w:r>
      <w:proofErr w:type="spellEnd"/>
      <w:r w:rsidR="004A419C">
        <w:rPr>
          <w:rFonts w:cs="Arial"/>
          <w:sz w:val="21"/>
          <w:szCs w:val="21"/>
        </w:rPr>
        <w:t xml:space="preserve"> datové podklady</w:t>
      </w:r>
      <w:r w:rsidR="001369DD">
        <w:rPr>
          <w:rFonts w:cs="Arial"/>
          <w:sz w:val="21"/>
          <w:szCs w:val="21"/>
        </w:rPr>
        <w:t xml:space="preserve"> zapracuje do komplexní analýzy eroze až poté, co je od CzechGlobe obdrží. Z tohoto důvodu se smluvní strany tedy dohodly na novém termínu plnění smlouvy, a to</w:t>
      </w:r>
      <w:r w:rsidR="004A419C">
        <w:rPr>
          <w:rFonts w:cs="Arial"/>
          <w:sz w:val="21"/>
          <w:szCs w:val="21"/>
        </w:rPr>
        <w:t xml:space="preserve"> tak, že zkompletovaná analýza bude předána</w:t>
      </w:r>
      <w:r w:rsidR="001369DD">
        <w:rPr>
          <w:rFonts w:cs="Arial"/>
          <w:sz w:val="21"/>
          <w:szCs w:val="21"/>
        </w:rPr>
        <w:t xml:space="preserve"> do 20. 4. 2023</w:t>
      </w:r>
      <w:r w:rsidR="00411651">
        <w:rPr>
          <w:rFonts w:cs="Arial"/>
          <w:sz w:val="21"/>
          <w:szCs w:val="21"/>
        </w:rPr>
        <w:t xml:space="preserve">, přičemž CzechGlobe se zavazuje předat VÚV </w:t>
      </w:r>
      <w:proofErr w:type="spellStart"/>
      <w:r w:rsidR="00411651">
        <w:rPr>
          <w:rFonts w:cs="Arial"/>
          <w:sz w:val="21"/>
          <w:szCs w:val="21"/>
        </w:rPr>
        <w:t>remodifikované</w:t>
      </w:r>
      <w:proofErr w:type="spellEnd"/>
      <w:r w:rsidR="00411651">
        <w:rPr>
          <w:rFonts w:cs="Arial"/>
          <w:sz w:val="21"/>
          <w:szCs w:val="21"/>
        </w:rPr>
        <w:t xml:space="preserve"> datové podklady nejpozději do 30. 11. 2022.</w:t>
      </w:r>
    </w:p>
    <w:p w:rsidR="0009669B" w:rsidRPr="008A76A7" w:rsidRDefault="0009669B" w:rsidP="00BA366A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771E23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3A5567" w:rsidRPr="006F6BBE" w:rsidRDefault="00B37E1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Tento dodatek </w:t>
      </w:r>
      <w:r w:rsidR="003A5567" w:rsidRPr="006F6BBE">
        <w:rPr>
          <w:rFonts w:cs="Arial"/>
          <w:sz w:val="21"/>
          <w:szCs w:val="21"/>
        </w:rPr>
        <w:t xml:space="preserve">lze měnit pouze písemně, formou </w:t>
      </w:r>
      <w:r w:rsidR="00A51948">
        <w:rPr>
          <w:rFonts w:cs="Arial"/>
          <w:sz w:val="21"/>
          <w:szCs w:val="21"/>
        </w:rPr>
        <w:t xml:space="preserve">navazujícího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="003A5567" w:rsidRPr="006F6BBE">
        <w:rPr>
          <w:rFonts w:cs="Arial"/>
          <w:sz w:val="21"/>
          <w:szCs w:val="21"/>
        </w:rPr>
        <w:t xml:space="preserve">dodatku </w:t>
      </w:r>
      <w:r w:rsidR="00A51948">
        <w:rPr>
          <w:rFonts w:cs="Arial"/>
          <w:sz w:val="21"/>
          <w:szCs w:val="21"/>
        </w:rPr>
        <w:t xml:space="preserve">ke </w:t>
      </w:r>
      <w:r w:rsidR="003A5567" w:rsidRPr="006F6BBE">
        <w:rPr>
          <w:rFonts w:cs="Arial"/>
          <w:sz w:val="21"/>
          <w:szCs w:val="21"/>
        </w:rPr>
        <w:t>smlouvě.</w:t>
      </w:r>
      <w:r w:rsidR="00783BF2" w:rsidRPr="006F6BBE">
        <w:rPr>
          <w:rFonts w:cs="Arial"/>
          <w:sz w:val="21"/>
          <w:szCs w:val="21"/>
        </w:rPr>
        <w:t xml:space="preserve"> </w:t>
      </w:r>
    </w:p>
    <w:p w:rsidR="00F74936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Tento dodatek </w:t>
      </w:r>
      <w:r w:rsidR="00F74936" w:rsidRPr="006F6BBE">
        <w:rPr>
          <w:rFonts w:cs="Arial"/>
          <w:sz w:val="21"/>
          <w:szCs w:val="21"/>
        </w:rPr>
        <w:t xml:space="preserve">se vyhotovuje ve </w:t>
      </w:r>
      <w:r w:rsidR="00631122">
        <w:rPr>
          <w:rFonts w:cs="Arial"/>
          <w:sz w:val="21"/>
          <w:szCs w:val="21"/>
        </w:rPr>
        <w:t>dvou</w:t>
      </w:r>
      <w:r>
        <w:rPr>
          <w:rFonts w:cs="Arial"/>
          <w:sz w:val="21"/>
          <w:szCs w:val="21"/>
        </w:rPr>
        <w:t xml:space="preserve"> </w:t>
      </w:r>
      <w:r w:rsidR="00F74936" w:rsidRPr="006F6BBE">
        <w:rPr>
          <w:rFonts w:cs="Arial"/>
          <w:sz w:val="21"/>
          <w:szCs w:val="21"/>
        </w:rPr>
        <w:t>stejnopisech</w:t>
      </w:r>
      <w:r w:rsidR="00A51948">
        <w:rPr>
          <w:rFonts w:cs="Arial"/>
          <w:sz w:val="21"/>
          <w:szCs w:val="21"/>
        </w:rPr>
        <w:t xml:space="preserve"> s platností originálu a každá ze smluvních stran obdrží po jednom vyhotovení.</w:t>
      </w:r>
    </w:p>
    <w:p w:rsidR="00EA575E" w:rsidRPr="00EA575E" w:rsidRDefault="00EA575E" w:rsidP="00EA575E">
      <w:pPr>
        <w:pStyle w:val="Odstavecseseznamem"/>
        <w:numPr>
          <w:ilvl w:val="1"/>
          <w:numId w:val="29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>Smluvní strany berou na vědomí, že t</w:t>
      </w:r>
      <w:r>
        <w:rPr>
          <w:sz w:val="21"/>
          <w:szCs w:val="21"/>
        </w:rPr>
        <w:t>ento dodatek</w:t>
      </w:r>
      <w:r w:rsidRPr="00C92571">
        <w:rPr>
          <w:sz w:val="21"/>
          <w:szCs w:val="21"/>
        </w:rPr>
        <w:t xml:space="preserve"> naplňuje požadavky, uvedené v zákoně č. 340/2015 Sb. a podléhá tímto povinnosti zveřejnění v registru smluv. Zadat </w:t>
      </w:r>
      <w:r>
        <w:rPr>
          <w:sz w:val="21"/>
          <w:szCs w:val="21"/>
        </w:rPr>
        <w:t>dodatek</w:t>
      </w:r>
      <w:r w:rsidRPr="00C92571">
        <w:rPr>
          <w:sz w:val="21"/>
          <w:szCs w:val="21"/>
        </w:rPr>
        <w:t xml:space="preserve"> do registru smluv v zákonné lhůtě se zavazuje </w:t>
      </w:r>
      <w:r>
        <w:rPr>
          <w:sz w:val="21"/>
          <w:szCs w:val="21"/>
        </w:rPr>
        <w:t>CzechGlobe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VÚV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VÚV</w:t>
      </w:r>
      <w:r>
        <w:rPr>
          <w:sz w:val="21"/>
          <w:szCs w:val="21"/>
        </w:rPr>
        <w:t xml:space="preserve"> potvrzení o uveřejnění </w:t>
      </w:r>
      <w:r>
        <w:rPr>
          <w:sz w:val="21"/>
          <w:szCs w:val="21"/>
        </w:rPr>
        <w:t>dodatku</w:t>
      </w:r>
      <w:bookmarkStart w:id="0" w:name="_GoBack"/>
      <w:bookmarkEnd w:id="0"/>
      <w:r>
        <w:rPr>
          <w:sz w:val="21"/>
          <w:szCs w:val="21"/>
        </w:rPr>
        <w:t>.</w:t>
      </w:r>
    </w:p>
    <w:p w:rsidR="002218A9" w:rsidRPr="006F6BBE" w:rsidRDefault="00BC69F5" w:rsidP="00771E23">
      <w:pPr>
        <w:pStyle w:val="Odstavecseseznamem"/>
        <w:numPr>
          <w:ilvl w:val="1"/>
          <w:numId w:val="29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Tento dodatek</w:t>
      </w:r>
      <w:r w:rsidR="002218A9" w:rsidRPr="006F6BBE">
        <w:rPr>
          <w:rFonts w:cs="Arial"/>
          <w:sz w:val="21"/>
          <w:szCs w:val="21"/>
        </w:rPr>
        <w:t xml:space="preserve"> nabývá </w:t>
      </w:r>
      <w:r w:rsidR="00A51948">
        <w:rPr>
          <w:rFonts w:cs="Arial"/>
          <w:sz w:val="21"/>
          <w:szCs w:val="21"/>
        </w:rPr>
        <w:t xml:space="preserve">platnosti </w:t>
      </w:r>
      <w:r w:rsidR="002218A9" w:rsidRPr="006F6BBE">
        <w:rPr>
          <w:rFonts w:cs="Arial"/>
          <w:sz w:val="21"/>
          <w:szCs w:val="21"/>
        </w:rPr>
        <w:t>okamžikem je</w:t>
      </w:r>
      <w:r w:rsidR="00411651">
        <w:rPr>
          <w:rFonts w:cs="Arial"/>
          <w:sz w:val="21"/>
          <w:szCs w:val="21"/>
        </w:rPr>
        <w:t>ho podpisu poslední smluvní stranou</w:t>
      </w:r>
      <w:r w:rsidR="002218A9" w:rsidRPr="006F6BBE">
        <w:rPr>
          <w:rFonts w:cs="Arial"/>
          <w:sz w:val="21"/>
          <w:szCs w:val="21"/>
        </w:rPr>
        <w:t>.</w:t>
      </w:r>
    </w:p>
    <w:p w:rsidR="00F9199E" w:rsidRDefault="00F9199E" w:rsidP="00DE5A99">
      <w:pPr>
        <w:rPr>
          <w:rFonts w:cs="Arial"/>
          <w:sz w:val="8"/>
          <w:szCs w:val="8"/>
        </w:rPr>
      </w:pPr>
    </w:p>
    <w:p w:rsidR="00BC2856" w:rsidRDefault="00BC2856" w:rsidP="00DE5A99">
      <w:pPr>
        <w:rPr>
          <w:rFonts w:cs="Arial"/>
          <w:sz w:val="8"/>
          <w:szCs w:val="8"/>
        </w:rPr>
      </w:pPr>
    </w:p>
    <w:p w:rsidR="00BC2856" w:rsidRPr="00D71BCB" w:rsidRDefault="00BC2856" w:rsidP="00DE5A99">
      <w:pPr>
        <w:rPr>
          <w:rFonts w:cs="Arial"/>
          <w:sz w:val="8"/>
          <w:szCs w:val="8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BC2856" w:rsidRPr="006F6BBE" w:rsidTr="00C12F73">
        <w:tc>
          <w:tcPr>
            <w:tcW w:w="4606" w:type="dxa"/>
            <w:vAlign w:val="center"/>
          </w:tcPr>
          <w:p w:rsidR="00BC2856" w:rsidRPr="006F6BBE" w:rsidRDefault="00BC2856" w:rsidP="006F18A4">
            <w:pPr>
              <w:spacing w:before="60" w:after="60"/>
              <w:ind w:left="0" w:firstLine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="000E0204">
              <w:rPr>
                <w:rFonts w:ascii="Arial" w:hAnsi="Arial" w:cs="Arial"/>
                <w:sz w:val="21"/>
                <w:szCs w:val="21"/>
              </w:rPr>
              <w:t>Praze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18A4">
              <w:rPr>
                <w:rFonts w:ascii="Arial" w:hAnsi="Arial" w:cs="Arial"/>
                <w:sz w:val="21"/>
                <w:szCs w:val="21"/>
              </w:rPr>
              <w:t>11</w:t>
            </w:r>
            <w:r w:rsidR="00C90326">
              <w:rPr>
                <w:rFonts w:ascii="Arial" w:hAnsi="Arial" w:cs="Arial"/>
                <w:sz w:val="21"/>
                <w:szCs w:val="21"/>
              </w:rPr>
              <w:t>. 1</w:t>
            </w:r>
            <w:r w:rsidR="006F18A4">
              <w:rPr>
                <w:rFonts w:ascii="Arial" w:hAnsi="Arial" w:cs="Arial"/>
                <w:sz w:val="21"/>
                <w:szCs w:val="21"/>
              </w:rPr>
              <w:t>1</w:t>
            </w:r>
            <w:r w:rsidR="00C90326">
              <w:rPr>
                <w:rFonts w:ascii="Arial" w:hAnsi="Arial" w:cs="Arial"/>
                <w:sz w:val="21"/>
                <w:szCs w:val="21"/>
              </w:rPr>
              <w:t xml:space="preserve">. 2022 </w:t>
            </w:r>
          </w:p>
        </w:tc>
        <w:tc>
          <w:tcPr>
            <w:tcW w:w="5000" w:type="dxa"/>
            <w:vAlign w:val="center"/>
          </w:tcPr>
          <w:p w:rsidR="00BC2856" w:rsidRPr="006F6BBE" w:rsidRDefault="00BC2856" w:rsidP="00411651">
            <w:pPr>
              <w:spacing w:before="60" w:after="60"/>
              <w:ind w:left="0" w:firstLine="72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 xml:space="preserve"> Brně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  <w:r w:rsidR="006F18A4">
              <w:rPr>
                <w:rFonts w:ascii="Arial" w:hAnsi="Arial" w:cs="Arial"/>
                <w:sz w:val="21"/>
                <w:szCs w:val="21"/>
              </w:rPr>
              <w:t xml:space="preserve"> 9</w:t>
            </w:r>
            <w:r w:rsidR="00C90326">
              <w:rPr>
                <w:rFonts w:ascii="Arial" w:hAnsi="Arial" w:cs="Arial"/>
                <w:sz w:val="21"/>
                <w:szCs w:val="21"/>
              </w:rPr>
              <w:t>. 1</w:t>
            </w:r>
            <w:r w:rsidR="006F18A4">
              <w:rPr>
                <w:rFonts w:ascii="Arial" w:hAnsi="Arial" w:cs="Arial"/>
                <w:sz w:val="21"/>
                <w:szCs w:val="21"/>
              </w:rPr>
              <w:t>1</w:t>
            </w:r>
            <w:r w:rsidR="00C90326">
              <w:rPr>
                <w:rFonts w:ascii="Arial" w:hAnsi="Arial" w:cs="Arial"/>
                <w:sz w:val="21"/>
                <w:szCs w:val="21"/>
              </w:rPr>
              <w:t>. 2022</w:t>
            </w:r>
            <w:r w:rsidR="00E35D3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C2856" w:rsidRPr="006F6BBE" w:rsidTr="00C12F73">
        <w:trPr>
          <w:trHeight w:val="811"/>
        </w:trPr>
        <w:tc>
          <w:tcPr>
            <w:tcW w:w="4606" w:type="dxa"/>
            <w:vAlign w:val="center"/>
          </w:tcPr>
          <w:p w:rsidR="00BC2856" w:rsidRPr="006F6BBE" w:rsidRDefault="00BC2856" w:rsidP="00C12F73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BC2856" w:rsidRPr="006F6BBE" w:rsidRDefault="00BC2856" w:rsidP="00C12F73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2856" w:rsidRPr="006F6BBE" w:rsidTr="00C12F73">
        <w:tc>
          <w:tcPr>
            <w:tcW w:w="4606" w:type="dxa"/>
            <w:vAlign w:val="center"/>
          </w:tcPr>
          <w:p w:rsidR="00BC2856" w:rsidRPr="000B4A8E" w:rsidRDefault="00411651" w:rsidP="00C12F7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Ing. Tomáš Urban</w:t>
            </w:r>
          </w:p>
        </w:tc>
        <w:tc>
          <w:tcPr>
            <w:tcW w:w="5000" w:type="dxa"/>
            <w:vAlign w:val="center"/>
          </w:tcPr>
          <w:p w:rsidR="00BC2856" w:rsidRPr="006F6BBE" w:rsidRDefault="00BC2856" w:rsidP="00C12F7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BC2856" w:rsidRPr="006F6BBE" w:rsidTr="00C12F73">
        <w:tc>
          <w:tcPr>
            <w:tcW w:w="4606" w:type="dxa"/>
            <w:vAlign w:val="center"/>
          </w:tcPr>
          <w:p w:rsidR="00BC2856" w:rsidRPr="000B4A8E" w:rsidRDefault="00BA366A" w:rsidP="00C12F7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ředitel</w:t>
            </w:r>
          </w:p>
        </w:tc>
        <w:tc>
          <w:tcPr>
            <w:tcW w:w="5000" w:type="dxa"/>
            <w:vAlign w:val="center"/>
          </w:tcPr>
          <w:p w:rsidR="00BC2856" w:rsidRPr="006F6BBE" w:rsidRDefault="00BC2856" w:rsidP="00C12F7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BC2856" w:rsidRPr="006F6BBE" w:rsidTr="00C12F73">
        <w:tc>
          <w:tcPr>
            <w:tcW w:w="4606" w:type="dxa"/>
            <w:vAlign w:val="center"/>
          </w:tcPr>
          <w:p w:rsidR="00BC2856" w:rsidRPr="000B4A8E" w:rsidRDefault="00411651" w:rsidP="00C12F7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11651">
              <w:rPr>
                <w:rFonts w:ascii="Arial" w:hAnsi="Arial" w:cs="Arial"/>
                <w:sz w:val="21"/>
                <w:szCs w:val="21"/>
              </w:rPr>
              <w:t>Výzkumný ústav vodohospodářský T. G. Masaryka, veřejná výzkumná instituce</w:t>
            </w:r>
          </w:p>
        </w:tc>
        <w:tc>
          <w:tcPr>
            <w:tcW w:w="5000" w:type="dxa"/>
            <w:vAlign w:val="center"/>
          </w:tcPr>
          <w:p w:rsidR="00BC2856" w:rsidRPr="006F6BBE" w:rsidRDefault="00BC2856" w:rsidP="00C12F73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C56A3C" w:rsidRDefault="00DA7E4F" w:rsidP="0090102A">
      <w:pPr>
        <w:spacing w:before="0" w:after="0"/>
        <w:rPr>
          <w:rFonts w:cs="Arial"/>
          <w:sz w:val="2"/>
          <w:szCs w:val="2"/>
        </w:rPr>
      </w:pPr>
    </w:p>
    <w:sectPr w:rsidR="00DA7E4F" w:rsidRPr="00C56A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EF" w:rsidRDefault="001E0AEF" w:rsidP="00E837B7">
      <w:pPr>
        <w:spacing w:before="0" w:after="0"/>
      </w:pPr>
      <w:r>
        <w:separator/>
      </w:r>
    </w:p>
  </w:endnote>
  <w:endnote w:type="continuationSeparator" w:id="0">
    <w:p w:rsidR="001E0AEF" w:rsidRDefault="001E0AEF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0" w:rsidRPr="00606B8A" w:rsidRDefault="00596130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96130" w:rsidRPr="00E837B7" w:rsidRDefault="00596130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96130" w:rsidRPr="006F6BBE" w:rsidRDefault="00596130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EA575E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EA575E">
      <w:rPr>
        <w:rFonts w:cs="Arial"/>
        <w:bCs/>
        <w:noProof/>
        <w:sz w:val="21"/>
        <w:szCs w:val="21"/>
      </w:rPr>
      <w:t>2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0" w:rsidRPr="00606B8A" w:rsidRDefault="00596130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96130" w:rsidRPr="00E837B7" w:rsidRDefault="00596130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96130" w:rsidRPr="00E837B7" w:rsidRDefault="00596130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EA575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EA575E">
      <w:rPr>
        <w:rFonts w:cs="Arial"/>
        <w:bCs/>
        <w:noProof/>
      </w:rPr>
      <w:t>2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EF" w:rsidRDefault="001E0AEF" w:rsidP="00E837B7">
      <w:pPr>
        <w:spacing w:before="0" w:after="0"/>
      </w:pPr>
      <w:r>
        <w:separator/>
      </w:r>
    </w:p>
  </w:footnote>
  <w:footnote w:type="continuationSeparator" w:id="0">
    <w:p w:rsidR="001E0AEF" w:rsidRDefault="001E0AEF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0" w:rsidRPr="006F6BBE" w:rsidRDefault="0052331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Dodatek č. 1 ke smlouvě o společném výzkumu</w:t>
    </w:r>
  </w:p>
  <w:p w:rsidR="00596130" w:rsidRPr="00E837B7" w:rsidRDefault="00596130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596130" w:rsidRPr="00EA13EF" w:rsidRDefault="00596130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0" w:rsidRDefault="00596130" w:rsidP="00D52C15">
    <w:pPr>
      <w:pStyle w:val="Zhlav"/>
      <w:ind w:left="0" w:firstLine="0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0C30F208" wp14:editId="4CC1C225">
          <wp:extent cx="1440180" cy="523875"/>
          <wp:effectExtent l="0" t="0" r="762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2"/>
                  <a:stretch/>
                </pic:blipFill>
                <pic:spPr bwMode="auto">
                  <a:xfrm>
                    <a:off x="0" y="0"/>
                    <a:ext cx="14401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331F" w:rsidRDefault="0052331F" w:rsidP="00D52C15">
    <w:pPr>
      <w:pStyle w:val="Zhlav"/>
      <w:ind w:left="0" w:firstLine="0"/>
      <w:jc w:val="center"/>
      <w:rPr>
        <w:noProof/>
        <w:lang w:eastAsia="cs-CZ"/>
      </w:rPr>
    </w:pPr>
    <w:r w:rsidRPr="00592ABC">
      <w:rPr>
        <w:noProof/>
        <w:lang w:eastAsia="cs-CZ"/>
      </w:rPr>
      <w:drawing>
        <wp:inline distT="0" distB="0" distL="0" distR="0" wp14:anchorId="06C416A1" wp14:editId="2BA4DA22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130" w:rsidRDefault="00596130" w:rsidP="00D52C15">
    <w:pPr>
      <w:pStyle w:val="Zhlav"/>
      <w:ind w:left="0" w:firstLine="0"/>
      <w:jc w:val="center"/>
      <w:rPr>
        <w:rFonts w:cs="Arial"/>
      </w:rPr>
    </w:pPr>
  </w:p>
  <w:p w:rsidR="00596130" w:rsidRPr="00E837B7" w:rsidRDefault="00596130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848"/>
    <w:multiLevelType w:val="hybridMultilevel"/>
    <w:tmpl w:val="9BF0CC34"/>
    <w:lvl w:ilvl="0" w:tplc="EFC2A9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35A"/>
    <w:multiLevelType w:val="multilevel"/>
    <w:tmpl w:val="8CB203C4"/>
    <w:lvl w:ilvl="0">
      <w:start w:val="1"/>
      <w:numFmt w:val="decimal"/>
      <w:lvlText w:val="%1)"/>
      <w:lvlJc w:val="left"/>
      <w:pPr>
        <w:ind w:left="850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850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05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332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559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332"/>
        </w:tabs>
        <w:ind w:left="1559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559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369D58D2"/>
    <w:multiLevelType w:val="hybridMultilevel"/>
    <w:tmpl w:val="8BD03516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8956FB5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40954E23"/>
    <w:multiLevelType w:val="hybridMultilevel"/>
    <w:tmpl w:val="C91A787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48C7A20"/>
    <w:multiLevelType w:val="hybridMultilevel"/>
    <w:tmpl w:val="B90479A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4A252269"/>
    <w:multiLevelType w:val="multilevel"/>
    <w:tmpl w:val="217E25BC"/>
    <w:numStyleLink w:val="Smlouvy"/>
  </w:abstractNum>
  <w:abstractNum w:abstractNumId="10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4AD75E7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4FA12226"/>
    <w:multiLevelType w:val="hybridMultilevel"/>
    <w:tmpl w:val="17FC73A0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C2B1B42"/>
    <w:multiLevelType w:val="hybridMultilevel"/>
    <w:tmpl w:val="47804816"/>
    <w:lvl w:ilvl="0" w:tplc="0405000F">
      <w:start w:val="1"/>
      <w:numFmt w:val="decimal"/>
      <w:lvlText w:val="%1."/>
      <w:lvlJc w:val="left"/>
      <w:pPr>
        <w:ind w:left="2703" w:hanging="360"/>
      </w:pPr>
    </w:lvl>
    <w:lvl w:ilvl="1" w:tplc="04050019" w:tentative="1">
      <w:start w:val="1"/>
      <w:numFmt w:val="lowerLetter"/>
      <w:lvlText w:val="%2."/>
      <w:lvlJc w:val="left"/>
      <w:pPr>
        <w:ind w:left="3423" w:hanging="360"/>
      </w:pPr>
    </w:lvl>
    <w:lvl w:ilvl="2" w:tplc="0405001B" w:tentative="1">
      <w:start w:val="1"/>
      <w:numFmt w:val="lowerRoman"/>
      <w:lvlText w:val="%3."/>
      <w:lvlJc w:val="right"/>
      <w:pPr>
        <w:ind w:left="4143" w:hanging="180"/>
      </w:pPr>
    </w:lvl>
    <w:lvl w:ilvl="3" w:tplc="0405000F" w:tentative="1">
      <w:start w:val="1"/>
      <w:numFmt w:val="decimal"/>
      <w:lvlText w:val="%4."/>
      <w:lvlJc w:val="left"/>
      <w:pPr>
        <w:ind w:left="4863" w:hanging="360"/>
      </w:pPr>
    </w:lvl>
    <w:lvl w:ilvl="4" w:tplc="04050019" w:tentative="1">
      <w:start w:val="1"/>
      <w:numFmt w:val="lowerLetter"/>
      <w:lvlText w:val="%5."/>
      <w:lvlJc w:val="left"/>
      <w:pPr>
        <w:ind w:left="5583" w:hanging="360"/>
      </w:pPr>
    </w:lvl>
    <w:lvl w:ilvl="5" w:tplc="0405001B" w:tentative="1">
      <w:start w:val="1"/>
      <w:numFmt w:val="lowerRoman"/>
      <w:lvlText w:val="%6."/>
      <w:lvlJc w:val="right"/>
      <w:pPr>
        <w:ind w:left="6303" w:hanging="180"/>
      </w:pPr>
    </w:lvl>
    <w:lvl w:ilvl="6" w:tplc="0405000F" w:tentative="1">
      <w:start w:val="1"/>
      <w:numFmt w:val="decimal"/>
      <w:lvlText w:val="%7."/>
      <w:lvlJc w:val="left"/>
      <w:pPr>
        <w:ind w:left="7023" w:hanging="360"/>
      </w:pPr>
    </w:lvl>
    <w:lvl w:ilvl="7" w:tplc="04050019" w:tentative="1">
      <w:start w:val="1"/>
      <w:numFmt w:val="lowerLetter"/>
      <w:lvlText w:val="%8."/>
      <w:lvlJc w:val="left"/>
      <w:pPr>
        <w:ind w:left="7743" w:hanging="360"/>
      </w:pPr>
    </w:lvl>
    <w:lvl w:ilvl="8" w:tplc="040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4" w15:restartNumberingAfterBreak="0">
    <w:nsid w:val="632C5EF4"/>
    <w:multiLevelType w:val="multilevel"/>
    <w:tmpl w:val="8CB203C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5" w15:restartNumberingAfterBreak="0">
    <w:nsid w:val="69484084"/>
    <w:multiLevelType w:val="hybridMultilevel"/>
    <w:tmpl w:val="F0C8B2C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6B9347AC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6CBD601A"/>
    <w:multiLevelType w:val="hybridMultilevel"/>
    <w:tmpl w:val="0B88CA7A"/>
    <w:lvl w:ilvl="0" w:tplc="04050013">
      <w:start w:val="1"/>
      <w:numFmt w:val="upperRoman"/>
      <w:lvlText w:val="%1."/>
      <w:lvlJc w:val="righ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20" w15:restartNumberingAfterBreak="0">
    <w:nsid w:val="7A450032"/>
    <w:multiLevelType w:val="hybridMultilevel"/>
    <w:tmpl w:val="BE8465F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B955A5A"/>
    <w:multiLevelType w:val="hybridMultilevel"/>
    <w:tmpl w:val="329011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6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8"/>
  </w:num>
  <w:num w:numId="15">
    <w:abstractNumId w:val="21"/>
  </w:num>
  <w:num w:numId="16">
    <w:abstractNumId w:val="5"/>
  </w:num>
  <w:num w:numId="17">
    <w:abstractNumId w:val="20"/>
  </w:num>
  <w:num w:numId="18">
    <w:abstractNumId w:val="15"/>
  </w:num>
  <w:num w:numId="19">
    <w:abstractNumId w:val="6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7"/>
  </w:num>
  <w:num w:numId="25">
    <w:abstractNumId w:val="2"/>
  </w:num>
  <w:num w:numId="26">
    <w:abstractNumId w:val="14"/>
  </w:num>
  <w:num w:numId="27">
    <w:abstractNumId w:val="3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0EB1"/>
    <w:rsid w:val="00016A93"/>
    <w:rsid w:val="00032BC1"/>
    <w:rsid w:val="00041A90"/>
    <w:rsid w:val="00041FA6"/>
    <w:rsid w:val="0005326E"/>
    <w:rsid w:val="000608FD"/>
    <w:rsid w:val="00061533"/>
    <w:rsid w:val="00085079"/>
    <w:rsid w:val="00090B69"/>
    <w:rsid w:val="0009669B"/>
    <w:rsid w:val="000B0562"/>
    <w:rsid w:val="000B146D"/>
    <w:rsid w:val="000B2F72"/>
    <w:rsid w:val="000B66B5"/>
    <w:rsid w:val="000E0204"/>
    <w:rsid w:val="00104399"/>
    <w:rsid w:val="0010510A"/>
    <w:rsid w:val="00106E4A"/>
    <w:rsid w:val="00110D2C"/>
    <w:rsid w:val="001244D4"/>
    <w:rsid w:val="001369DD"/>
    <w:rsid w:val="00152DAA"/>
    <w:rsid w:val="001576F7"/>
    <w:rsid w:val="0017523F"/>
    <w:rsid w:val="0018389B"/>
    <w:rsid w:val="0019664E"/>
    <w:rsid w:val="001B445F"/>
    <w:rsid w:val="001C2981"/>
    <w:rsid w:val="001E0AEF"/>
    <w:rsid w:val="001F5F10"/>
    <w:rsid w:val="00206064"/>
    <w:rsid w:val="00213072"/>
    <w:rsid w:val="002218A9"/>
    <w:rsid w:val="00224B01"/>
    <w:rsid w:val="002266F4"/>
    <w:rsid w:val="00227317"/>
    <w:rsid w:val="00230590"/>
    <w:rsid w:val="0024072D"/>
    <w:rsid w:val="002425F3"/>
    <w:rsid w:val="0025320E"/>
    <w:rsid w:val="00257A68"/>
    <w:rsid w:val="00274268"/>
    <w:rsid w:val="002769BD"/>
    <w:rsid w:val="00277399"/>
    <w:rsid w:val="0028048C"/>
    <w:rsid w:val="00290C01"/>
    <w:rsid w:val="00293780"/>
    <w:rsid w:val="0029589D"/>
    <w:rsid w:val="002A10CE"/>
    <w:rsid w:val="002A3763"/>
    <w:rsid w:val="002A44FB"/>
    <w:rsid w:val="002A4BE0"/>
    <w:rsid w:val="002B04EF"/>
    <w:rsid w:val="002D1D3E"/>
    <w:rsid w:val="002E56AD"/>
    <w:rsid w:val="002F159D"/>
    <w:rsid w:val="002F5DC3"/>
    <w:rsid w:val="00306D98"/>
    <w:rsid w:val="00310737"/>
    <w:rsid w:val="0032134F"/>
    <w:rsid w:val="00322F8C"/>
    <w:rsid w:val="003271F6"/>
    <w:rsid w:val="00332790"/>
    <w:rsid w:val="00353AC2"/>
    <w:rsid w:val="00357108"/>
    <w:rsid w:val="0036166F"/>
    <w:rsid w:val="00382D22"/>
    <w:rsid w:val="00390935"/>
    <w:rsid w:val="003A5567"/>
    <w:rsid w:val="003B0B43"/>
    <w:rsid w:val="003B4AE9"/>
    <w:rsid w:val="003C6974"/>
    <w:rsid w:val="003C74B6"/>
    <w:rsid w:val="003E21B4"/>
    <w:rsid w:val="003E6BE8"/>
    <w:rsid w:val="003F0C72"/>
    <w:rsid w:val="00401520"/>
    <w:rsid w:val="00411651"/>
    <w:rsid w:val="00414754"/>
    <w:rsid w:val="0041559E"/>
    <w:rsid w:val="00417D5E"/>
    <w:rsid w:val="004218BE"/>
    <w:rsid w:val="004607D6"/>
    <w:rsid w:val="00460D56"/>
    <w:rsid w:val="004640C0"/>
    <w:rsid w:val="00474362"/>
    <w:rsid w:val="004A419C"/>
    <w:rsid w:val="004C5172"/>
    <w:rsid w:val="004D2454"/>
    <w:rsid w:val="004D64B0"/>
    <w:rsid w:val="004F0F29"/>
    <w:rsid w:val="004F1D0C"/>
    <w:rsid w:val="004F78B5"/>
    <w:rsid w:val="00501564"/>
    <w:rsid w:val="00506F22"/>
    <w:rsid w:val="00517DEC"/>
    <w:rsid w:val="005211CC"/>
    <w:rsid w:val="005229C3"/>
    <w:rsid w:val="0052331F"/>
    <w:rsid w:val="00544E72"/>
    <w:rsid w:val="0055374D"/>
    <w:rsid w:val="00556D93"/>
    <w:rsid w:val="0057367C"/>
    <w:rsid w:val="00575F0C"/>
    <w:rsid w:val="00576AC1"/>
    <w:rsid w:val="0058770A"/>
    <w:rsid w:val="00596130"/>
    <w:rsid w:val="005A2C26"/>
    <w:rsid w:val="005A5AFA"/>
    <w:rsid w:val="005B2405"/>
    <w:rsid w:val="005C3B19"/>
    <w:rsid w:val="005D1E30"/>
    <w:rsid w:val="005D529A"/>
    <w:rsid w:val="005D53CD"/>
    <w:rsid w:val="005F2A58"/>
    <w:rsid w:val="00631122"/>
    <w:rsid w:val="006345CD"/>
    <w:rsid w:val="00647399"/>
    <w:rsid w:val="00661E77"/>
    <w:rsid w:val="00665831"/>
    <w:rsid w:val="0069420F"/>
    <w:rsid w:val="00695CC2"/>
    <w:rsid w:val="006975AB"/>
    <w:rsid w:val="006A62FE"/>
    <w:rsid w:val="006B0156"/>
    <w:rsid w:val="006C207A"/>
    <w:rsid w:val="006C30B5"/>
    <w:rsid w:val="006C6BFB"/>
    <w:rsid w:val="006D532D"/>
    <w:rsid w:val="006D62AC"/>
    <w:rsid w:val="006F18A4"/>
    <w:rsid w:val="006F29AC"/>
    <w:rsid w:val="006F6BBE"/>
    <w:rsid w:val="00700E21"/>
    <w:rsid w:val="007072A6"/>
    <w:rsid w:val="00723C1C"/>
    <w:rsid w:val="007269DC"/>
    <w:rsid w:val="00730B83"/>
    <w:rsid w:val="00751A33"/>
    <w:rsid w:val="00771E23"/>
    <w:rsid w:val="00773026"/>
    <w:rsid w:val="00773DE2"/>
    <w:rsid w:val="00776499"/>
    <w:rsid w:val="007835B6"/>
    <w:rsid w:val="00783BF2"/>
    <w:rsid w:val="00792B2A"/>
    <w:rsid w:val="007A2C39"/>
    <w:rsid w:val="007D0CF1"/>
    <w:rsid w:val="007D768E"/>
    <w:rsid w:val="007E653C"/>
    <w:rsid w:val="007F274E"/>
    <w:rsid w:val="00817612"/>
    <w:rsid w:val="00820D91"/>
    <w:rsid w:val="00823977"/>
    <w:rsid w:val="00825909"/>
    <w:rsid w:val="008430F0"/>
    <w:rsid w:val="00847C32"/>
    <w:rsid w:val="00851DED"/>
    <w:rsid w:val="00855285"/>
    <w:rsid w:val="00860B64"/>
    <w:rsid w:val="008822F5"/>
    <w:rsid w:val="008A1898"/>
    <w:rsid w:val="008A364D"/>
    <w:rsid w:val="008A758A"/>
    <w:rsid w:val="008A76A7"/>
    <w:rsid w:val="008B18F5"/>
    <w:rsid w:val="008C35DC"/>
    <w:rsid w:val="008C513F"/>
    <w:rsid w:val="008D127B"/>
    <w:rsid w:val="008E2555"/>
    <w:rsid w:val="008E31F1"/>
    <w:rsid w:val="0090102A"/>
    <w:rsid w:val="00901736"/>
    <w:rsid w:val="00903D43"/>
    <w:rsid w:val="00906750"/>
    <w:rsid w:val="00907234"/>
    <w:rsid w:val="00926776"/>
    <w:rsid w:val="0094492F"/>
    <w:rsid w:val="00952B2B"/>
    <w:rsid w:val="009552D8"/>
    <w:rsid w:val="00970B88"/>
    <w:rsid w:val="009811D1"/>
    <w:rsid w:val="00984A5D"/>
    <w:rsid w:val="00986AE9"/>
    <w:rsid w:val="0099107B"/>
    <w:rsid w:val="00992F70"/>
    <w:rsid w:val="0099605A"/>
    <w:rsid w:val="009B0C68"/>
    <w:rsid w:val="009B449A"/>
    <w:rsid w:val="009C5FEE"/>
    <w:rsid w:val="009E4287"/>
    <w:rsid w:val="009E5CFE"/>
    <w:rsid w:val="00A14CE2"/>
    <w:rsid w:val="00A17C78"/>
    <w:rsid w:val="00A2142F"/>
    <w:rsid w:val="00A51948"/>
    <w:rsid w:val="00A532AE"/>
    <w:rsid w:val="00A62740"/>
    <w:rsid w:val="00A74B67"/>
    <w:rsid w:val="00A82B36"/>
    <w:rsid w:val="00A8521A"/>
    <w:rsid w:val="00A9561E"/>
    <w:rsid w:val="00A966A1"/>
    <w:rsid w:val="00AB465D"/>
    <w:rsid w:val="00AB4B83"/>
    <w:rsid w:val="00AC65A0"/>
    <w:rsid w:val="00AD29DE"/>
    <w:rsid w:val="00AD73F4"/>
    <w:rsid w:val="00AE5A31"/>
    <w:rsid w:val="00AE5EB7"/>
    <w:rsid w:val="00AF7BFD"/>
    <w:rsid w:val="00B024CF"/>
    <w:rsid w:val="00B113DB"/>
    <w:rsid w:val="00B15EAA"/>
    <w:rsid w:val="00B26E87"/>
    <w:rsid w:val="00B32C4A"/>
    <w:rsid w:val="00B34634"/>
    <w:rsid w:val="00B37E15"/>
    <w:rsid w:val="00B47478"/>
    <w:rsid w:val="00B5522F"/>
    <w:rsid w:val="00B56F28"/>
    <w:rsid w:val="00B577A5"/>
    <w:rsid w:val="00B608FB"/>
    <w:rsid w:val="00B60EA0"/>
    <w:rsid w:val="00B63CAD"/>
    <w:rsid w:val="00B6751F"/>
    <w:rsid w:val="00B67F45"/>
    <w:rsid w:val="00B719FC"/>
    <w:rsid w:val="00B74C17"/>
    <w:rsid w:val="00B93738"/>
    <w:rsid w:val="00BA17CD"/>
    <w:rsid w:val="00BA366A"/>
    <w:rsid w:val="00BB0EA5"/>
    <w:rsid w:val="00BC0496"/>
    <w:rsid w:val="00BC2856"/>
    <w:rsid w:val="00BC69F5"/>
    <w:rsid w:val="00BC7A71"/>
    <w:rsid w:val="00BD4AFC"/>
    <w:rsid w:val="00BE18D5"/>
    <w:rsid w:val="00BE2F06"/>
    <w:rsid w:val="00BF0087"/>
    <w:rsid w:val="00BF4939"/>
    <w:rsid w:val="00C00D60"/>
    <w:rsid w:val="00C0108A"/>
    <w:rsid w:val="00C11D72"/>
    <w:rsid w:val="00C16FBE"/>
    <w:rsid w:val="00C3247A"/>
    <w:rsid w:val="00C43690"/>
    <w:rsid w:val="00C459DF"/>
    <w:rsid w:val="00C532EA"/>
    <w:rsid w:val="00C56A3C"/>
    <w:rsid w:val="00C80A49"/>
    <w:rsid w:val="00C90326"/>
    <w:rsid w:val="00C90723"/>
    <w:rsid w:val="00C920C1"/>
    <w:rsid w:val="00CA2907"/>
    <w:rsid w:val="00CB1705"/>
    <w:rsid w:val="00CC07B5"/>
    <w:rsid w:val="00CC3782"/>
    <w:rsid w:val="00CC52A5"/>
    <w:rsid w:val="00CD5246"/>
    <w:rsid w:val="00CE3DDD"/>
    <w:rsid w:val="00D05A8A"/>
    <w:rsid w:val="00D36E39"/>
    <w:rsid w:val="00D52C15"/>
    <w:rsid w:val="00D643DA"/>
    <w:rsid w:val="00D71BCB"/>
    <w:rsid w:val="00D9774A"/>
    <w:rsid w:val="00DA7E4F"/>
    <w:rsid w:val="00DB1D2B"/>
    <w:rsid w:val="00DB7BC3"/>
    <w:rsid w:val="00DC1641"/>
    <w:rsid w:val="00DC3FB0"/>
    <w:rsid w:val="00DD4560"/>
    <w:rsid w:val="00DD6DDF"/>
    <w:rsid w:val="00DE1068"/>
    <w:rsid w:val="00DE5A99"/>
    <w:rsid w:val="00DF22BF"/>
    <w:rsid w:val="00E03F3D"/>
    <w:rsid w:val="00E154A6"/>
    <w:rsid w:val="00E17104"/>
    <w:rsid w:val="00E17210"/>
    <w:rsid w:val="00E17F49"/>
    <w:rsid w:val="00E22C0B"/>
    <w:rsid w:val="00E25957"/>
    <w:rsid w:val="00E35D3B"/>
    <w:rsid w:val="00E36BDE"/>
    <w:rsid w:val="00E41A5E"/>
    <w:rsid w:val="00E46D1A"/>
    <w:rsid w:val="00E46DB5"/>
    <w:rsid w:val="00E5688A"/>
    <w:rsid w:val="00E6391B"/>
    <w:rsid w:val="00E64697"/>
    <w:rsid w:val="00E64CC8"/>
    <w:rsid w:val="00E8036B"/>
    <w:rsid w:val="00E837B7"/>
    <w:rsid w:val="00E83B9E"/>
    <w:rsid w:val="00EA13EF"/>
    <w:rsid w:val="00EA575E"/>
    <w:rsid w:val="00EA6638"/>
    <w:rsid w:val="00EC3759"/>
    <w:rsid w:val="00EC498E"/>
    <w:rsid w:val="00ED5992"/>
    <w:rsid w:val="00EE5831"/>
    <w:rsid w:val="00EF0E31"/>
    <w:rsid w:val="00EF492A"/>
    <w:rsid w:val="00F02F2D"/>
    <w:rsid w:val="00F06D9F"/>
    <w:rsid w:val="00F13677"/>
    <w:rsid w:val="00F1387A"/>
    <w:rsid w:val="00F3391D"/>
    <w:rsid w:val="00F416AE"/>
    <w:rsid w:val="00F51721"/>
    <w:rsid w:val="00F57D05"/>
    <w:rsid w:val="00F60D98"/>
    <w:rsid w:val="00F641CA"/>
    <w:rsid w:val="00F715DC"/>
    <w:rsid w:val="00F74936"/>
    <w:rsid w:val="00F807E2"/>
    <w:rsid w:val="00F83476"/>
    <w:rsid w:val="00F9199E"/>
    <w:rsid w:val="00F94FA1"/>
    <w:rsid w:val="00F95743"/>
    <w:rsid w:val="00FA7027"/>
    <w:rsid w:val="00FB1436"/>
    <w:rsid w:val="00FB236F"/>
    <w:rsid w:val="00FC4953"/>
    <w:rsid w:val="00FD0251"/>
    <w:rsid w:val="00FD18A2"/>
    <w:rsid w:val="00FE42D6"/>
    <w:rsid w:val="00FE59A3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8B32DF"/>
  <w15:docId w15:val="{CB6D61E9-13ED-4C5A-A986-2F17D0F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iPriority w:val="99"/>
    <w:unhideWhenUsed/>
    <w:rsid w:val="00631122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90723"/>
    <w:rPr>
      <w:i/>
      <w:iCs/>
    </w:rPr>
  </w:style>
  <w:style w:type="table" w:customStyle="1" w:styleId="Mkatabulky1">
    <w:name w:val="Mřížka tabulky1"/>
    <w:basedOn w:val="Normlntabulka"/>
    <w:next w:val="Mkatabulky"/>
    <w:rsid w:val="0052331F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AD9F-F283-4E3A-9279-A105961A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Michal Minarik</cp:lastModifiedBy>
  <cp:revision>7</cp:revision>
  <cp:lastPrinted>2015-11-10T08:47:00Z</cp:lastPrinted>
  <dcterms:created xsi:type="dcterms:W3CDTF">2022-10-26T07:35:00Z</dcterms:created>
  <dcterms:modified xsi:type="dcterms:W3CDTF">2023-01-25T16:26:00Z</dcterms:modified>
</cp:coreProperties>
</file>