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3D34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Město Horšovský Týn</w:t>
      </w:r>
    </w:p>
    <w:p w14:paraId="1159E26A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IČO: 00253383,</w:t>
      </w:r>
    </w:p>
    <w:p w14:paraId="404FACFD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sídlem: náměstí Republiky 52, 346 01 Horšovský Týn,</w:t>
      </w:r>
    </w:p>
    <w:p w14:paraId="4BAC2D64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zastoupené na základě příkazní smlouvy ze dne 10. 6. 2020 společností:</w:t>
      </w:r>
    </w:p>
    <w:p w14:paraId="27563A1C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Bytes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HT, spol. s r.o.</w:t>
      </w:r>
    </w:p>
    <w:p w14:paraId="3200036A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sídlem: Pivovarská 22, 346 01 Horšovský Týn</w:t>
      </w:r>
    </w:p>
    <w:p w14:paraId="458FB8AC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IČ: 25246097</w:t>
      </w:r>
    </w:p>
    <w:p w14:paraId="35AC7D0B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DIČ: CZ25246097</w:t>
      </w:r>
    </w:p>
    <w:p w14:paraId="3545F1AD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zastoupené jednatelem Pavlem Novákem</w:t>
      </w:r>
    </w:p>
    <w:p w14:paraId="57555C27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společnost zapsaná v obchodním rejstříku vedeném u Krajského soudu v Plzni, oddíl C, vložka 12566</w:t>
      </w:r>
    </w:p>
    <w:p w14:paraId="00BD2A00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"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pronajímatel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")</w:t>
      </w:r>
    </w:p>
    <w:p w14:paraId="7400EFB4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2F8C4F3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</w:p>
    <w:p w14:paraId="7CA88DB1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</w:p>
    <w:p w14:paraId="6950C352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Úřad práce České republiky</w:t>
      </w:r>
    </w:p>
    <w:p w14:paraId="5A622317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IČO: 72496991</w:t>
      </w:r>
    </w:p>
    <w:p w14:paraId="01E8FE54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sídlem: Dobrovského 1278/25, 170 00 Praha - Holešovice</w:t>
      </w:r>
    </w:p>
    <w:p w14:paraId="62718F3E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zastoupená Ing. Zdeňkem Novotným, ředitelem Úřadu práce České republiky – krajské pobočky v Plzni, Kaplířova 7,  305 88 Plzeň</w:t>
      </w:r>
    </w:p>
    <w:p w14:paraId="3991163E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Doručovací adresa: Úřad práce České republiky – krajská pobočka v Plzni, kontaktní pracoviště Domažlice,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Msgre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 B. Staška 265, 344 44 Domažlice</w:t>
      </w:r>
    </w:p>
    <w:p w14:paraId="0E0F1567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ID: ej6zpfi </w:t>
      </w:r>
    </w:p>
    <w:p w14:paraId="73B4D1D4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nájemce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</w:p>
    <w:p w14:paraId="7AE2A1CE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665C56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(pronajímatel a nájemce společně též jako „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s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mluvní strany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</w:p>
    <w:p w14:paraId="68F13CDC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9B8BA2A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uzavírají níže uvedeného dne, měsíce a roku tuto </w:t>
      </w:r>
    </w:p>
    <w:p w14:paraId="0ECA8280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09FD268B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mirrorIndents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SMLOUVU O NÁJMU PROSTORU SLOUŽÍCÍHO K PODNIKÁNÍ</w:t>
      </w:r>
    </w:p>
    <w:p w14:paraId="4FBC6542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ve smyslu § 2302 a násl. zákona č. 89/2012 Sb., občanský zákoník, </w:t>
      </w:r>
    </w:p>
    <w:p w14:paraId="098568C0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ve znění pozdějších předpisů (dále jen „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občanský zákoník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“)</w:t>
      </w:r>
    </w:p>
    <w:p w14:paraId="5E104412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smlouva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</w:p>
    <w:p w14:paraId="31105AD4" w14:textId="77777777" w:rsidR="00736DC4" w:rsidRDefault="00736DC4" w:rsidP="00736DC4">
      <w:pPr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cs-CZ"/>
        </w:rPr>
      </w:pPr>
    </w:p>
    <w:p w14:paraId="5B794D42" w14:textId="77777777" w:rsidR="00736DC4" w:rsidRDefault="00736DC4" w:rsidP="00736DC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-1"/>
        <w:contextualSpacing/>
        <w:mirrorIndents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5795B970" w14:textId="77777777" w:rsidR="00736DC4" w:rsidRDefault="00736DC4" w:rsidP="00736DC4">
      <w:pPr>
        <w:keepNext/>
        <w:overflowPunct w:val="0"/>
        <w:autoSpaceDE w:val="0"/>
        <w:autoSpaceDN w:val="0"/>
        <w:adjustRightInd w:val="0"/>
        <w:spacing w:after="0" w:line="276" w:lineRule="auto"/>
        <w:ind w:right="-1"/>
        <w:contextualSpacing/>
        <w:mirrorIndents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Předmět smlouvy</w:t>
      </w:r>
    </w:p>
    <w:p w14:paraId="25F7DD13" w14:textId="77777777" w:rsidR="00736DC4" w:rsidRDefault="00736DC4" w:rsidP="00736DC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Předmětem smlouvy je prostor sloužící k podnikání č.00540058NN202, o celkové výměře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18,00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bookmarkStart w:id="0" w:name="_Hlk65155789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zapsán Katastrálním úřadem pro Plzeňský kraj, Katastrální pracoviště Domažlice na LV č. 1317 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pracele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č. 315/3,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Horšovský Týn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ulici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Littrowa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Horšovském Týně.</w:t>
      </w:r>
    </w:p>
    <w:p w14:paraId="30E8DE25" w14:textId="77777777" w:rsidR="00736DC4" w:rsidRDefault="00736DC4" w:rsidP="00736DC4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prostory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“).  </w:t>
      </w:r>
    </w:p>
    <w:p w14:paraId="709F0CC7" w14:textId="77777777" w:rsidR="00736DC4" w:rsidRDefault="00736DC4" w:rsidP="00736DC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Výhradním vlastníkem prostorů, specifikovaných v předchozím odstavci, je město Horšovský Týn.</w:t>
      </w:r>
    </w:p>
    <w:p w14:paraId="20BA183E" w14:textId="77777777" w:rsidR="00736DC4" w:rsidRDefault="00736DC4" w:rsidP="00736DC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Na základě této smlouvy pronajímatel přenechává prostory do užívání nájemci a nájemce tyto prostory do svého výlučného užívání přijímá.</w:t>
      </w:r>
    </w:p>
    <w:p w14:paraId="1E40D65F" w14:textId="77777777" w:rsidR="00736DC4" w:rsidRDefault="00736DC4" w:rsidP="00736DC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Za užívání prostor se nájemce zavazuje platit pronajímateli nájemné dle čl. II. této smlouvy.</w:t>
      </w:r>
    </w:p>
    <w:p w14:paraId="386CB7CE" w14:textId="77777777" w:rsidR="00736DC4" w:rsidRDefault="00736DC4" w:rsidP="00736DC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Prostory jsou pronajímatelem přenechány nájemci do nájmu za účelem jejich užívání jako: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garáž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3DD423A4" w14:textId="77777777" w:rsidR="00736DC4" w:rsidRDefault="00736DC4" w:rsidP="00736DC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Nájemce nemá právo v prostorách provozovat jinou činnost nebo změnit způsob či podmínky jejího výkonu, než jak to vyplývá z účelu nájmu již výše sjednaného, anebo z toho, co bylo možné důvodně očekávat při uzavření smlouvy, pokud by tato změna působila zhoršení poměrů v nemovité věci nebo by nad přiměřenou míru poškozovala pronajímatele nebo ostatní uživatele nemovité věci.</w:t>
      </w:r>
    </w:p>
    <w:p w14:paraId="0E682133" w14:textId="77777777" w:rsidR="00736DC4" w:rsidRDefault="00736DC4" w:rsidP="00736DC4">
      <w:pPr>
        <w:autoSpaceDN w:val="0"/>
        <w:spacing w:after="0" w:line="240" w:lineRule="auto"/>
        <w:ind w:right="-1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</w:p>
    <w:p w14:paraId="4BCE541B" w14:textId="77777777" w:rsidR="00736DC4" w:rsidRDefault="00736DC4" w:rsidP="00736DC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right="-1"/>
        <w:contextualSpacing/>
        <w:mirrorIndents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14:paraId="457D5A96" w14:textId="77777777" w:rsidR="00736DC4" w:rsidRDefault="00736DC4" w:rsidP="00736DC4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mirrorIndents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                                                                Nájemné, služby</w:t>
      </w:r>
    </w:p>
    <w:p w14:paraId="750910F8" w14:textId="77777777" w:rsidR="00736DC4" w:rsidRDefault="00736DC4" w:rsidP="00736DC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Smluvní strany se dohodly, že za užívání prostor bude nájemce platit pronajímateli nájemné ve výši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1 025,-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Kč měsíčně. Výše nájemného je určena v souladu s usnesením RM č. 35 ze dne 18.4.2016.</w:t>
      </w:r>
    </w:p>
    <w:p w14:paraId="77DCEA2F" w14:textId="77777777" w:rsidR="00736DC4" w:rsidRDefault="00736DC4" w:rsidP="00736DC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si sjednávají tzv. „inflační doložku“, na základě, které je pronajímatel oprávněn jednostranně k 1. 7. příslušného kalendářního roku zvýšit sjednané nájemné o míru inflace vyhlášené Českým statistickým úřadem za předcházející kalendářní rok příp. kalendářní roky. Vzhledem ke skutečnosti, že k vyhlášení míry inflace za předchozí kalendářní rok dochází v průběhu kalendářního roku, jehož se zvýšení týká, je nájemce povinen hradit zvýšené nájemné od 1. 7., a to v částce zaslané pronajímatelem nájemci v červnu daného roku na adresu uvedenou v hlavičce této smlouvy, ledaže nájemce pronajímateli předem sdělí jinou adresu.</w:t>
      </w:r>
    </w:p>
    <w:p w14:paraId="71110315" w14:textId="77777777" w:rsidR="00736DC4" w:rsidRDefault="00736DC4" w:rsidP="00736DC4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se dohodly, že nájemce je povinen hradit nájemné a zálohy na služby v měsíčních splátkách, a to vždy nejpozději do 20. kalendářního dne měsíce, za které se nájemné platí, a to bankovním převodem na účet pronajímatele č. ú.1003043035/5500, VS:0054005802 pokud pronajímatel nájemci písemně nesdělí jiné bankovní spojení.</w:t>
      </w:r>
    </w:p>
    <w:p w14:paraId="34B04021" w14:textId="77777777" w:rsidR="00736DC4" w:rsidRDefault="00736DC4" w:rsidP="00736DC4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případě prodlení s placením nájemného a záloh na služby je nájemce povinen zaplatit pronajímateli spolu s dlužnou částkou i úrok z prodlení ve výši a za podmínek stanovených platným právním předpisem. </w:t>
      </w:r>
    </w:p>
    <w:p w14:paraId="6899036F" w14:textId="77777777" w:rsidR="00736DC4" w:rsidRDefault="00736DC4" w:rsidP="00736DC4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</w:p>
    <w:p w14:paraId="5125A42C" w14:textId="77777777" w:rsidR="00736DC4" w:rsidRDefault="00736DC4" w:rsidP="00736DC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2C180693" w14:textId="77777777" w:rsidR="00736DC4" w:rsidRDefault="00736DC4" w:rsidP="00736DC4">
      <w:pPr>
        <w:keepNext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mirrorIndents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                                                                   Stav prostor</w:t>
      </w:r>
    </w:p>
    <w:p w14:paraId="30C10008" w14:textId="77777777" w:rsidR="00736DC4" w:rsidRDefault="00736DC4" w:rsidP="00736D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Nájemce prohlašuje, že se před uzavřením smlouvy seznámil s technickým vybavením prostor, a že prostory jsou ve stavu odpovídajícímu sjednanému účelu (čl. I. smlouvy), k němuž jsou pronajaty.</w:t>
      </w:r>
    </w:p>
    <w:p w14:paraId="772B0972" w14:textId="77777777" w:rsidR="00736DC4" w:rsidRDefault="00736DC4" w:rsidP="00736D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Pronajímatel předal nájemci prostory ke dni účinnosti smlouvy. Smluvní strany vyhotovily o předání prostorů protokol o předání a převzetí prostorů. </w:t>
      </w:r>
    </w:p>
    <w:p w14:paraId="491652C0" w14:textId="77777777" w:rsidR="00736DC4" w:rsidRDefault="00736DC4" w:rsidP="00736D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případě, že nájemce prostory ke dni podpisu této smlouvy užívá na základě dřívější smlouvy, smluvní strany se dohodly, že nebudou o předání a převzetí prostor nájemcem vyhotovovat předávací protokol. </w:t>
      </w:r>
    </w:p>
    <w:p w14:paraId="78715ECC" w14:textId="77777777" w:rsidR="00736DC4" w:rsidRDefault="00736DC4" w:rsidP="00736DC4">
      <w:pPr>
        <w:autoSpaceDN w:val="0"/>
        <w:spacing w:after="120" w:line="240" w:lineRule="auto"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04EAA27" w14:textId="77777777" w:rsidR="00736DC4" w:rsidRDefault="00736DC4" w:rsidP="00736DC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right="-1"/>
        <w:contextualSpacing/>
        <w:mirrorIndents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54E25F53" w14:textId="77777777" w:rsidR="00736DC4" w:rsidRDefault="00736DC4" w:rsidP="00736DC4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mirrorIndents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Práva a povinnosti smluvních stran</w:t>
      </w:r>
    </w:p>
    <w:p w14:paraId="0B6FE619" w14:textId="77777777" w:rsidR="00736DC4" w:rsidRDefault="00736DC4" w:rsidP="00736DC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Pronajímatel je oprávněn sám či prostřednictvím zmocněného zástupce po předchozím ohlášení alespoň jeden pracovní den předem vstoupit do prostor spolu s nájemcem či osobou oprávněnou zastupovat nájemce a zkontrolovat jejich stav a způsob užívání.  </w:t>
      </w:r>
    </w:p>
    <w:p w14:paraId="5EDAF29F" w14:textId="77777777" w:rsidR="00736DC4" w:rsidRDefault="00736DC4" w:rsidP="00736DC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Pronajímatel je povinen:  </w:t>
      </w:r>
    </w:p>
    <w:p w14:paraId="109A97AE" w14:textId="77777777" w:rsidR="00736DC4" w:rsidRDefault="00736DC4" w:rsidP="00736D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zajistit v přiměřené lhůtě na své náklady odstranění závad, které by bránily nájemci řádnému užívání prostor, s výjimkou škod a závad způsobených nájemcem či osobami, kterým nájemce umožnil přístup do prostor;</w:t>
      </w:r>
    </w:p>
    <w:p w14:paraId="15B9A07E" w14:textId="77777777" w:rsidR="00736DC4" w:rsidRDefault="00736DC4" w:rsidP="00736D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provádět revize vyhrazených technických zařízení;</w:t>
      </w:r>
    </w:p>
    <w:p w14:paraId="0D4EB0AF" w14:textId="77777777" w:rsidR="00736DC4" w:rsidRDefault="00736DC4" w:rsidP="00736D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sjednat k nemovité věci, ve které se nachází prostory,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živelní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pojištění.</w:t>
      </w:r>
    </w:p>
    <w:p w14:paraId="1EDCD1D0" w14:textId="77777777" w:rsidR="00736DC4" w:rsidRDefault="00736DC4" w:rsidP="00736DC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-1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Nájemce je oprávněn přenechat prostory do podnájmu třetí osobě pouze s předchozím písemným souhlasem pronajímatele.  </w:t>
      </w:r>
    </w:p>
    <w:p w14:paraId="1869E0CC" w14:textId="77777777" w:rsidR="00736DC4" w:rsidRDefault="00736DC4" w:rsidP="00736DC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567" w:right="-1" w:hanging="567"/>
        <w:mirrorIndents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Nájemce je oprávněn převést nájem v souvislosti s převodem podnikatelské činnosti, jíž budou prostory sloužit, jen s předchozím písemným souhlasem pronajímatele. Při skončení nájmu je povinen uvést prostory do původního stavu nájemce.</w:t>
      </w:r>
    </w:p>
    <w:p w14:paraId="30E1A97C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ind w:right="-1"/>
        <w:mirrorIndents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5C2FB670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ind w:right="-1"/>
        <w:mirrorIndents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2D76CFF7" w14:textId="77777777" w:rsidR="00736DC4" w:rsidRDefault="00736DC4" w:rsidP="00736DC4">
      <w:pPr>
        <w:overflowPunct w:val="0"/>
        <w:autoSpaceDE w:val="0"/>
        <w:autoSpaceDN w:val="0"/>
        <w:adjustRightInd w:val="0"/>
        <w:spacing w:after="120" w:line="240" w:lineRule="auto"/>
        <w:ind w:right="-1"/>
        <w:mirrorIndents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4.5.  Nájemce se zavazuje:</w:t>
      </w:r>
    </w:p>
    <w:p w14:paraId="4214F213" w14:textId="77777777" w:rsidR="00736DC4" w:rsidRDefault="00736DC4" w:rsidP="00736D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right="-1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užívat prostory výlučně v souladu se smlouvou, zákonem a dalšími právními předpisy. Přitom se musí zdržet všeho, čím by nad míru přiměřenou poměrům obtěžoval jiného nebo čím by vážně ohrožoval výkon práv jiných osob; </w:t>
      </w:r>
    </w:p>
    <w:p w14:paraId="38979759" w14:textId="77777777" w:rsidR="00736DC4" w:rsidRDefault="00736DC4" w:rsidP="00736D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right="-1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dbát všech platných bezpečnostních protipožárních, hygienických, technických, ekologických a dalších norem; </w:t>
      </w:r>
    </w:p>
    <w:p w14:paraId="2A960002" w14:textId="77777777" w:rsidR="00736DC4" w:rsidRDefault="00736DC4" w:rsidP="00736D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right="-1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na vlastní náklady prostory řádně udržovat, a to ve stavu, ve kterém byly nájemci pronajímatelem předány, s přihlédnutím, k běžnému opotřebení; </w:t>
      </w:r>
    </w:p>
    <w:p w14:paraId="578B1BED" w14:textId="77777777" w:rsidR="00736DC4" w:rsidRDefault="00736DC4" w:rsidP="00736D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right="-1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průběžně a na vlastní náklady udržovat prostory v takovém stavu, aby nedocházelo ke škodám na zdraví a majetku, přírodě a životním prostředí.</w:t>
      </w:r>
    </w:p>
    <w:p w14:paraId="0EBB2CB7" w14:textId="77777777" w:rsidR="00736DC4" w:rsidRDefault="00736DC4" w:rsidP="00736D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umožnit po předchozím oznámení pronajímatele tomuto či pronajímatelem pověřené osobě kontrolu prostor. </w:t>
      </w:r>
    </w:p>
    <w:p w14:paraId="3DAF253F" w14:textId="77777777" w:rsidR="00736DC4" w:rsidRDefault="00736DC4" w:rsidP="00736DC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right="-1"/>
        <w:contextualSpacing/>
        <w:mirrorIndents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cs-CZ"/>
        </w:rPr>
      </w:pPr>
    </w:p>
    <w:p w14:paraId="0334C7A5" w14:textId="77777777" w:rsidR="00736DC4" w:rsidRDefault="00736DC4" w:rsidP="00736DC4">
      <w:pPr>
        <w:keepNext/>
        <w:spacing w:after="0" w:line="240" w:lineRule="auto"/>
        <w:ind w:right="-1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cs-CZ"/>
        </w:rPr>
        <w:t>Utvrzení závazků</w:t>
      </w:r>
    </w:p>
    <w:p w14:paraId="1ADBABAF" w14:textId="77777777" w:rsidR="00736DC4" w:rsidRDefault="00736DC4" w:rsidP="00736DC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se dohodly, že v případě prodlení nájemce s úhradou jakéhokoli splatného závazku dle této smlouvy je pronajímatel oprávněn uplatnit úrok z prodlení stanovený platným právním předpisem.</w:t>
      </w:r>
    </w:p>
    <w:p w14:paraId="78560887" w14:textId="77777777" w:rsidR="00736DC4" w:rsidRDefault="00736DC4" w:rsidP="00736DC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</w:p>
    <w:p w14:paraId="17921D7B" w14:textId="77777777" w:rsidR="00736DC4" w:rsidRDefault="00736DC4" w:rsidP="00736D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B81A3AA" w14:textId="77777777" w:rsidR="00736DC4" w:rsidRDefault="00736DC4" w:rsidP="00736DC4">
      <w:pPr>
        <w:keepNext/>
        <w:spacing w:after="0" w:line="240" w:lineRule="auto"/>
        <w:ind w:left="720" w:right="-1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cs-CZ"/>
        </w:rPr>
        <w:t>Doba trvání smlouvy, skončení smlouvy</w:t>
      </w:r>
    </w:p>
    <w:p w14:paraId="1770A280" w14:textId="77777777" w:rsidR="00736DC4" w:rsidRDefault="00736DC4" w:rsidP="00736DC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Tato smlouva se uzavírá na dobu neurčitou.</w:t>
      </w:r>
    </w:p>
    <w:p w14:paraId="5716D7FF" w14:textId="77777777" w:rsidR="00736DC4" w:rsidRDefault="00736DC4" w:rsidP="00736DC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Nájem na základě této smlouvy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končí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dohodou smluvních stran, výpovědí, odstoupením od smlouvy, anebo zničením prostor.</w:t>
      </w:r>
    </w:p>
    <w:p w14:paraId="22694720" w14:textId="77777777" w:rsidR="00736DC4" w:rsidRDefault="00736DC4" w:rsidP="00736DC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se dohodly, že pronajímatel i nájemce může vypovědět smlouvu bez udání důvodu. V tomto případě činí výpovědní lhůta 3 měsíce a počíná běžet dnem následujícím po doručení písemné výpovědi druhé smluvní straně.</w:t>
      </w:r>
    </w:p>
    <w:p w14:paraId="3BDA6946" w14:textId="77777777" w:rsidR="00736DC4" w:rsidRDefault="00736DC4" w:rsidP="00736DC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Smluvní strany se dále dohodly, že pronajímatel je oprávněn vypovědět smlouvu: </w:t>
      </w:r>
    </w:p>
    <w:p w14:paraId="45056351" w14:textId="77777777" w:rsidR="00736DC4" w:rsidRDefault="00736DC4" w:rsidP="00736DC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má-li být nemovitá věc, v níž se prostory nachází, odstraněna, anebo přestavována tak, že to brání dalšímu užívání prostorů, a pronajímatel to při uzavření smlouvy nemusel ani nemohl předvídat, nebo</w:t>
      </w:r>
    </w:p>
    <w:p w14:paraId="7ABFFFCD" w14:textId="77777777" w:rsidR="00736DC4" w:rsidRDefault="00736DC4" w:rsidP="00736DC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porušuje-li nájemce hrubě své povinnosti vůči pronajímateli, zejména tím, že se dostane i přes upozornění do prodlení s úhradou jedné či více splátek nájemného. </w:t>
      </w:r>
    </w:p>
    <w:p w14:paraId="32C55276" w14:textId="77777777" w:rsidR="00736DC4" w:rsidRDefault="00736DC4" w:rsidP="00736DC4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6F93D6D" w14:textId="77777777" w:rsidR="00736DC4" w:rsidRDefault="00736DC4" w:rsidP="00736DC4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 tomto případě činí výpovědní lhůta 1 měsíc a počíná běžet dnem následujícím po doručení písemné výpovědi druhé smluvní straně.</w:t>
      </w:r>
    </w:p>
    <w:p w14:paraId="32B66028" w14:textId="77777777" w:rsidR="00736DC4" w:rsidRDefault="00736DC4" w:rsidP="00736DC4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993A50B" w14:textId="77777777" w:rsidR="00736DC4" w:rsidRDefault="00736DC4" w:rsidP="00736DC4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se dále dohodly, že nájemce je oprávněn vypovědět smlouvu:</w:t>
      </w:r>
    </w:p>
    <w:p w14:paraId="502F478D" w14:textId="77777777" w:rsidR="00736DC4" w:rsidRDefault="00736DC4" w:rsidP="00736DC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ztratí-li způsobilost k činnosti, k jejímuž výkonu jsou prostory určeny,</w:t>
      </w:r>
    </w:p>
    <w:p w14:paraId="40D8BAAC" w14:textId="77777777" w:rsidR="00736DC4" w:rsidRDefault="00736DC4" w:rsidP="00736DC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přestanou-li být prostory z objektivních důvodů způsobilé k výkonu činnosti, k němuž byly určeny, a pronajímatel nezajistí nájemci odpovídající náhradní prostory, nebo</w:t>
      </w:r>
    </w:p>
    <w:p w14:paraId="557E3924" w14:textId="77777777" w:rsidR="00736DC4" w:rsidRDefault="00736DC4" w:rsidP="00736DC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porušuje-li pronajímatel hrubě své povinnosti vůči nájemci,</w:t>
      </w:r>
    </w:p>
    <w:p w14:paraId="6663000E" w14:textId="77777777" w:rsidR="00736DC4" w:rsidRDefault="00736DC4" w:rsidP="00736DC4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F05FB17" w14:textId="77777777" w:rsidR="00736DC4" w:rsidRDefault="00736DC4" w:rsidP="00736DC4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 tomto případě činí výpovědní lhůta 1 měsíc a počíná běžet dnem následujícím po doručení písemné výpovědi druhé smluvní straně.</w:t>
      </w:r>
    </w:p>
    <w:p w14:paraId="237E91AD" w14:textId="77777777" w:rsidR="00736DC4" w:rsidRDefault="00736DC4" w:rsidP="00736DC4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9A7581D" w14:textId="77777777" w:rsidR="00736DC4" w:rsidRDefault="00736DC4" w:rsidP="00736DC4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se dohodly, že pronajímatel je oprávněn odstoupit od smlouvy v případě, že:</w:t>
      </w:r>
    </w:p>
    <w:p w14:paraId="33EC2834" w14:textId="77777777" w:rsidR="00736DC4" w:rsidRDefault="00736DC4" w:rsidP="00736DC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nájemce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poruší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ustanovení čl. IV. odst. 4.4. smlouvy;</w:t>
      </w:r>
    </w:p>
    <w:p w14:paraId="05CF1A4D" w14:textId="77777777" w:rsidR="00736DC4" w:rsidRDefault="00736DC4" w:rsidP="00736DC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byl zjištěn úpadek nájemce ve smyslu ustanovení zákona č. 182/2006 Sb., o úpadku a způsobech jeho řešení, ve znění pozdějších předpisů, nebo konkurs nebyl prohlášen či byl zrušen pro nedostatek majetku nájemce;</w:t>
      </w:r>
    </w:p>
    <w:p w14:paraId="7530B36B" w14:textId="77777777" w:rsidR="00736DC4" w:rsidRDefault="00736DC4" w:rsidP="00736DC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nájemce vstoupil do likvidace; </w:t>
      </w:r>
    </w:p>
    <w:p w14:paraId="685FF998" w14:textId="77777777" w:rsidR="00736DC4" w:rsidRDefault="00736DC4" w:rsidP="00736DC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nájemce po dobu alespoň sedmi dnů užívá prostory k jinému účelu, než jak je stanoveno v čl. I. smlouvy;</w:t>
      </w:r>
    </w:p>
    <w:p w14:paraId="44F72172" w14:textId="77777777" w:rsidR="00736DC4" w:rsidRDefault="00736DC4" w:rsidP="00736DC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nájemce se dostane i přes upozornění do prodlení s úhradou dvou či více splátek nájemného nebo služeb spojených s užíváním prostorů.</w:t>
      </w:r>
    </w:p>
    <w:p w14:paraId="57CAFB76" w14:textId="77777777" w:rsidR="00736DC4" w:rsidRDefault="00736DC4" w:rsidP="00736DC4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Odstoupení od smlouvy musí být provedeno písemnou formou a je účinné dnem jeho doručení druhé smluvní straně. Odstoupením od smlouvy se smlouva k okamžiku účinnosti odstoupení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ruší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211DD109" w14:textId="77777777" w:rsidR="00736DC4" w:rsidRDefault="00736DC4" w:rsidP="00736DC4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se dohodly, že v případě skončení nájmu je nájemce povinen předat pronajímateli vyklizené prostory, nedohodnou-li se smluvní strany jinak.</w:t>
      </w:r>
    </w:p>
    <w:p w14:paraId="0FE900B8" w14:textId="77777777" w:rsidR="00736DC4" w:rsidRDefault="00736DC4" w:rsidP="00736DC4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Nájemce je povinen odevzdat prostory pronajímateli v den, kdy nájem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končí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V případě odstoupení od smlouvy je nájemce povinen odevzdat pronajímateli prostory ve lhůtě nejpozději do deseti dnů od doručení odstoupení druhé smluvní straně. Předmět nájmu je odevzdán,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obdrží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-li pronajímatel klíče a jinak mu nic nebrání v přístupu do prostor a v jejich užívání. </w:t>
      </w:r>
    </w:p>
    <w:p w14:paraId="78CD3A07" w14:textId="77777777" w:rsidR="00736DC4" w:rsidRDefault="00736DC4" w:rsidP="00736DC4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Nájemce je povinen odevzdat prostory ve stavu, v jakém je převzal, nehledě na běžné opotřebení při běžném užívání a na vady, které je povinen odstranit pronajímatel, a to formou písemného předávacího protokolu.</w:t>
      </w:r>
    </w:p>
    <w:p w14:paraId="74381EAB" w14:textId="77777777" w:rsidR="00736DC4" w:rsidRDefault="00736DC4" w:rsidP="00736DC4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Nájemce není oprávněn odstranit v prostorách změny či úpravy, které provedl se souhlasem pronajímatele. </w:t>
      </w:r>
    </w:p>
    <w:p w14:paraId="27FD7757" w14:textId="77777777" w:rsidR="00736DC4" w:rsidRDefault="00736DC4" w:rsidP="00736DC4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Nájemce je povinen odstranit v prostorách změny, které provedl bez souhlasu pronajímatele, ledaže pronajímatel nájemci sdělí, že odstranění změn nežádá; nájemce přesto nemůže žádat vyrovnání, i kdyby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se změnami hodnota prostor zvýšila. Pronajímatel může žádat náhradu ve výši snížení hodnoty prostor, které bylo způsobeno změnami provedenými nájemcem bez souhlasu pronajímatele.</w:t>
      </w:r>
    </w:p>
    <w:p w14:paraId="41D809C4" w14:textId="77777777" w:rsidR="00736DC4" w:rsidRDefault="00736DC4" w:rsidP="00736DC4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Pronajímatel má právo na náhradu ve výši sjednaného nájemného, neodevzdá-li nájemce prostory pronajímateli v den skončení nájmu až do dne, kdy nájemce pronajímateli prostory skutečně odevzdá.</w:t>
      </w:r>
    </w:p>
    <w:p w14:paraId="17FB70C8" w14:textId="77777777" w:rsidR="00736DC4" w:rsidRDefault="00736DC4" w:rsidP="00736DC4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4227490" w14:textId="77777777" w:rsidR="00736DC4" w:rsidRDefault="00736DC4" w:rsidP="00736DC4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right="-1"/>
        <w:contextualSpacing/>
        <w:mirrorIndents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cs-CZ"/>
        </w:rPr>
      </w:pPr>
    </w:p>
    <w:p w14:paraId="58DE6BDD" w14:textId="77777777" w:rsidR="00736DC4" w:rsidRDefault="00736DC4" w:rsidP="00736DC4">
      <w:pPr>
        <w:keepNext/>
        <w:spacing w:after="0" w:line="240" w:lineRule="auto"/>
        <w:ind w:left="720" w:right="-1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cs-CZ"/>
        </w:rPr>
        <w:t>Závěrečná ustanovení</w:t>
      </w:r>
    </w:p>
    <w:p w14:paraId="67DCD5EC" w14:textId="77777777" w:rsidR="00736DC4" w:rsidRDefault="00736DC4" w:rsidP="00736DC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Smlouva nabývá platnosti dnem podpisu obou smluvních stran a účinnosti jejím zveřejněním v Registru smluv MVČR. Zveřejnění v Registru smluv MVČR zajistí pronajímatel.</w:t>
      </w:r>
    </w:p>
    <w:p w14:paraId="1E07BA5E" w14:textId="77777777" w:rsidR="00736DC4" w:rsidRDefault="00736DC4" w:rsidP="00736DC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vztahy mezi smluvními stranami se řídí českým právním řádem. Ustanovení, zde výslovně neupravená, se řídí právní úpravou závazků a úpravou smluvních typů jím nejbližších podle občanského zákoníku.</w:t>
      </w:r>
    </w:p>
    <w:p w14:paraId="298576C0" w14:textId="77777777" w:rsidR="00736DC4" w:rsidRDefault="00736DC4" w:rsidP="00736DC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Smlouva je vyhotovena ve 2 vyhotoveních s platností originálu, přičemž každá ze smluvních stran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obdrží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 jednom.</w:t>
      </w:r>
    </w:p>
    <w:p w14:paraId="00296BFC" w14:textId="77777777" w:rsidR="00736DC4" w:rsidRDefault="00736DC4" w:rsidP="00736DC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Nedílnou součástí této smlouvy jsou následující přílohy:</w:t>
      </w:r>
    </w:p>
    <w:p w14:paraId="502059EB" w14:textId="77777777" w:rsidR="00736DC4" w:rsidRDefault="00736DC4" w:rsidP="00736DC4">
      <w:pPr>
        <w:autoSpaceDN w:val="0"/>
        <w:spacing w:after="120" w:line="240" w:lineRule="auto"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Příloha č. 1: drobné opravy prostor a náklady spojené s běžnou údržbou prostor</w:t>
      </w:r>
    </w:p>
    <w:p w14:paraId="04266F22" w14:textId="77777777" w:rsidR="00736DC4" w:rsidRDefault="00736DC4" w:rsidP="00736DC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Jakákoli změna smluvních podmínek, vyjma příloh, může být provedena pouze formou písemného oboustranně podepsaného dodatku.</w:t>
      </w:r>
    </w:p>
    <w:p w14:paraId="51821649" w14:textId="77777777" w:rsidR="00736DC4" w:rsidRDefault="00736DC4" w:rsidP="00736DC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se dohodly a souhlasí, že případné spory vzniklé ze smlouvy budou řešeny dle platné právní úpravy věcně a místně příslušnými orgány České republiky. Smluvní strany si sjednávají ve smyslu ustanovení § 89a zákona č. 99/1963 Sb., občanského soudního řádu, ve znění pozdějších předpisů, pro spory vyplývající ze smlouvy či se smlouvou související, místní příslušnost Okresního soudu v Domažlicích a v případě, že v prvním stupni bude příslušný krajský soud, pak místní příslušnost Krajského soudu v Plzni.</w:t>
      </w:r>
    </w:p>
    <w:p w14:paraId="069DCB6F" w14:textId="77777777" w:rsidR="00736DC4" w:rsidRDefault="00736DC4" w:rsidP="00736DC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svými podpisy potvrzují, že smlouvu uzavřely dobrovolně a vážně, určitě a srozumitelně podle své pravé a svobodné vůle, nikoliv v tísni nebo za nápadně nevýhodných podmínek.</w:t>
      </w:r>
    </w:p>
    <w:p w14:paraId="6E921DCA" w14:textId="77777777" w:rsidR="00736DC4" w:rsidRDefault="00736DC4" w:rsidP="00736DC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Smluvní strany se dohodly, že touto smlouvou se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ruší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nájemní smlouva uzavřena dne 20.5.2016 s dodatky.</w:t>
      </w:r>
    </w:p>
    <w:p w14:paraId="768DBE9F" w14:textId="77777777" w:rsidR="00736DC4" w:rsidRDefault="00736DC4" w:rsidP="00736DC4">
      <w:pPr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mirrorIndents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</w:p>
    <w:p w14:paraId="36D6DDDC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C0A23C0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 Horšovském Týně dne 02.01.2023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   V Plzni dne  </w:t>
      </w:r>
    </w:p>
    <w:p w14:paraId="5C0A6CFE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17042A03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5CC717C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F2A64F5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86FECB5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__________________________________</w:t>
      </w:r>
    </w:p>
    <w:p w14:paraId="78D8D68F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Pavel Novák, jednatel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    Ing. Zdeněk Novotný, ředitel</w:t>
      </w:r>
    </w:p>
    <w:p w14:paraId="31AC2110" w14:textId="77777777" w:rsidR="00736DC4" w:rsidRDefault="00736DC4" w:rsidP="00736DC4">
      <w:pPr>
        <w:overflowPunct w:val="0"/>
        <w:autoSpaceDE w:val="0"/>
        <w:autoSpaceDN w:val="0"/>
        <w:adjustRightInd w:val="0"/>
        <w:spacing w:line="240" w:lineRule="auto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Bytes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HT, spol. s r.o.                                                                          Úřad práce ČR – krajská pobočka v Plzni</w:t>
      </w:r>
    </w:p>
    <w:p w14:paraId="5A08926C" w14:textId="337D390E" w:rsidR="00156B36" w:rsidRDefault="00736DC4" w:rsidP="00736DC4"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za pronajímatele město Horšovský                                                     za nájem</w:t>
      </w:r>
    </w:p>
    <w:sectPr w:rsidR="0015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0C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3C540D1"/>
    <w:multiLevelType w:val="singleLevel"/>
    <w:tmpl w:val="D188CC4C"/>
    <w:lvl w:ilvl="0">
      <w:start w:val="1"/>
      <w:numFmt w:val="decimal"/>
      <w:lvlText w:val="7.%1."/>
      <w:lvlJc w:val="left"/>
      <w:pPr>
        <w:ind w:left="720" w:hanging="360"/>
      </w:pPr>
    </w:lvl>
  </w:abstractNum>
  <w:abstractNum w:abstractNumId="2" w15:restartNumberingAfterBreak="0">
    <w:nsid w:val="38135CDF"/>
    <w:multiLevelType w:val="multilevel"/>
    <w:tmpl w:val="571C4F4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3C5960D6"/>
    <w:multiLevelType w:val="hybridMultilevel"/>
    <w:tmpl w:val="C0B43C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45887"/>
    <w:multiLevelType w:val="hybridMultilevel"/>
    <w:tmpl w:val="8CB80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41815"/>
    <w:multiLevelType w:val="singleLevel"/>
    <w:tmpl w:val="3A8805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6ADC5331"/>
    <w:multiLevelType w:val="multilevel"/>
    <w:tmpl w:val="7B5842F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6CD15770"/>
    <w:multiLevelType w:val="hybridMultilevel"/>
    <w:tmpl w:val="9C7EF692"/>
    <w:lvl w:ilvl="0" w:tplc="335A5BC2">
      <w:start w:val="1"/>
      <w:numFmt w:val="decimal"/>
      <w:lvlText w:val="6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A35BF"/>
    <w:multiLevelType w:val="multilevel"/>
    <w:tmpl w:val="74E299FC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74D72768"/>
    <w:multiLevelType w:val="hybridMultilevel"/>
    <w:tmpl w:val="21A29336"/>
    <w:lvl w:ilvl="0" w:tplc="7EBA49D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6832F6"/>
    <w:multiLevelType w:val="multilevel"/>
    <w:tmpl w:val="1F460C32"/>
    <w:lvl w:ilvl="0">
      <w:start w:val="1"/>
      <w:numFmt w:val="decimal"/>
      <w:lvlText w:val="3.%1."/>
      <w:lvlJc w:val="left"/>
      <w:pPr>
        <w:ind w:left="360" w:hanging="360"/>
      </w:pPr>
      <w:rPr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42115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5723565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45252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5250053">
    <w:abstractNumId w:val="5"/>
    <w:lvlOverride w:ilvl="0">
      <w:startOverride w:val="1"/>
    </w:lvlOverride>
  </w:num>
  <w:num w:numId="5" w16cid:durableId="528252846">
    <w:abstractNumId w:val="0"/>
    <w:lvlOverride w:ilvl="0">
      <w:startOverride w:val="1"/>
    </w:lvlOverride>
  </w:num>
  <w:num w:numId="6" w16cid:durableId="11917948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936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6436702">
    <w:abstractNumId w:val="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057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885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8076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C4"/>
    <w:rsid w:val="00156B36"/>
    <w:rsid w:val="0073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CEBB"/>
  <w15:chartTrackingRefBased/>
  <w15:docId w15:val="{04F73EBA-ED27-451F-AA34-9474CA31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DC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1744</Words>
  <Characters>10292</Characters>
  <Application>Microsoft Office Word</Application>
  <DocSecurity>0</DocSecurity>
  <Lines>85</Lines>
  <Paragraphs>24</Paragraphs>
  <ScaleCrop>false</ScaleCrop>
  <Company>Úřad práce ČR</Company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Michal Mgr. (UPP-KRP)</dc:creator>
  <cp:keywords/>
  <dc:description/>
  <cp:lastModifiedBy>Kadlec Michal Mgr. (UPP-KRP)</cp:lastModifiedBy>
  <cp:revision>1</cp:revision>
  <dcterms:created xsi:type="dcterms:W3CDTF">2023-02-02T14:15:00Z</dcterms:created>
  <dcterms:modified xsi:type="dcterms:W3CDTF">2023-02-02T14:15:00Z</dcterms:modified>
</cp:coreProperties>
</file>