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4" w:space="0" w:color="E5E5E5"/>
          <w:left w:val="single" w:sz="4" w:space="0" w:color="E5E5E5"/>
          <w:bottom w:val="single" w:sz="4" w:space="4" w:color="E5E5E5"/>
          <w:right w:val="single" w:sz="4" w:space="0" w:color="E5E5E5"/>
        </w:pBdr>
        <w:shd w:val="clear" w:color="auto" w:fill="E5E5E5"/>
        <w:bidi w:val="0"/>
        <w:spacing w:before="160" w:after="38" w:line="240" w:lineRule="auto"/>
        <w:ind w:left="0" w:right="0" w:firstLine="0"/>
        <w:jc w:val="left"/>
      </w:pPr>
      <w:r>
        <w:rPr>
          <w:rStyle w:val="CharStyle3"/>
          <w:b/>
          <w:bCs/>
        </w:rPr>
        <w:t>Dodatek č. 10 - Smlouva o obstarání věci č. S 201 102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0" w:right="0" w:firstLine="0"/>
        <w:jc w:val="left"/>
      </w:pPr>
      <w:r>
        <w:rPr>
          <w:rStyle w:val="CharStyle10"/>
          <w:b/>
          <w:bCs/>
        </w:rPr>
        <w:t>uzavřená podle Občanského zákoníku §733 a násl. ve znění pozdějších předpisů</w:t>
      </w:r>
    </w:p>
    <w:tbl>
      <w:tblPr>
        <w:tblOverlap w:val="never"/>
        <w:jc w:val="center"/>
        <w:tblLayout w:type="fixed"/>
      </w:tblPr>
      <w:tblGrid>
        <w:gridCol w:w="1829"/>
        <w:gridCol w:w="6734"/>
      </w:tblGrid>
      <w:tr>
        <w:trPr>
          <w:trHeight w:val="1872" w:hRule="exact"/>
        </w:trPr>
        <w:tc>
          <w:tcPr>
            <w:tcBorders>
              <w:top w:val="single" w:sz="4"/>
              <w:left w:val="single" w:sz="4"/>
            </w:tcBorders>
            <w:shd w:val="clear" w:color="auto" w:fill="E5E5E5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objednatel: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5E5E5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400"/>
              <w:jc w:val="left"/>
            </w:pPr>
            <w:r>
              <w:rPr>
                <w:rStyle w:val="CharStyle12"/>
                <w:b/>
                <w:bCs/>
              </w:rPr>
              <w:t>HYDRIA spol. s.r.o.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400"/>
              <w:jc w:val="left"/>
            </w:pPr>
            <w:r>
              <w:rPr>
                <w:rStyle w:val="CharStyle12"/>
              </w:rPr>
              <w:t>Bedřichov 94, Špindlerův Mlýn, 543 51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400"/>
              <w:jc w:val="left"/>
            </w:pPr>
            <w:r>
              <w:rPr>
                <w:rStyle w:val="CharStyle12"/>
                <w:u w:val="single"/>
              </w:rPr>
              <w:t>Právní nástupce: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400"/>
              <w:jc w:val="left"/>
            </w:pPr>
            <w:r>
              <w:rPr>
                <w:rStyle w:val="CharStyle12"/>
                <w:b/>
                <w:bCs/>
              </w:rPr>
              <w:t>Severočeské vodovody a kanalizace, a.s.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400"/>
              <w:jc w:val="left"/>
            </w:pPr>
            <w:r>
              <w:rPr>
                <w:rStyle w:val="CharStyle12"/>
              </w:rPr>
              <w:t>Přítkovská 1689, Teplice, 415 50</w:t>
            </w: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E5E5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E5E5E5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125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2"/>
              </w:rPr>
              <w:t>IČ:</w:t>
              <w:tab/>
              <w:t>49099451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125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2"/>
              </w:rPr>
              <w:t>DIČ:</w:t>
              <w:tab/>
              <w:t>CZ 49099451</w:t>
            </w:r>
          </w:p>
        </w:tc>
      </w:tr>
      <w:tr>
        <w:trPr>
          <w:trHeight w:val="643" w:hRule="exact"/>
        </w:trPr>
        <w:tc>
          <w:tcPr>
            <w:tcBorders>
              <w:left w:val="single" w:sz="4"/>
            </w:tcBorders>
            <w:shd w:val="clear" w:color="auto" w:fill="E5E5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E5E5E5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0"/>
              <w:jc w:val="left"/>
            </w:pPr>
            <w:r>
              <w:rPr>
                <w:rStyle w:val="CharStyle12"/>
              </w:rPr>
              <w:t>Firma zapsaná v obchodním rejstříku vedeném Krajským soudem v Ústí nad Labem v oddílu B vložka 465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E5E5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E5E5E5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0"/>
              <w:jc w:val="left"/>
            </w:pPr>
            <w:r>
              <w:rPr>
                <w:rStyle w:val="CharStyle12"/>
              </w:rPr>
              <w:t>Bankovní spojení: KB Teplice, číslo účtu: 3507501/0100</w:t>
            </w:r>
          </w:p>
        </w:tc>
      </w:tr>
      <w:tr>
        <w:trPr>
          <w:trHeight w:val="653" w:hRule="exact"/>
        </w:trPr>
        <w:tc>
          <w:tcPr>
            <w:tcBorders>
              <w:left w:val="single" w:sz="4"/>
            </w:tcBorders>
            <w:shd w:val="clear" w:color="auto" w:fill="E5E5E5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představenstva</w:t>
            </w:r>
          </w:p>
        </w:tc>
        <w:tc>
          <w:tcPr>
            <w:tcBorders>
              <w:right w:val="single" w:sz="4"/>
            </w:tcBorders>
            <w:shd w:val="clear" w:color="auto" w:fill="E5E5E5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0"/>
              <w:jc w:val="left"/>
            </w:pPr>
            <w:r>
              <w:rPr>
                <w:rStyle w:val="CharStyle12"/>
              </w:rPr>
              <w:t>Zastoupený: Ing. Davidem Votavou, generálním ředitelem a členem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E5E5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E5E5E5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2"/>
                <w:b/>
                <w:bCs/>
              </w:rPr>
              <w:t>kontaktní adresa:</w:t>
            </w:r>
          </w:p>
        </w:tc>
      </w:tr>
      <w:tr>
        <w:trPr>
          <w:trHeight w:val="1243" w:hRule="exact"/>
        </w:trPr>
        <w:tc>
          <w:tcPr>
            <w:tcBorders>
              <w:left w:val="single" w:sz="4"/>
            </w:tcBorders>
            <w:shd w:val="clear" w:color="auto" w:fill="E5E5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E5E5E5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400"/>
              <w:jc w:val="left"/>
            </w:pPr>
            <w:r>
              <w:rPr>
                <w:rStyle w:val="CharStyle12"/>
                <w:b/>
                <w:bCs/>
              </w:rPr>
              <w:t>Severočeské vodovody a kanalizace, a.s.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400"/>
              <w:jc w:val="left"/>
            </w:pPr>
            <w:r>
              <w:rPr>
                <w:rStyle w:val="CharStyle12"/>
              </w:rPr>
              <w:t>Provoz Špindlerův Mlýn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400"/>
              <w:jc w:val="left"/>
            </w:pPr>
            <w:r>
              <w:rPr>
                <w:rStyle w:val="CharStyle12"/>
              </w:rPr>
              <w:t>Vrchlabská 94, Špindlerův Mlýn, 543 51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E5E5E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E5E5E5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510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2"/>
              </w:rPr>
              <w:t>Kontaktní osoba:</w:t>
              <w:tab/>
              <w:t>tel.: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5" w:right="0" w:firstLine="0"/>
        <w:jc w:val="left"/>
      </w:pPr>
      <w:r>
        <w:rPr>
          <w:rStyle w:val="CharStyle10"/>
          <w:b/>
          <w:bCs/>
        </w:rPr>
        <w:t>a</w:t>
      </w:r>
    </w:p>
    <w:p>
      <w:pPr>
        <w:widowControl w:val="0"/>
        <w:spacing w:after="119" w:line="1" w:lineRule="exact"/>
      </w:pPr>
    </w:p>
    <w:p>
      <w:pPr>
        <w:pStyle w:val="Style15"/>
        <w:keepNext/>
        <w:keepLines/>
        <w:widowControl w:val="0"/>
        <w:pBdr>
          <w:top w:val="single" w:sz="0" w:space="4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pos="2160" w:val="left"/>
        </w:tabs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16"/>
          <w:b/>
          <w:bCs/>
        </w:rPr>
        <w:t>obstaratel:</w:t>
        <w:tab/>
        <w:t>Stanislav Klimenta</w:t>
      </w:r>
      <w:bookmarkEnd w:id="0"/>
    </w:p>
    <w:p>
      <w:pPr>
        <w:pStyle w:val="Style2"/>
        <w:keepNext w:val="0"/>
        <w:keepLines w:val="0"/>
        <w:widowControl w:val="0"/>
        <w:pBdr>
          <w:top w:val="single" w:sz="0" w:space="0" w:color="E5E5E5"/>
          <w:left w:val="single" w:sz="0" w:space="0" w:color="E5E5E5"/>
          <w:bottom w:val="single" w:sz="0" w:space="5" w:color="E5E5E5"/>
          <w:right w:val="single" w:sz="0" w:space="0" w:color="E5E5E5"/>
        </w:pBdr>
        <w:shd w:val="clear" w:color="auto" w:fill="E5E5E5"/>
        <w:bidi w:val="0"/>
        <w:spacing w:before="0" w:after="0" w:line="240" w:lineRule="auto"/>
        <w:ind w:left="2240" w:right="0" w:firstLine="0"/>
        <w:jc w:val="left"/>
      </w:pPr>
      <w:r>
        <w:rPr>
          <w:rStyle w:val="CharStyle3"/>
        </w:rPr>
        <w:t>Mrklov 122, Benecko</w:t>
      </w:r>
    </w:p>
    <w:p>
      <w:pPr>
        <w:pStyle w:val="Style2"/>
        <w:keepNext w:val="0"/>
        <w:keepLines w:val="0"/>
        <w:widowControl w:val="0"/>
        <w:pBdr>
          <w:top w:val="single" w:sz="0" w:space="4" w:color="E5E5E5"/>
          <w:left w:val="single" w:sz="0" w:space="0" w:color="E5E5E5"/>
          <w:bottom w:val="single" w:sz="0" w:space="5" w:color="E5E5E5"/>
          <w:right w:val="single" w:sz="0" w:space="0" w:color="E5E5E5"/>
        </w:pBdr>
        <w:shd w:val="clear" w:color="auto" w:fill="E5E5E5"/>
        <w:tabs>
          <w:tab w:pos="2917" w:val="left"/>
        </w:tabs>
        <w:bidi w:val="0"/>
        <w:spacing w:before="0" w:line="240" w:lineRule="auto"/>
        <w:ind w:left="2240" w:right="0" w:firstLine="0"/>
        <w:jc w:val="left"/>
      </w:pPr>
      <w:r>
        <w:rPr>
          <w:rStyle w:val="CharStyle3"/>
        </w:rPr>
        <w:t>IČ:</w:t>
        <w:tab/>
        <w:t>62016202</w:t>
      </w:r>
    </w:p>
    <w:p>
      <w:pPr>
        <w:pStyle w:val="Style2"/>
        <w:keepNext w:val="0"/>
        <w:keepLines w:val="0"/>
        <w:widowControl w:val="0"/>
        <w:pBdr>
          <w:top w:val="single" w:sz="0" w:space="4" w:color="E5E5E5"/>
          <w:left w:val="single" w:sz="0" w:space="0" w:color="E5E5E5"/>
          <w:bottom w:val="single" w:sz="0" w:space="5" w:color="E5E5E5"/>
          <w:right w:val="single" w:sz="0" w:space="0" w:color="E5E5E5"/>
        </w:pBdr>
        <w:shd w:val="clear" w:color="auto" w:fill="E5E5E5"/>
        <w:tabs>
          <w:tab w:pos="2917" w:val="left"/>
        </w:tabs>
        <w:bidi w:val="0"/>
        <w:spacing w:before="0" w:line="240" w:lineRule="auto"/>
        <w:ind w:left="2240" w:right="0" w:firstLine="0"/>
        <w:jc w:val="left"/>
      </w:pPr>
      <w:r>
        <w:rPr>
          <w:rStyle w:val="CharStyle3"/>
        </w:rPr>
        <w:t>DIČ:</w:t>
        <w:tab/>
        <w:t>CZ^^^^H</w:t>
      </w:r>
    </w:p>
    <w:p>
      <w:pPr>
        <w:pStyle w:val="Style2"/>
        <w:keepNext w:val="0"/>
        <w:keepLines w:val="0"/>
        <w:widowControl w:val="0"/>
        <w:pBdr>
          <w:top w:val="single" w:sz="0" w:space="4" w:color="E5E5E5"/>
          <w:left w:val="single" w:sz="0" w:space="0" w:color="E5E5E5"/>
          <w:bottom w:val="single" w:sz="0" w:space="5" w:color="E5E5E5"/>
          <w:right w:val="single" w:sz="0" w:space="0" w:color="E5E5E5"/>
        </w:pBdr>
        <w:shd w:val="clear" w:color="auto" w:fill="E5E5E5"/>
        <w:bidi w:val="0"/>
        <w:spacing w:before="0" w:line="240" w:lineRule="auto"/>
        <w:ind w:left="2240" w:right="0" w:firstLine="0"/>
        <w:jc w:val="left"/>
      </w:pPr>
      <w:r>
        <w:rPr>
          <w:rStyle w:val="CharStyle3"/>
        </w:rPr>
        <w:t>Bankovní spojení:</w:t>
      </w:r>
    </w:p>
    <w:p>
      <w:pPr>
        <w:pStyle w:val="Style2"/>
        <w:keepNext w:val="0"/>
        <w:keepLines w:val="0"/>
        <w:widowControl w:val="0"/>
        <w:pBdr>
          <w:top w:val="single" w:sz="0" w:space="4" w:color="E5E5E5"/>
          <w:left w:val="single" w:sz="0" w:space="0" w:color="E5E5E5"/>
          <w:bottom w:val="single" w:sz="0" w:space="5" w:color="E5E5E5"/>
          <w:right w:val="single" w:sz="0" w:space="0" w:color="E5E5E5"/>
        </w:pBdr>
        <w:shd w:val="clear" w:color="auto" w:fill="E5E5E5"/>
        <w:bidi w:val="0"/>
        <w:spacing w:before="0" w:after="189" w:line="240" w:lineRule="auto"/>
        <w:ind w:left="2240" w:right="0" w:firstLine="0"/>
        <w:jc w:val="left"/>
      </w:pPr>
      <w:r>
        <w:rPr>
          <w:rStyle w:val="CharStyle3"/>
        </w:rPr>
        <w:t>Kontakt: teL^^^^^^^J</w:t>
      </w:r>
    </w:p>
    <w:p>
      <w:pPr>
        <w:pStyle w:val="Style15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End w:id="2"/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6"/>
          <w:b/>
          <w:bCs/>
        </w:rPr>
        <w:t>Úvodní prohlášení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line="254" w:lineRule="auto"/>
        <w:ind w:left="480" w:right="0" w:hanging="480"/>
        <w:jc w:val="left"/>
      </w:pPr>
      <w:r>
        <w:rPr>
          <w:rStyle w:val="CharStyle3"/>
        </w:rPr>
        <w:t xml:space="preserve">Smluvní strany uzavřely dne 1.3.2004 Smlouvu o obstarání věci </w:t>
      </w:r>
      <w:r>
        <w:rPr>
          <w:rStyle w:val="CharStyle3"/>
          <w:b/>
          <w:bCs/>
          <w:u w:val="single"/>
        </w:rPr>
        <w:t>S 201102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(dále jen “</w:t>
      </w:r>
      <w:r>
        <w:rPr>
          <w:rStyle w:val="CharStyle3"/>
          <w:b/>
          <w:bCs/>
          <w:u w:val="single"/>
        </w:rPr>
        <w:t>Smlouva</w:t>
      </w:r>
      <w:r>
        <w:rPr>
          <w:rStyle w:val="CharStyle3"/>
        </w:rPr>
        <w:t>“).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line="240" w:lineRule="auto"/>
        <w:ind w:left="480" w:right="0" w:hanging="480"/>
        <w:jc w:val="left"/>
      </w:pPr>
      <w:r>
        <w:rPr>
          <w:rStyle w:val="CharStyle3"/>
        </w:rPr>
        <w:t>Smluvní strany mají v úmyslu ustanoveními tohoto dodatku č.10 změnit některá jejich práva a povinnosti ze Smlouvy.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line="240" w:lineRule="auto"/>
        <w:ind w:left="480" w:right="0" w:hanging="480"/>
        <w:jc w:val="left"/>
      </w:pPr>
      <w:r>
        <w:rPr>
          <w:rStyle w:val="CharStyle3"/>
        </w:rPr>
        <w:t>Ustanoveními tohoto dodatku č.10 se od 1.1.2023 mění dotčená ustanovení Smlouvy ve znění pozdějších dodatků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Změny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>Stávající článek č.VI cenové ujednání se mění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Style w:val="CharStyle3"/>
        </w:rPr>
        <w:t>Objednatel uhradí obstarateli za zajiš</w:t>
      </w:r>
      <w:r>
        <w:rPr>
          <w:rStyle w:val="CharStyle3"/>
          <w:u w:val="single"/>
        </w:rPr>
        <w:t>tění předmětu smlouvy, jak je uvedeno ve čl. II, odst.1</w:t>
      </w:r>
      <w:r>
        <w:rPr>
          <w:rStyle w:val="CharStyle3"/>
        </w:rPr>
        <w:t xml:space="preserve"> smluvní částku ^^^^|,- </w:t>
      </w:r>
      <w:r>
        <w:rPr>
          <w:rStyle w:val="CharStyle3"/>
          <w:b/>
          <w:bCs/>
        </w:rPr>
        <w:t xml:space="preserve">Kč </w:t>
      </w:r>
      <w:r>
        <w:rPr>
          <w:rStyle w:val="CharStyle3"/>
        </w:rPr>
        <w:t>( slovy ročně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Částka bude hrazena na základě faktury měsíčně, 1/12 roční částky vždy každého 10.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v měsíci. Podle přílohy č.1.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rStyle w:val="CharStyle3"/>
          <w:i/>
          <w:iCs/>
          <w:u w:val="single"/>
        </w:rPr>
        <w:t>Sazba DPH k těmto cenám bude účtována 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" w:name="bookmark5"/>
      <w:r>
        <w:rPr>
          <w:rStyle w:val="CharStyle16"/>
          <w:b/>
          <w:bCs/>
        </w:rPr>
        <w:t>Závěrečná ustanovení</w:t>
      </w:r>
      <w:bookmarkEnd w:id="5"/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715" w:val="left"/>
        </w:tabs>
        <w:bidi w:val="0"/>
        <w:spacing w:before="0" w:line="240" w:lineRule="auto"/>
        <w:ind w:left="840" w:right="0" w:hanging="840"/>
        <w:jc w:val="left"/>
      </w:pPr>
      <w:r>
        <w:rPr>
          <w:rStyle w:val="CharStyle3"/>
        </w:rPr>
        <w:t>Jiná ustanovení Smlouvy jsou tímto dodatkem číslo 10 nedotčena a zůstávají zachována.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715" w:val="left"/>
        </w:tabs>
        <w:bidi w:val="0"/>
        <w:spacing w:before="0" w:line="240" w:lineRule="auto"/>
        <w:ind w:left="840" w:right="0" w:hanging="840"/>
        <w:jc w:val="left"/>
      </w:pPr>
      <w:r>
        <w:rPr>
          <w:rStyle w:val="CharStyle3"/>
        </w:rPr>
        <w:t>Smluvní strany prohlašují a svými níže uvedenými podpisy potvrzují, že tento dodatek je projevem jejich svobodné a vážné vůle a že jej neuzavřely v tísni za nápadně nevýhodných podmínek.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715" w:val="left"/>
        </w:tabs>
        <w:bidi w:val="0"/>
        <w:spacing w:before="0" w:after="880" w:line="240" w:lineRule="auto"/>
        <w:ind w:left="840" w:right="0" w:hanging="840"/>
        <w:jc w:val="left"/>
      </w:pPr>
      <w:r>
        <w:rPr>
          <w:rStyle w:val="CharStyle3"/>
        </w:rPr>
        <w:t>Tento dodatek č.10 se vyhotovuje ve třech vyhotoveních, z nichž po dvou obdrží objednatel a jedno obdrží obstaratel.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0" w:line="240" w:lineRule="auto"/>
        <w:ind w:left="0" w:right="0" w:firstLine="0"/>
        <w:jc w:val="left"/>
      </w:pPr>
      <w:r>
        <w:rPr>
          <w:rStyle w:val="CharStyle3"/>
        </w:rPr>
        <w:t>V Jilemnici dne 31.12.2022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4891405</wp:posOffset>
                </wp:positionH>
                <wp:positionV relativeFrom="paragraph">
                  <wp:posOffset>12700</wp:posOffset>
                </wp:positionV>
                <wp:extent cx="798830" cy="1739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za obstaratele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5.15000000000003pt;margin-top:1.pt;width:62.899999999999999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 obstaratele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za objednatele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0" w:h="16840"/>
      <w:pgMar w:top="1446" w:right="1663" w:bottom="2814" w:left="1675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10128885</wp:posOffset>
              </wp:positionV>
              <wp:extent cx="30480" cy="850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8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6.15000000000003pt;margin-top:797.55000000000007pt;width:2.3999999999999999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488315</wp:posOffset>
              </wp:positionV>
              <wp:extent cx="557530" cy="977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753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6"/>
                              <w:b/>
                              <w:bCs/>
                              <w:sz w:val="22"/>
                              <w:szCs w:val="22"/>
                            </w:rPr>
                            <w:t>S 201 110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9.15000000000003pt;margin-top:38.450000000000003pt;width:43.899999999999999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6"/>
                        <w:b/>
                        <w:bCs/>
                        <w:sz w:val="22"/>
                        <w:szCs w:val="22"/>
                      </w:rPr>
                      <w:t>S 201 110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</w:lvl>
  </w:abstractNum>
  <w:abstractNum w:abstractNumId="2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auto"/>
      <w:spacing w:after="1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auto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Níže uvedeného roku, měsíce a dne uzavřeli:</dc:title>
  <dc:subject/>
  <dc:creator>Ing. Pavel Nenička</dc:creator>
  <cp:keywords/>
</cp:coreProperties>
</file>