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33" w:rsidRDefault="00E732C2">
      <w:pPr>
        <w:spacing w:after="0"/>
        <w:ind w:left="139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883920</wp:posOffset>
            </wp:positionH>
            <wp:positionV relativeFrom="paragraph">
              <wp:posOffset>-73172</wp:posOffset>
            </wp:positionV>
            <wp:extent cx="798576" cy="542699"/>
            <wp:effectExtent l="0" t="0" r="0" b="0"/>
            <wp:wrapSquare wrapText="bothSides"/>
            <wp:docPr id="2284" name="Picture 2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" name="Picture 22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54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EVROPSKÁ UNIE</w:t>
      </w:r>
    </w:p>
    <w:p w:rsidR="001A0533" w:rsidRDefault="00E732C2">
      <w:pPr>
        <w:spacing w:after="0"/>
        <w:ind w:left="1392"/>
      </w:pPr>
      <w:r>
        <w:rPr>
          <w:sz w:val="18"/>
        </w:rPr>
        <w:t xml:space="preserve">Evropské strukturální a </w:t>
      </w:r>
      <w:proofErr w:type="spellStart"/>
      <w:r>
        <w:rPr>
          <w:sz w:val="18"/>
        </w:rPr>
        <w:t>investični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fmdy</w:t>
      </w:r>
      <w:proofErr w:type="spellEnd"/>
    </w:p>
    <w:p w:rsidR="001A0533" w:rsidRDefault="00E732C2">
      <w:pPr>
        <w:tabs>
          <w:tab w:val="center" w:pos="4351"/>
          <w:tab w:val="center" w:pos="6787"/>
        </w:tabs>
        <w:spacing w:after="32" w:line="216" w:lineRule="auto"/>
      </w:pPr>
      <w:r>
        <w:rPr>
          <w:sz w:val="18"/>
        </w:rPr>
        <w:tab/>
        <w:t>Operační program Výzkum, vývoj a vzděláváni</w:t>
      </w:r>
      <w:r>
        <w:rPr>
          <w:sz w:val="18"/>
        </w:rPr>
        <w:tab/>
        <w:t>MINISTERSVVO</w:t>
      </w:r>
    </w:p>
    <w:p w:rsidR="001A0533" w:rsidRDefault="00E732C2">
      <w:pPr>
        <w:spacing w:after="505"/>
        <w:ind w:left="1392"/>
        <w:jc w:val="center"/>
      </w:pPr>
      <w:proofErr w:type="spellStart"/>
      <w:r>
        <w:rPr>
          <w:sz w:val="12"/>
        </w:rPr>
        <w:t>MLĄnr'żtt</w:t>
      </w:r>
      <w:proofErr w:type="spellEnd"/>
    </w:p>
    <w:p w:rsidR="001A0533" w:rsidRDefault="00E732C2">
      <w:pPr>
        <w:spacing w:after="14"/>
        <w:ind w:left="1046"/>
      </w:pPr>
      <w:r>
        <w:rPr>
          <w:rFonts w:ascii="Calibri" w:eastAsia="Calibri" w:hAnsi="Calibri" w:cs="Calibri"/>
          <w:sz w:val="30"/>
        </w:rPr>
        <w:t xml:space="preserve">Smlouva o administraci projektu - </w:t>
      </w:r>
      <w:proofErr w:type="spellStart"/>
      <w:r>
        <w:rPr>
          <w:rFonts w:ascii="Calibri" w:eastAsia="Calibri" w:hAnsi="Calibri" w:cs="Calibri"/>
          <w:sz w:val="30"/>
        </w:rPr>
        <w:t>Sablony</w:t>
      </w:r>
      <w:proofErr w:type="spellEnd"/>
      <w:r>
        <w:rPr>
          <w:rFonts w:ascii="Calibri" w:eastAsia="Calibri" w:hAnsi="Calibri" w:cs="Calibri"/>
          <w:sz w:val="30"/>
        </w:rPr>
        <w:t xml:space="preserve"> pro SS a VOS II</w:t>
      </w:r>
    </w:p>
    <w:p w:rsidR="001A0533" w:rsidRDefault="00E732C2">
      <w:pPr>
        <w:spacing w:after="0"/>
        <w:ind w:left="86" w:hanging="10"/>
      </w:pPr>
      <w:r>
        <w:rPr>
          <w:rFonts w:ascii="Calibri" w:eastAsia="Calibri" w:hAnsi="Calibri" w:cs="Calibri"/>
          <w:sz w:val="26"/>
        </w:rPr>
        <w:t>Poskytovatel služby:</w:t>
      </w:r>
    </w:p>
    <w:p w:rsidR="001A0533" w:rsidRDefault="00E732C2">
      <w:pPr>
        <w:spacing w:after="7" w:line="249" w:lineRule="auto"/>
        <w:ind w:left="96" w:hanging="5"/>
        <w:jc w:val="both"/>
      </w:pPr>
      <w:proofErr w:type="spellStart"/>
      <w:r>
        <w:rPr>
          <w:rFonts w:ascii="Calibri" w:eastAsia="Calibri" w:hAnsi="Calibri" w:cs="Calibri"/>
          <w:sz w:val="24"/>
        </w:rPr>
        <w:t>Profi</w:t>
      </w:r>
      <w:proofErr w:type="spellEnd"/>
      <w:r>
        <w:rPr>
          <w:rFonts w:ascii="Calibri" w:eastAsia="Calibri" w:hAnsi="Calibri" w:cs="Calibri"/>
          <w:sz w:val="24"/>
        </w:rPr>
        <w:t xml:space="preserve"> škola </w:t>
      </w:r>
      <w:proofErr w:type="spellStart"/>
      <w:r>
        <w:rPr>
          <w:rFonts w:ascii="Calibri" w:eastAsia="Calibri" w:hAnsi="Calibri" w:cs="Calibri"/>
          <w:sz w:val="24"/>
        </w:rPr>
        <w:t>solution</w:t>
      </w:r>
      <w:proofErr w:type="spellEnd"/>
      <w:r>
        <w:rPr>
          <w:rFonts w:ascii="Calibri" w:eastAsia="Calibri" w:hAnsi="Calibri" w:cs="Calibri"/>
          <w:sz w:val="24"/>
        </w:rPr>
        <w:t xml:space="preserve"> s.r.o.</w:t>
      </w:r>
    </w:p>
    <w:p w:rsidR="001A0533" w:rsidRDefault="00E732C2">
      <w:pPr>
        <w:spacing w:after="7" w:line="249" w:lineRule="auto"/>
        <w:ind w:left="2203" w:hanging="2102"/>
        <w:jc w:val="both"/>
      </w:pPr>
      <w:r>
        <w:rPr>
          <w:rFonts w:ascii="Calibri" w:eastAsia="Calibri" w:hAnsi="Calibri" w:cs="Calibri"/>
          <w:sz w:val="24"/>
        </w:rPr>
        <w:t>Se sídlem: 5. května 163, 356 01 Sokolov 048 41 247</w:t>
      </w:r>
    </w:p>
    <w:p w:rsidR="001A0533" w:rsidRDefault="00E732C2">
      <w:pPr>
        <w:tabs>
          <w:tab w:val="center" w:pos="4246"/>
        </w:tabs>
        <w:spacing w:after="7" w:line="249" w:lineRule="auto"/>
      </w:pPr>
      <w:r>
        <w:rPr>
          <w:rFonts w:ascii="Calibri" w:eastAsia="Calibri" w:hAnsi="Calibri" w:cs="Calibri"/>
          <w:sz w:val="24"/>
        </w:rPr>
        <w:t>Zastoupena:</w:t>
      </w:r>
      <w:r>
        <w:rPr>
          <w:rFonts w:ascii="Calibri" w:eastAsia="Calibri" w:hAnsi="Calibri" w:cs="Calibri"/>
          <w:sz w:val="24"/>
        </w:rPr>
        <w:tab/>
        <w:t>Davidem Lokajem, jednatelem společnosti</w:t>
      </w:r>
    </w:p>
    <w:p w:rsidR="001A0533" w:rsidRDefault="00E732C2">
      <w:pPr>
        <w:tabs>
          <w:tab w:val="center" w:pos="4351"/>
        </w:tabs>
        <w:spacing w:after="7" w:line="249" w:lineRule="auto"/>
      </w:pPr>
      <w:r>
        <w:rPr>
          <w:rFonts w:ascii="Calibri" w:eastAsia="Calibri" w:hAnsi="Calibri" w:cs="Calibri"/>
          <w:sz w:val="24"/>
        </w:rPr>
        <w:t>Kontaktní údaje:</w:t>
      </w:r>
      <w:r>
        <w:rPr>
          <w:rFonts w:ascii="Calibri" w:eastAsia="Calibri" w:hAnsi="Calibri" w:cs="Calibri"/>
          <w:sz w:val="24"/>
        </w:rPr>
        <w:tab/>
        <w:t xml:space="preserve">Email: </w:t>
      </w:r>
      <w:r>
        <w:rPr>
          <w:rFonts w:ascii="Calibri" w:eastAsia="Calibri" w:hAnsi="Calibri" w:cs="Calibri"/>
          <w:sz w:val="24"/>
          <w:u w:val="single" w:color="000000"/>
        </w:rPr>
        <w:t>infonprofi-skola.cz,</w:t>
      </w:r>
      <w:r>
        <w:rPr>
          <w:rFonts w:ascii="Calibri" w:eastAsia="Calibri" w:hAnsi="Calibri" w:cs="Calibri"/>
          <w:sz w:val="24"/>
        </w:rPr>
        <w:t xml:space="preserve"> tel. 359 901 896</w:t>
      </w:r>
    </w:p>
    <w:p w:rsidR="001A0533" w:rsidRDefault="00E732C2">
      <w:pPr>
        <w:spacing w:after="248" w:line="249" w:lineRule="auto"/>
        <w:ind w:left="91" w:hanging="5"/>
        <w:jc w:val="both"/>
      </w:pPr>
      <w:r>
        <w:rPr>
          <w:rFonts w:ascii="Calibri" w:eastAsia="Calibri" w:hAnsi="Calibri" w:cs="Calibri"/>
          <w:sz w:val="24"/>
        </w:rPr>
        <w:t>Zapsána u Krajského soudu v Plzni, oddíl C, vložka 32350 (dále „Poskytovatel”)</w:t>
      </w:r>
    </w:p>
    <w:p w:rsidR="001A0533" w:rsidRDefault="00E732C2">
      <w:pPr>
        <w:spacing w:after="0"/>
        <w:ind w:left="86" w:hanging="10"/>
      </w:pPr>
      <w:r>
        <w:rPr>
          <w:rFonts w:ascii="Calibri" w:eastAsia="Calibri" w:hAnsi="Calibri" w:cs="Calibri"/>
          <w:sz w:val="26"/>
        </w:rPr>
        <w:t>Příjemce služby</w:t>
      </w:r>
    </w:p>
    <w:p w:rsidR="001A0533" w:rsidRDefault="00E732C2">
      <w:pPr>
        <w:spacing w:after="7" w:line="249" w:lineRule="auto"/>
        <w:ind w:left="101" w:hanging="5"/>
        <w:jc w:val="both"/>
      </w:pPr>
      <w:r>
        <w:rPr>
          <w:rFonts w:ascii="Calibri" w:eastAsia="Calibri" w:hAnsi="Calibri" w:cs="Calibri"/>
          <w:sz w:val="24"/>
        </w:rPr>
        <w:t>Střední škola F. D. Roosevelta Brno, příspěvková organizace.</w:t>
      </w:r>
    </w:p>
    <w:p w:rsidR="001A0533" w:rsidRDefault="00E732C2">
      <w:pPr>
        <w:spacing w:after="7" w:line="249" w:lineRule="auto"/>
        <w:ind w:left="91" w:right="4459" w:hanging="5"/>
        <w:jc w:val="both"/>
      </w:pPr>
      <w:r>
        <w:rPr>
          <w:rFonts w:ascii="Calibri" w:eastAsia="Calibri" w:hAnsi="Calibri" w:cs="Calibri"/>
          <w:sz w:val="24"/>
        </w:rPr>
        <w:t xml:space="preserve">Se sídlem: Křižíkova 1694/11, 612 00 Brno </w:t>
      </w:r>
      <w:proofErr w:type="spellStart"/>
      <w:r>
        <w:rPr>
          <w:rFonts w:ascii="Calibri" w:eastAsia="Calibri" w:hAnsi="Calibri" w:cs="Calibri"/>
          <w:sz w:val="24"/>
        </w:rPr>
        <w:t>lč</w:t>
      </w:r>
      <w:proofErr w:type="spellEnd"/>
      <w:r>
        <w:rPr>
          <w:rFonts w:ascii="Calibri" w:eastAsia="Calibri" w:hAnsi="Calibri" w:cs="Calibri"/>
          <w:sz w:val="24"/>
        </w:rPr>
        <w:t>: 00567191</w:t>
      </w:r>
    </w:p>
    <w:p w:rsidR="001A0533" w:rsidRDefault="00E732C2">
      <w:pPr>
        <w:spacing w:after="7" w:line="249" w:lineRule="auto"/>
        <w:ind w:left="87" w:hanging="5"/>
        <w:jc w:val="both"/>
      </w:pPr>
      <w:r>
        <w:rPr>
          <w:rFonts w:ascii="Calibri" w:eastAsia="Calibri" w:hAnsi="Calibri" w:cs="Calibri"/>
          <w:sz w:val="24"/>
        </w:rPr>
        <w:t>Jednající osoba: Ing. Miroslava Zahradníková</w:t>
      </w:r>
    </w:p>
    <w:p w:rsidR="001A0533" w:rsidRDefault="00E732C2">
      <w:pPr>
        <w:spacing w:after="676" w:line="249" w:lineRule="auto"/>
        <w:ind w:left="149" w:hanging="5"/>
        <w:jc w:val="both"/>
      </w:pPr>
      <w:r>
        <w:rPr>
          <w:rFonts w:ascii="Calibri" w:eastAsia="Calibri" w:hAnsi="Calibri" w:cs="Calibri"/>
          <w:sz w:val="24"/>
        </w:rPr>
        <w:t>(dále jen „Příjemce”)</w:t>
      </w:r>
    </w:p>
    <w:p w:rsidR="001A0533" w:rsidRDefault="00E732C2">
      <w:pPr>
        <w:pStyle w:val="Nadpis1"/>
        <w:tabs>
          <w:tab w:val="center" w:pos="2717"/>
          <w:tab w:val="center" w:pos="5141"/>
        </w:tabs>
        <w:ind w:left="0"/>
        <w:jc w:val="left"/>
      </w:pPr>
      <w:r>
        <w:rPr>
          <w:rFonts w:ascii="Times New Roman" w:eastAsia="Times New Roman" w:hAnsi="Times New Roman" w:cs="Times New Roman"/>
        </w:rPr>
        <w:tab/>
      </w:r>
      <w:r>
        <w:t>1.</w:t>
      </w:r>
      <w:r>
        <w:tab/>
        <w:t>Předmět a termíny plnění smlouvy</w:t>
      </w:r>
    </w:p>
    <w:p w:rsidR="001A0533" w:rsidRDefault="00E732C2">
      <w:pPr>
        <w:numPr>
          <w:ilvl w:val="0"/>
          <w:numId w:val="1"/>
        </w:numPr>
        <w:spacing w:after="569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Předmětem této smlouvy je poskytnutí služeb spočívajících v pomoci s administrací projektu realizovaného z výzvy č. 02 18 065 / 02 18 066 (Podpora škol formou projektů zjednodušeného vykazování — Šablony pro SŠ a VOŠ II) vyhlášené Ministerstvem školství, mládeže a tělovýchovy.</w:t>
      </w:r>
    </w:p>
    <w:p w:rsidR="001A0533" w:rsidRDefault="00E732C2">
      <w:pPr>
        <w:numPr>
          <w:ilvl w:val="0"/>
          <w:numId w:val="1"/>
        </w:numPr>
        <w:spacing w:after="157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Poskytovatel se zavazuje poskytnout Příjemci tyto služby:</w:t>
      </w:r>
    </w:p>
    <w:p w:rsidR="001A0533" w:rsidRDefault="00E732C2">
      <w:pPr>
        <w:spacing w:after="226" w:line="249" w:lineRule="auto"/>
        <w:ind w:left="423" w:hanging="5"/>
        <w:jc w:val="both"/>
      </w:pPr>
      <w:r>
        <w:rPr>
          <w:rFonts w:ascii="Calibri" w:eastAsia="Calibri" w:hAnsi="Calibri" w:cs="Calibri"/>
          <w:sz w:val="24"/>
        </w:rPr>
        <w:t>Administrovat a koordinovat proces realizace a vykazování během doby trvání projektu Příjemce.</w:t>
      </w:r>
    </w:p>
    <w:p w:rsidR="001A0533" w:rsidRDefault="00E732C2">
      <w:pPr>
        <w:numPr>
          <w:ilvl w:val="1"/>
          <w:numId w:val="1"/>
        </w:numPr>
        <w:spacing w:after="63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Osobní konzultace ze strany Poskytovatele v místě sídla Příjemce.</w:t>
      </w:r>
    </w:p>
    <w:p w:rsidR="001A0533" w:rsidRDefault="00E732C2">
      <w:pPr>
        <w:numPr>
          <w:ilvl w:val="1"/>
          <w:numId w:val="1"/>
        </w:numPr>
        <w:spacing w:after="51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Metodické vedení při zaměstnávání zaměstnanců projektu, účtování výdajů projektu, cestovních příkazů aj.</w:t>
      </w:r>
    </w:p>
    <w:p w:rsidR="001A0533" w:rsidRDefault="00E732C2">
      <w:pPr>
        <w:numPr>
          <w:ilvl w:val="1"/>
          <w:numId w:val="1"/>
        </w:numPr>
        <w:spacing w:after="7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Monitoring a reflexe změn podmínek realizace projektu.</w:t>
      </w:r>
    </w:p>
    <w:p w:rsidR="001A0533" w:rsidRDefault="00E732C2">
      <w:pPr>
        <w:numPr>
          <w:ilvl w:val="1"/>
          <w:numId w:val="1"/>
        </w:numPr>
        <w:spacing w:after="7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Zajištění metodiky realizace projektu vč. konzultací s poskytovatelem dotace.</w:t>
      </w:r>
    </w:p>
    <w:p w:rsidR="001A0533" w:rsidRDefault="00E732C2">
      <w:pPr>
        <w:numPr>
          <w:ilvl w:val="1"/>
          <w:numId w:val="1"/>
        </w:numPr>
        <w:spacing w:after="7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Proškolení a přímá podpora členů realizačního týmu.</w:t>
      </w:r>
    </w:p>
    <w:p w:rsidR="001A0533" w:rsidRDefault="00E732C2">
      <w:pPr>
        <w:numPr>
          <w:ilvl w:val="1"/>
          <w:numId w:val="1"/>
        </w:numPr>
        <w:spacing w:after="7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Organizování výběrového řízení a pomoc s poptávkovým řízením.</w:t>
      </w:r>
    </w:p>
    <w:p w:rsidR="001A0533" w:rsidRDefault="00E732C2">
      <w:pPr>
        <w:numPr>
          <w:ilvl w:val="1"/>
          <w:numId w:val="1"/>
        </w:numPr>
        <w:spacing w:after="54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Spolupráce při zpracování a aktualizaci projektové dokumentace (rozpočty, harmonogramy atd.).</w:t>
      </w:r>
    </w:p>
    <w:p w:rsidR="001A0533" w:rsidRDefault="00E732C2">
      <w:pPr>
        <w:spacing w:after="44" w:line="249" w:lineRule="auto"/>
        <w:ind w:left="758" w:hanging="5"/>
        <w:jc w:val="both"/>
      </w:pPr>
      <w:r>
        <w:rPr>
          <w:noProof/>
        </w:rPr>
        <w:drawing>
          <wp:inline distT="0" distB="0" distL="0" distR="0">
            <wp:extent cx="85344" cy="85368"/>
            <wp:effectExtent l="0" t="0" r="0" b="0"/>
            <wp:docPr id="12588" name="Picture 1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" name="Picture 125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Vyjednávání změn v projektu s poskytovatelem dotace.</w:t>
      </w:r>
    </w:p>
    <w:p w:rsidR="001A0533" w:rsidRDefault="00E732C2">
      <w:pPr>
        <w:numPr>
          <w:ilvl w:val="1"/>
          <w:numId w:val="1"/>
        </w:numPr>
        <w:spacing w:after="46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Pomoc se zajištěním a dodržováním pravidel publicity projektu.</w:t>
      </w:r>
    </w:p>
    <w:p w:rsidR="001A0533" w:rsidRDefault="00E732C2">
      <w:pPr>
        <w:spacing w:after="62" w:line="249" w:lineRule="auto"/>
        <w:ind w:left="1094" w:right="403" w:hanging="341"/>
        <w:jc w:val="both"/>
      </w:pPr>
      <w:r>
        <w:rPr>
          <w:noProof/>
        </w:rPr>
        <w:lastRenderedPageBreak/>
        <w:drawing>
          <wp:inline distT="0" distB="0" distL="0" distR="0">
            <wp:extent cx="60960" cy="97564"/>
            <wp:effectExtent l="0" t="0" r="0" b="0"/>
            <wp:docPr id="12590" name="Picture 1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" name="Picture 125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>Pomoc se zajištěním akreditovaných kurzů DVPP a dalších dodavatelů služeb v rámci projektu.</w:t>
      </w:r>
    </w:p>
    <w:p w:rsidR="001A0533" w:rsidRDefault="00E732C2">
      <w:pPr>
        <w:numPr>
          <w:ilvl w:val="1"/>
          <w:numId w:val="1"/>
        </w:numPr>
        <w:spacing w:after="7" w:line="249" w:lineRule="auto"/>
        <w:ind w:hanging="355"/>
        <w:jc w:val="both"/>
      </w:pPr>
      <w:r>
        <w:rPr>
          <w:rFonts w:ascii="Calibri" w:eastAsia="Calibri" w:hAnsi="Calibri" w:cs="Calibri"/>
          <w:sz w:val="24"/>
        </w:rPr>
        <w:t>Vykazování a uchovávání dokladů o dosažení výstupů a monitorovacích indikátorů projektu.</w:t>
      </w:r>
    </w:p>
    <w:p w:rsidR="001A0533" w:rsidRDefault="00E732C2">
      <w:pPr>
        <w:numPr>
          <w:ilvl w:val="1"/>
          <w:numId w:val="1"/>
        </w:numPr>
        <w:spacing w:after="0" w:line="267" w:lineRule="auto"/>
        <w:ind w:hanging="355"/>
        <w:jc w:val="both"/>
      </w:pPr>
      <w:r>
        <w:rPr>
          <w:sz w:val="24"/>
        </w:rPr>
        <w:t>Kontrola výstupů projektu a jejich uznatelnosti.</w:t>
      </w:r>
    </w:p>
    <w:p w:rsidR="001A0533" w:rsidRDefault="00E732C2">
      <w:pPr>
        <w:numPr>
          <w:ilvl w:val="1"/>
          <w:numId w:val="1"/>
        </w:numPr>
        <w:spacing w:after="27" w:line="267" w:lineRule="auto"/>
        <w:ind w:hanging="355"/>
        <w:jc w:val="both"/>
      </w:pPr>
      <w:r>
        <w:rPr>
          <w:sz w:val="24"/>
        </w:rPr>
        <w:t>Pomoc se zpracováním povinného dotazníkového šetření</w:t>
      </w:r>
    </w:p>
    <w:p w:rsidR="001A0533" w:rsidRDefault="00E732C2">
      <w:pPr>
        <w:numPr>
          <w:ilvl w:val="1"/>
          <w:numId w:val="1"/>
        </w:numPr>
        <w:spacing w:after="27" w:line="267" w:lineRule="auto"/>
        <w:ind w:hanging="355"/>
        <w:jc w:val="both"/>
      </w:pPr>
      <w:r>
        <w:rPr>
          <w:sz w:val="24"/>
        </w:rPr>
        <w:t>Zpracování průběžných zpráv o realizaci projektu a závěrečné zprávy o realizaci vč. závěrečného vyúčtování, pomoc s archivací projektové dokumentace.</w:t>
      </w:r>
    </w:p>
    <w:p w:rsidR="001A0533" w:rsidRDefault="00E732C2">
      <w:pPr>
        <w:numPr>
          <w:ilvl w:val="1"/>
          <w:numId w:val="1"/>
        </w:numPr>
        <w:spacing w:after="3" w:line="267" w:lineRule="auto"/>
        <w:ind w:hanging="355"/>
        <w:jc w:val="both"/>
      </w:pPr>
      <w:proofErr w:type="spellStart"/>
      <w:r>
        <w:rPr>
          <w:sz w:val="24"/>
        </w:rPr>
        <w:t>Učast</w:t>
      </w:r>
      <w:proofErr w:type="spellEnd"/>
      <w:r>
        <w:rPr>
          <w:sz w:val="24"/>
        </w:rPr>
        <w:t xml:space="preserve"> a spolupráce při kontrolách na místě.</w:t>
      </w:r>
    </w:p>
    <w:p w:rsidR="001A0533" w:rsidRDefault="00E732C2">
      <w:pPr>
        <w:numPr>
          <w:ilvl w:val="1"/>
          <w:numId w:val="1"/>
        </w:numPr>
        <w:spacing w:after="620" w:line="267" w:lineRule="auto"/>
        <w:ind w:hanging="355"/>
        <w:jc w:val="both"/>
      </w:pPr>
      <w:r>
        <w:rPr>
          <w:sz w:val="24"/>
        </w:rPr>
        <w:t>Zajištění ubytování na workshopu (v případě, že bude pro příjemce organizován)</w:t>
      </w:r>
    </w:p>
    <w:p w:rsidR="001A0533" w:rsidRDefault="00E732C2">
      <w:pPr>
        <w:pStyle w:val="Nadpis2"/>
        <w:tabs>
          <w:tab w:val="center" w:pos="4102"/>
          <w:tab w:val="center" w:pos="5136"/>
        </w:tabs>
        <w:ind w:left="0" w:firstLine="0"/>
        <w:jc w:val="left"/>
      </w:pPr>
      <w:r>
        <w:tab/>
        <w:t xml:space="preserve">II. </w:t>
      </w:r>
      <w:r>
        <w:tab/>
        <w:t>Odměna</w:t>
      </w:r>
    </w:p>
    <w:p w:rsidR="001A0533" w:rsidRDefault="00E732C2">
      <w:pPr>
        <w:spacing w:after="4" w:line="240" w:lineRule="auto"/>
        <w:ind w:left="123" w:right="367" w:hanging="29"/>
        <w:jc w:val="center"/>
      </w:pPr>
      <w:r>
        <w:rPr>
          <w:sz w:val="24"/>
        </w:rPr>
        <w:t>l) Za služby uvedené v odstavci I. v bodě 2, poskytne Příjemce Poskytovateli odměnu ve výši 8% (vč. DPH) z celkové částky způsobilých nákladů projektu. Tato odměna je splatná po zahájení realizace projektu a bude hrazena výlučně z prostředků dotace.</w:t>
      </w:r>
    </w:p>
    <w:p w:rsidR="001A0533" w:rsidRDefault="00E732C2">
      <w:pPr>
        <w:numPr>
          <w:ilvl w:val="0"/>
          <w:numId w:val="2"/>
        </w:numPr>
        <w:spacing w:after="27" w:line="267" w:lineRule="auto"/>
        <w:ind w:left="423" w:hanging="356"/>
      </w:pPr>
      <w:r>
        <w:rPr>
          <w:sz w:val="24"/>
        </w:rPr>
        <w:t>Poskytovatel má na odměnu dle bodu 1) tohoto článku nárok pouze v případě, že projektová žádost bude schválena a Příjemce obdrží na svůj účet finanční prostředky dotace.</w:t>
      </w:r>
    </w:p>
    <w:p w:rsidR="001A0533" w:rsidRDefault="00E732C2">
      <w:pPr>
        <w:numPr>
          <w:ilvl w:val="0"/>
          <w:numId w:val="2"/>
        </w:numPr>
        <w:spacing w:after="27" w:line="267" w:lineRule="auto"/>
        <w:ind w:left="423" w:hanging="356"/>
      </w:pPr>
      <w:r>
        <w:rPr>
          <w:sz w:val="24"/>
        </w:rPr>
        <w:t>Výše uvedená odměna je konečná a Poskytovatel nemá nárok ji jakkoliv navyšovat (např. nárokováním cestovného apod.).</w:t>
      </w:r>
    </w:p>
    <w:p w:rsidR="001A0533" w:rsidRDefault="00E732C2">
      <w:pPr>
        <w:numPr>
          <w:ilvl w:val="0"/>
          <w:numId w:val="2"/>
        </w:numPr>
        <w:spacing w:after="609" w:line="267" w:lineRule="auto"/>
        <w:ind w:left="423" w:hanging="356"/>
      </w:pPr>
      <w:r>
        <w:rPr>
          <w:sz w:val="24"/>
        </w:rPr>
        <w:t>Odměna dle bodu 1) tohoto článku bude vyplacena poměrně, v závislosti na obdržených prostředcích z MŠMT a to na základě daňového dokladu (faktury) vystaveného Poskytovatelem.</w:t>
      </w:r>
    </w:p>
    <w:p w:rsidR="001A0533" w:rsidRDefault="00E732C2">
      <w:pPr>
        <w:pStyle w:val="Nadpis2"/>
        <w:ind w:right="29"/>
      </w:pPr>
      <w:r>
        <w:t>III. Odpovědnost Poskytovatele</w:t>
      </w:r>
    </w:p>
    <w:p w:rsidR="001A0533" w:rsidRDefault="00E732C2">
      <w:pPr>
        <w:spacing w:after="27" w:line="267" w:lineRule="auto"/>
        <w:ind w:left="423" w:hanging="356"/>
      </w:pPr>
      <w:r>
        <w:rPr>
          <w:sz w:val="24"/>
        </w:rPr>
        <w:t>l) Poskytovatel přebírá odpovědnost za nesrovnalosti či chyby vzniklé v důsledku jeho činnosti.</w:t>
      </w:r>
    </w:p>
    <w:p w:rsidR="001A0533" w:rsidRDefault="00E732C2">
      <w:pPr>
        <w:spacing w:after="643" w:line="267" w:lineRule="auto"/>
        <w:ind w:left="423" w:hanging="356"/>
      </w:pPr>
      <w:r>
        <w:rPr>
          <w:sz w:val="24"/>
        </w:rPr>
        <w:t>2) Poskytovatel se zavazuje uhradit škodu vzniklou příjemci na základě chybného jednání Poskytovatele.</w:t>
      </w:r>
    </w:p>
    <w:p w:rsidR="001A0533" w:rsidRDefault="00E732C2">
      <w:pPr>
        <w:pStyle w:val="Nadpis2"/>
        <w:tabs>
          <w:tab w:val="center" w:pos="3384"/>
          <w:tab w:val="center" w:pos="5110"/>
        </w:tabs>
        <w:ind w:left="0" w:firstLine="0"/>
        <w:jc w:val="left"/>
      </w:pPr>
      <w:r>
        <w:tab/>
        <w:t xml:space="preserve">IV. </w:t>
      </w:r>
      <w:r>
        <w:tab/>
        <w:t>Odpovědnost Příjemce</w:t>
      </w:r>
    </w:p>
    <w:p w:rsidR="001A0533" w:rsidRDefault="00E732C2">
      <w:pPr>
        <w:spacing w:after="7" w:line="264" w:lineRule="auto"/>
        <w:ind w:left="393" w:right="4" w:hanging="336"/>
        <w:jc w:val="both"/>
      </w:pPr>
      <w:r>
        <w:rPr>
          <w:sz w:val="24"/>
        </w:rPr>
        <w:t>l) Příjemce je povinen dokládat průběžně výstupy ke zprávě o realizaci, nejpozději však do 14 kalendářních dnů před termínem pro předložení zprávy o realizaci. V případě nedodržení tohoto termínu může být požadována kompenzace nad rámec odměny dle článku II. této smlouvy.</w:t>
      </w:r>
    </w:p>
    <w:p w:rsidR="001A0533" w:rsidRDefault="00E732C2">
      <w:pPr>
        <w:spacing w:after="602" w:line="267" w:lineRule="auto"/>
        <w:ind w:left="423" w:hanging="356"/>
      </w:pPr>
      <w:r>
        <w:rPr>
          <w:sz w:val="24"/>
        </w:rPr>
        <w:t>2) Příjemce je povinen informovat Poskytovatele o veškeré komunikaci (telefonické a elektronické) týkající se realizace projektu.</w:t>
      </w:r>
    </w:p>
    <w:p w:rsidR="001A0533" w:rsidRDefault="00E732C2">
      <w:pPr>
        <w:pStyle w:val="Nadpis2"/>
        <w:ind w:right="787"/>
      </w:pPr>
      <w:r>
        <w:t>V. Ochrana osobních údajů</w:t>
      </w:r>
    </w:p>
    <w:p w:rsidR="001A0533" w:rsidRDefault="00E732C2">
      <w:pPr>
        <w:numPr>
          <w:ilvl w:val="0"/>
          <w:numId w:val="3"/>
        </w:numPr>
        <w:spacing w:after="7" w:line="264" w:lineRule="auto"/>
        <w:ind w:right="4" w:hanging="355"/>
        <w:jc w:val="both"/>
      </w:pPr>
      <w:r>
        <w:rPr>
          <w:sz w:val="24"/>
        </w:rPr>
        <w:t xml:space="preserve">Na základě této smlouvy zmocňuje příjemce služby poskytovatele ke zpracování osobních údajů potřebných k zajištění procesu podání žádosti a následné administrace projektu. </w:t>
      </w:r>
      <w:r>
        <w:rPr>
          <w:sz w:val="24"/>
        </w:rPr>
        <w:lastRenderedPageBreak/>
        <w:t>Poskytovatel zpracovává osobní údaje v souladu se Zákonem a v rozsahu daném pravidly Operačního programu Výzkum, Vývoj a Vzdělávání.</w:t>
      </w:r>
    </w:p>
    <w:p w:rsidR="001A0533" w:rsidRDefault="00E732C2">
      <w:pPr>
        <w:numPr>
          <w:ilvl w:val="0"/>
          <w:numId w:val="3"/>
        </w:numPr>
        <w:spacing w:after="27" w:line="267" w:lineRule="auto"/>
        <w:ind w:right="4" w:hanging="355"/>
        <w:jc w:val="both"/>
      </w:pPr>
      <w:r>
        <w:rPr>
          <w:sz w:val="24"/>
        </w:rPr>
        <w:t>Poskytovatel je povinen pracovat s podklady a s údaji, které obsahují osobní údaje příjemce služby ve smyslu Zákona a které je třeba využívat a chránit v souladu se Zákonem.</w:t>
      </w:r>
    </w:p>
    <w:p w:rsidR="001A0533" w:rsidRDefault="00E732C2">
      <w:pPr>
        <w:numPr>
          <w:ilvl w:val="0"/>
          <w:numId w:val="3"/>
        </w:numPr>
        <w:spacing w:after="649" w:line="235" w:lineRule="auto"/>
        <w:ind w:right="4" w:hanging="355"/>
        <w:jc w:val="both"/>
      </w:pPr>
      <w:r>
        <w:rPr>
          <w:sz w:val="24"/>
        </w:rPr>
        <w:t>Poskytovatel služby zajistí, aby jeho zaměstnanci pracující s projektovými složkami byli v souladu s platnými právními předpisy vázáni povinností mlčenlivosti ve smyslu Zákona a poučeni o možných následcích pro případ porušení této povinnosti.</w:t>
      </w:r>
    </w:p>
    <w:p w:rsidR="001A0533" w:rsidRDefault="00E732C2">
      <w:pPr>
        <w:spacing w:after="0" w:line="262" w:lineRule="auto"/>
        <w:ind w:left="24" w:right="53" w:firstLine="3374"/>
      </w:pPr>
      <w:r>
        <w:rPr>
          <w:sz w:val="24"/>
        </w:rPr>
        <w:t xml:space="preserve">VI. </w:t>
      </w:r>
      <w:r>
        <w:rPr>
          <w:sz w:val="24"/>
        </w:rPr>
        <w:tab/>
        <w:t xml:space="preserve">Ukončení smlouvy 1) Poskytovatel má právo odstoupit od smlouvy v případě, že </w:t>
      </w:r>
      <w:proofErr w:type="spellStart"/>
      <w:r>
        <w:rPr>
          <w:sz w:val="24"/>
        </w:rPr>
        <w:t>Příjemceje</w:t>
      </w:r>
      <w:proofErr w:type="spellEnd"/>
      <w:r>
        <w:rPr>
          <w:sz w:val="24"/>
        </w:rPr>
        <w:t xml:space="preserve"> v prodlení s úhradou faktury delším než 15 pracovních dní od splatnosti faktury.</w:t>
      </w:r>
    </w:p>
    <w:p w:rsidR="001A0533" w:rsidRDefault="00E732C2">
      <w:pPr>
        <w:numPr>
          <w:ilvl w:val="0"/>
          <w:numId w:val="4"/>
        </w:numPr>
        <w:spacing w:after="4" w:line="235" w:lineRule="auto"/>
        <w:ind w:right="38" w:hanging="355"/>
        <w:jc w:val="both"/>
      </w:pPr>
      <w:r>
        <w:rPr>
          <w:sz w:val="24"/>
        </w:rPr>
        <w:t>Příjemce má právo odstoupit od smlouvy, pokud Poskytovatel neplní řádně a včas své povinnosti vyplývající pro něj z této smlouvy.</w:t>
      </w:r>
    </w:p>
    <w:p w:rsidR="001A0533" w:rsidRDefault="00E732C2">
      <w:pPr>
        <w:numPr>
          <w:ilvl w:val="0"/>
          <w:numId w:val="4"/>
        </w:numPr>
        <w:spacing w:after="4" w:line="235" w:lineRule="auto"/>
        <w:ind w:right="38" w:hanging="355"/>
        <w:jc w:val="both"/>
      </w:pPr>
      <w:r>
        <w:rPr>
          <w:sz w:val="24"/>
        </w:rPr>
        <w:t>Poskytovatel i Příjemce jsou oprávněni vypovědět smlouvu i bez uvedení důvodu po uhrazení kompenzace druhé smluvní straně ve výši 30% z celkové odměny uvedené v článku II. této smlouvy.</w:t>
      </w:r>
    </w:p>
    <w:p w:rsidR="001A0533" w:rsidRDefault="00E732C2">
      <w:pPr>
        <w:numPr>
          <w:ilvl w:val="0"/>
          <w:numId w:val="4"/>
        </w:numPr>
        <w:spacing w:after="572" w:line="235" w:lineRule="auto"/>
        <w:ind w:right="38" w:hanging="355"/>
        <w:jc w:val="both"/>
      </w:pPr>
      <w:r>
        <w:rPr>
          <w:sz w:val="24"/>
        </w:rPr>
        <w:t>V případě odstoupení od smlouvy ze strany Příjemce, dojde k vyúčtování již uskutečněných služeb Poskytovatele v hodinové sazbě 1 000,- Kč / hod, bez ohledu na výši cen služeb dle článku II. této smlouvy.</w:t>
      </w:r>
    </w:p>
    <w:p w:rsidR="001A0533" w:rsidRDefault="00E732C2">
      <w:pPr>
        <w:pStyle w:val="Nadpis2"/>
        <w:spacing w:after="0"/>
        <w:ind w:left="312" w:firstLine="0"/>
      </w:pPr>
      <w:r>
        <w:t>VII. Obecná ustanovení</w:t>
      </w:r>
    </w:p>
    <w:p w:rsidR="001A0533" w:rsidRDefault="00E732C2">
      <w:pPr>
        <w:numPr>
          <w:ilvl w:val="0"/>
          <w:numId w:val="5"/>
        </w:numPr>
        <w:spacing w:after="4" w:line="235" w:lineRule="auto"/>
        <w:ind w:right="38" w:hanging="355"/>
        <w:jc w:val="both"/>
      </w:pPr>
      <w:r>
        <w:rPr>
          <w:sz w:val="24"/>
        </w:rPr>
        <w:t>Doplňky a změny této smlouvy musí být učiněny písemně formou vzestupně číslovaných dodatků a podepsány oběma smluvními stranami.</w:t>
      </w:r>
    </w:p>
    <w:p w:rsidR="001A0533" w:rsidRDefault="00E732C2">
      <w:pPr>
        <w:numPr>
          <w:ilvl w:val="0"/>
          <w:numId w:val="5"/>
        </w:numPr>
        <w:spacing w:after="4" w:line="235" w:lineRule="auto"/>
        <w:ind w:right="38" w:hanging="355"/>
        <w:jc w:val="both"/>
      </w:pPr>
      <w:r>
        <w:rPr>
          <w:sz w:val="24"/>
        </w:rPr>
        <w:t>Tato smlouva je vyhotovena ve dvou stejnopisech s platností originálu, po jednom pro každou ze smluvních stran.</w:t>
      </w:r>
    </w:p>
    <w:p w:rsidR="001A0533" w:rsidRDefault="00E732C2">
      <w:pPr>
        <w:numPr>
          <w:ilvl w:val="0"/>
          <w:numId w:val="5"/>
        </w:numPr>
        <w:spacing w:after="1120" w:line="235" w:lineRule="auto"/>
        <w:ind w:right="38" w:hanging="355"/>
        <w:jc w:val="both"/>
      </w:pPr>
      <w:r>
        <w:rPr>
          <w:sz w:val="24"/>
        </w:rPr>
        <w:t>Tato smlouva je uzavírána na základě pravé a svobodné vůle smluvních stran, určitě a srozumitelně, nikoliv v tísni.</w:t>
      </w:r>
    </w:p>
    <w:p w:rsidR="001A0533" w:rsidRDefault="00E732C2" w:rsidP="00545846">
      <w:pPr>
        <w:tabs>
          <w:tab w:val="center" w:pos="2966"/>
          <w:tab w:val="center" w:pos="6461"/>
        </w:tabs>
        <w:spacing w:after="339"/>
      </w:pPr>
      <w:r>
        <w:rPr>
          <w:sz w:val="24"/>
        </w:rPr>
        <w:tab/>
      </w:r>
      <w:bookmarkStart w:id="0" w:name="_GoBack"/>
      <w:bookmarkEnd w:id="0"/>
    </w:p>
    <w:sectPr w:rsidR="001A0533">
      <w:footerReference w:type="even" r:id="rId10"/>
      <w:footerReference w:type="default" r:id="rId11"/>
      <w:footerReference w:type="first" r:id="rId12"/>
      <w:pgSz w:w="11904" w:h="16834"/>
      <w:pgMar w:top="835" w:right="1344" w:bottom="1757" w:left="1450" w:header="708" w:footer="10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BE" w:rsidRDefault="00E732C2">
      <w:pPr>
        <w:spacing w:after="0" w:line="240" w:lineRule="auto"/>
      </w:pPr>
      <w:r>
        <w:separator/>
      </w:r>
    </w:p>
  </w:endnote>
  <w:endnote w:type="continuationSeparator" w:id="0">
    <w:p w:rsidR="00336BBE" w:rsidRDefault="00E7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33" w:rsidRDefault="00E732C2">
    <w:pPr>
      <w:spacing w:after="0"/>
      <w:ind w:right="14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6"/>
      </w:rPr>
      <w:t xml:space="preserve">z </w:t>
    </w:r>
    <w:fldSimple w:instr=" NUMPAGES   \* MERGEFORMAT ">
      <w:r>
        <w:rPr>
          <w:sz w:val="24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33" w:rsidRDefault="00E732C2">
    <w:pPr>
      <w:spacing w:after="0"/>
      <w:ind w:right="14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545846">
      <w:rPr>
        <w:noProof/>
      </w:rPr>
      <w:t>3</w:t>
    </w:r>
    <w:r>
      <w:fldChar w:fldCharType="end"/>
    </w:r>
    <w:r>
      <w:t xml:space="preserve"> </w:t>
    </w:r>
    <w:r>
      <w:rPr>
        <w:sz w:val="26"/>
      </w:rPr>
      <w:t xml:space="preserve">z </w:t>
    </w:r>
    <w:fldSimple w:instr=" NUMPAGES   \* MERGEFORMAT ">
      <w:r w:rsidR="00545846" w:rsidRPr="00545846">
        <w:rPr>
          <w:noProof/>
          <w:sz w:val="24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533" w:rsidRDefault="00E732C2">
    <w:pPr>
      <w:spacing w:after="0"/>
      <w:ind w:right="14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6"/>
      </w:rPr>
      <w:t xml:space="preserve">z </w:t>
    </w:r>
    <w:fldSimple w:instr=" NUMPAGES   \* MERGEFORMAT ">
      <w:r>
        <w:rPr>
          <w:sz w:val="24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BE" w:rsidRDefault="00E732C2">
      <w:pPr>
        <w:spacing w:after="0" w:line="240" w:lineRule="auto"/>
      </w:pPr>
      <w:r>
        <w:separator/>
      </w:r>
    </w:p>
  </w:footnote>
  <w:footnote w:type="continuationSeparator" w:id="0">
    <w:p w:rsidR="00336BBE" w:rsidRDefault="00E7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200" o:spid="_x0000_i1026" style="width:6pt;height:6.7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2F6917B1"/>
    <w:multiLevelType w:val="hybridMultilevel"/>
    <w:tmpl w:val="17BE4370"/>
    <w:lvl w:ilvl="0" w:tplc="A7CE1590">
      <w:start w:val="2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208C4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6AB78A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2AB06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4C09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6D38C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84080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8B55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019EA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40FBD"/>
    <w:multiLevelType w:val="hybridMultilevel"/>
    <w:tmpl w:val="E40C381E"/>
    <w:lvl w:ilvl="0" w:tplc="545268F2">
      <w:start w:val="2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6A9E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AD6F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6FF4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C0CC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5D8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E5CA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2819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445A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05195A"/>
    <w:multiLevelType w:val="hybridMultilevel"/>
    <w:tmpl w:val="AD644E72"/>
    <w:lvl w:ilvl="0" w:tplc="EF7E72BA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23D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6D36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29E7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CAC8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0A75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45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43A4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229D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9928F3"/>
    <w:multiLevelType w:val="hybridMultilevel"/>
    <w:tmpl w:val="463CD32E"/>
    <w:lvl w:ilvl="0" w:tplc="23CEE540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4191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8C58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E830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AB5B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C9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EF15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0A05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2A93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E405A2"/>
    <w:multiLevelType w:val="hybridMultilevel"/>
    <w:tmpl w:val="8E1EBCA4"/>
    <w:lvl w:ilvl="0" w:tplc="82A8E6A8">
      <w:start w:val="1"/>
      <w:numFmt w:val="decimal"/>
      <w:lvlText w:val="%1)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90AE">
      <w:start w:val="1"/>
      <w:numFmt w:val="bullet"/>
      <w:lvlText w:val="•"/>
      <w:lvlPicBulletId w:val="0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ECE8C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500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CC15E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C204E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8996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98D6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22EC4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33"/>
    <w:rsid w:val="001A0533"/>
    <w:rsid w:val="00336BBE"/>
    <w:rsid w:val="00545846"/>
    <w:rsid w:val="00E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CA6651-34AD-411B-BB5F-F74B116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91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/>
      <w:ind w:left="45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3</cp:revision>
  <dcterms:created xsi:type="dcterms:W3CDTF">2023-02-02T10:02:00Z</dcterms:created>
  <dcterms:modified xsi:type="dcterms:W3CDTF">2023-02-02T10:04:00Z</dcterms:modified>
</cp:coreProperties>
</file>