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526C" w14:textId="77777777" w:rsidR="0055168B" w:rsidRDefault="0055168B" w:rsidP="00745917">
      <w:pPr>
        <w:jc w:val="both"/>
      </w:pPr>
      <w:r>
        <w:rPr>
          <w:b/>
        </w:rPr>
        <w:t>Krajský úřad Jihomoravského kraje</w:t>
      </w:r>
    </w:p>
    <w:p w14:paraId="15D9E8E1" w14:textId="77777777" w:rsidR="0055168B" w:rsidRDefault="0055168B" w:rsidP="00745917">
      <w:pPr>
        <w:jc w:val="both"/>
      </w:pPr>
      <w:r>
        <w:t xml:space="preserve">Sídlo: </w:t>
      </w:r>
      <w:r w:rsidR="00E2581C">
        <w:t xml:space="preserve">601 82 Brno, Žerotínovo náměstí </w:t>
      </w:r>
      <w:r w:rsidR="001160F0">
        <w:t>449/</w:t>
      </w:r>
      <w:r w:rsidR="00E2581C">
        <w:t>3</w:t>
      </w:r>
    </w:p>
    <w:p w14:paraId="63C7CC17" w14:textId="77777777" w:rsidR="0055168B" w:rsidRDefault="0055168B" w:rsidP="00745917">
      <w:pPr>
        <w:jc w:val="both"/>
      </w:pPr>
      <w:r>
        <w:t>IČ</w:t>
      </w:r>
      <w:r w:rsidR="00BD3F32">
        <w:t>O</w:t>
      </w:r>
      <w:r>
        <w:t>: 70888337</w:t>
      </w:r>
    </w:p>
    <w:p w14:paraId="02ED6BB8" w14:textId="77777777" w:rsidR="0055168B" w:rsidRDefault="0055168B" w:rsidP="00745917">
      <w:pPr>
        <w:jc w:val="both"/>
      </w:pPr>
      <w:r>
        <w:t xml:space="preserve">Bankovní spojení: </w:t>
      </w:r>
      <w:r w:rsidR="00630C1A">
        <w:t xml:space="preserve">Česká národní banka, č. </w:t>
      </w:r>
      <w:proofErr w:type="spellStart"/>
      <w:r w:rsidR="00630C1A">
        <w:t>ú.</w:t>
      </w:r>
      <w:proofErr w:type="spellEnd"/>
      <w:r w:rsidR="00630C1A">
        <w:t>: 20095-110621/0710</w:t>
      </w:r>
    </w:p>
    <w:p w14:paraId="694A31C1" w14:textId="5947984D" w:rsidR="0055168B" w:rsidRDefault="00FA5483" w:rsidP="00745917">
      <w:pPr>
        <w:jc w:val="both"/>
      </w:pPr>
      <w:r>
        <w:t>zastoupený</w:t>
      </w:r>
      <w:r w:rsidR="0055168B">
        <w:t xml:space="preserve"> </w:t>
      </w:r>
      <w:r w:rsidR="00B421D5">
        <w:t>Mgr. Hynk</w:t>
      </w:r>
      <w:r>
        <w:t xml:space="preserve">em </w:t>
      </w:r>
      <w:r w:rsidR="00B421D5">
        <w:t>Nespěšn</w:t>
      </w:r>
      <w:r>
        <w:t>ým</w:t>
      </w:r>
      <w:r w:rsidR="0055168B">
        <w:t>, vedoucí</w:t>
      </w:r>
      <w:r>
        <w:t>m</w:t>
      </w:r>
      <w:r w:rsidR="0055168B">
        <w:t xml:space="preserve"> odboru školství</w:t>
      </w:r>
    </w:p>
    <w:p w14:paraId="5E63B6FE" w14:textId="32653E53" w:rsidR="0055168B" w:rsidRDefault="0055168B" w:rsidP="00745917">
      <w:pPr>
        <w:jc w:val="both"/>
      </w:pPr>
      <w:r>
        <w:t>(</w:t>
      </w:r>
      <w:r w:rsidR="00F44CD6">
        <w:t>dále jen „k</w:t>
      </w:r>
      <w:r>
        <w:t>rajský úřad</w:t>
      </w:r>
      <w:r w:rsidR="00F44CD6">
        <w:t>“</w:t>
      </w:r>
      <w:r>
        <w:t>)</w:t>
      </w:r>
    </w:p>
    <w:p w14:paraId="7114CEA4" w14:textId="77777777" w:rsidR="007A1538" w:rsidRDefault="007A1538" w:rsidP="00745917">
      <w:pPr>
        <w:jc w:val="both"/>
      </w:pPr>
    </w:p>
    <w:p w14:paraId="3270251C" w14:textId="6F5A3544" w:rsidR="0055168B" w:rsidRDefault="007A1538" w:rsidP="00745917">
      <w:pPr>
        <w:jc w:val="both"/>
      </w:pPr>
      <w:r>
        <w:t>a</w:t>
      </w:r>
    </w:p>
    <w:p w14:paraId="6048EF45" w14:textId="77777777" w:rsidR="007A1538" w:rsidRDefault="007A1538" w:rsidP="00745917">
      <w:pPr>
        <w:jc w:val="both"/>
      </w:pPr>
    </w:p>
    <w:p w14:paraId="134C8029" w14:textId="77777777" w:rsidR="00301030" w:rsidRPr="0000017A" w:rsidRDefault="00301030" w:rsidP="00301030">
      <w:pPr>
        <w:jc w:val="both"/>
        <w:rPr>
          <w:b/>
        </w:rPr>
      </w:pPr>
      <w:r>
        <w:rPr>
          <w:b/>
        </w:rPr>
        <w:t xml:space="preserve">Základní umělecká škola Orchidea </w:t>
      </w:r>
      <w:proofErr w:type="spellStart"/>
      <w:r>
        <w:rPr>
          <w:b/>
        </w:rPr>
        <w:t>clasic</w:t>
      </w:r>
      <w:proofErr w:type="spellEnd"/>
      <w:r>
        <w:rPr>
          <w:b/>
        </w:rPr>
        <w:t xml:space="preserve"> s. r.o.</w:t>
      </w:r>
    </w:p>
    <w:p w14:paraId="78DD6854" w14:textId="77777777" w:rsidR="00301030" w:rsidRDefault="00301030" w:rsidP="00301030">
      <w:pPr>
        <w:jc w:val="both"/>
      </w:pPr>
      <w:r>
        <w:t>Sídlo: 6</w:t>
      </w:r>
      <w:r w:rsidR="006B7417">
        <w:t>02</w:t>
      </w:r>
      <w:r>
        <w:t xml:space="preserve"> 00 Brno, </w:t>
      </w:r>
      <w:r w:rsidR="006B7417">
        <w:t>Lidická 700/19</w:t>
      </w:r>
    </w:p>
    <w:p w14:paraId="60F84AA3" w14:textId="77777777" w:rsidR="00301030" w:rsidRDefault="00301030" w:rsidP="00301030">
      <w:pPr>
        <w:jc w:val="both"/>
      </w:pPr>
      <w:r>
        <w:t>IČ</w:t>
      </w:r>
      <w:r w:rsidR="00BD3F32">
        <w:t>O</w:t>
      </w:r>
      <w:r>
        <w:t>: 25317725</w:t>
      </w:r>
    </w:p>
    <w:p w14:paraId="30542D40" w14:textId="77777777" w:rsidR="00301030" w:rsidRDefault="00301030" w:rsidP="00301030">
      <w:pPr>
        <w:jc w:val="both"/>
      </w:pPr>
      <w:r>
        <w:t xml:space="preserve">Bankovní spojení: Československá obchodní banka, č. </w:t>
      </w:r>
      <w:proofErr w:type="spellStart"/>
      <w:r>
        <w:t>ú.</w:t>
      </w:r>
      <w:proofErr w:type="spellEnd"/>
      <w:r>
        <w:t>: 161089368/0300</w:t>
      </w:r>
    </w:p>
    <w:p w14:paraId="2858C884" w14:textId="7E73B998" w:rsidR="00301030" w:rsidRDefault="00FA5483" w:rsidP="00301030">
      <w:pPr>
        <w:jc w:val="both"/>
      </w:pPr>
      <w:r>
        <w:t>zastoupená</w:t>
      </w:r>
      <w:r w:rsidR="00301030">
        <w:t xml:space="preserve"> Mgr. Miroslav</w:t>
      </w:r>
      <w:r>
        <w:t>em</w:t>
      </w:r>
      <w:r w:rsidR="00301030">
        <w:t xml:space="preserve"> Such</w:t>
      </w:r>
      <w:r>
        <w:t>ým</w:t>
      </w:r>
      <w:r w:rsidR="00301030">
        <w:t>, jednatele</w:t>
      </w:r>
      <w:r>
        <w:t>m</w:t>
      </w:r>
    </w:p>
    <w:p w14:paraId="711148BE" w14:textId="72BA76A0" w:rsidR="00C07657" w:rsidRDefault="00301030" w:rsidP="00301030">
      <w:pPr>
        <w:jc w:val="both"/>
      </w:pPr>
      <w:r>
        <w:t>(dále jen „soukromá škola“ nebo „právnická osoba“)</w:t>
      </w:r>
    </w:p>
    <w:p w14:paraId="7665BAF4" w14:textId="77777777" w:rsidR="007A1538" w:rsidRDefault="007A1538" w:rsidP="00301030">
      <w:pPr>
        <w:jc w:val="both"/>
      </w:pPr>
    </w:p>
    <w:p w14:paraId="3F20843B" w14:textId="77777777" w:rsidR="00301030" w:rsidRDefault="00301030" w:rsidP="00301030">
      <w:pPr>
        <w:jc w:val="both"/>
      </w:pPr>
    </w:p>
    <w:p w14:paraId="5D7D91CA" w14:textId="0FA397F7" w:rsidR="0011269E" w:rsidRDefault="00FA5483" w:rsidP="00745917">
      <w:pPr>
        <w:jc w:val="both"/>
      </w:pPr>
      <w:r w:rsidRPr="003876C5">
        <w:t>uzavírají v</w:t>
      </w:r>
      <w:r>
        <w:t> </w:t>
      </w:r>
      <w:r w:rsidRPr="003876C5">
        <w:t>souladu s</w:t>
      </w:r>
      <w:r>
        <w:t> </w:t>
      </w:r>
      <w:r w:rsidRPr="003876C5">
        <w:t>ustanovením § 162 odst. 3 a 4 zákona č. 561/2004 Sb., o předškolním, základním, středním, vyšším odborném a jiném vzdělávání (školský zákon), ve znění pozdějších předpisů</w:t>
      </w:r>
      <w:r>
        <w:t>,</w:t>
      </w:r>
      <w:r w:rsidRPr="003876C5">
        <w:t xml:space="preserve"> ustanoveními</w:t>
      </w:r>
      <w:r>
        <w:t xml:space="preserve"> </w:t>
      </w:r>
      <w:r w:rsidRPr="003876C5">
        <w:t>§ 159 a násl. zákona č. 500/2004 Sb., správní řád, ve</w:t>
      </w:r>
      <w:r>
        <w:t xml:space="preserve"> </w:t>
      </w:r>
      <w:r w:rsidRPr="003876C5">
        <w:t xml:space="preserve">znění pozdějších předpisů </w:t>
      </w:r>
      <w:r>
        <w:t xml:space="preserve">a </w:t>
      </w:r>
      <w:r w:rsidRPr="003876C5">
        <w:t>podle</w:t>
      </w:r>
      <w:r>
        <w:t xml:space="preserve"> </w:t>
      </w:r>
      <w:r w:rsidRPr="003876C5">
        <w:t>zákona č.</w:t>
      </w:r>
      <w:r>
        <w:t xml:space="preserve"> </w:t>
      </w:r>
      <w:r w:rsidRPr="003876C5">
        <w:t>306/1999 Sb., o poskytování dotací soukromým školám, předškolním a</w:t>
      </w:r>
      <w:r>
        <w:t> </w:t>
      </w:r>
      <w:r w:rsidRPr="003876C5">
        <w:t>školským zařízením (dále jen „zákon“), ve znění pozdějších předpisů tuto</w:t>
      </w:r>
    </w:p>
    <w:p w14:paraId="354EE1BA" w14:textId="07C4129C" w:rsidR="0011269E" w:rsidRDefault="0011269E" w:rsidP="00745917">
      <w:pPr>
        <w:jc w:val="both"/>
      </w:pPr>
    </w:p>
    <w:p w14:paraId="080AA87E" w14:textId="77777777" w:rsidR="007A1538" w:rsidRDefault="007A1538" w:rsidP="00745917">
      <w:pPr>
        <w:jc w:val="both"/>
      </w:pPr>
    </w:p>
    <w:p w14:paraId="2E367344" w14:textId="77777777" w:rsidR="0011269E" w:rsidRPr="00AC2293" w:rsidRDefault="0011269E" w:rsidP="00745917">
      <w:pPr>
        <w:jc w:val="center"/>
        <w:rPr>
          <w:b/>
          <w:sz w:val="32"/>
          <w:szCs w:val="32"/>
        </w:rPr>
      </w:pPr>
      <w:r w:rsidRPr="00AC2293">
        <w:rPr>
          <w:b/>
          <w:sz w:val="32"/>
          <w:szCs w:val="32"/>
        </w:rPr>
        <w:t>Smlouvu o poskytnutí dotace</w:t>
      </w:r>
    </w:p>
    <w:p w14:paraId="79F0B13F" w14:textId="1BEE97A2" w:rsidR="0011269E" w:rsidRDefault="0011269E" w:rsidP="00745917">
      <w:pPr>
        <w:jc w:val="both"/>
      </w:pPr>
    </w:p>
    <w:p w14:paraId="2B3BDB9F" w14:textId="77777777" w:rsidR="007A1538" w:rsidRDefault="007A1538" w:rsidP="00745917">
      <w:pPr>
        <w:jc w:val="both"/>
      </w:pPr>
    </w:p>
    <w:p w14:paraId="21CCAAE9" w14:textId="77777777" w:rsidR="0011269E" w:rsidRDefault="0011269E" w:rsidP="00745917">
      <w:pPr>
        <w:jc w:val="center"/>
        <w:rPr>
          <w:b/>
        </w:rPr>
      </w:pPr>
      <w:r>
        <w:rPr>
          <w:b/>
        </w:rPr>
        <w:t>Čl. I</w:t>
      </w:r>
    </w:p>
    <w:p w14:paraId="43C56B36" w14:textId="2E21D097" w:rsidR="00754BD2" w:rsidRPr="002650E8" w:rsidRDefault="00754BD2" w:rsidP="00754BD2">
      <w:pPr>
        <w:jc w:val="both"/>
      </w:pPr>
      <w:r>
        <w:t xml:space="preserve">Předmětem </w:t>
      </w:r>
      <w:r w:rsidRPr="00DE3B94">
        <w:t xml:space="preserve">smlouvy je </w:t>
      </w:r>
      <w:r>
        <w:t>poskytnutí</w:t>
      </w:r>
      <w:r w:rsidRPr="00DE3B94">
        <w:t xml:space="preserve"> dotace podle zákona ve</w:t>
      </w:r>
      <w:r>
        <w:t> </w:t>
      </w:r>
      <w:r w:rsidRPr="00DE3B94">
        <w:t xml:space="preserve">školním roce </w:t>
      </w:r>
      <w:r w:rsidR="00CF0DEC">
        <w:t>20</w:t>
      </w:r>
      <w:r w:rsidR="00B421D5">
        <w:t>2</w:t>
      </w:r>
      <w:r w:rsidR="007A1538">
        <w:t>3</w:t>
      </w:r>
      <w:r w:rsidR="00CF0DEC">
        <w:t>/20</w:t>
      </w:r>
      <w:r w:rsidR="00800A91">
        <w:t>2</w:t>
      </w:r>
      <w:r w:rsidR="007A1538">
        <w:t>4</w:t>
      </w:r>
      <w:r w:rsidRPr="00DE3B94">
        <w:t xml:space="preserve">. </w:t>
      </w:r>
      <w:r>
        <w:t>D</w:t>
      </w:r>
      <w:r w:rsidR="00B0085F">
        <w:t>otaci je </w:t>
      </w:r>
      <w:r w:rsidRPr="00DE3B94">
        <w:t>soukromá škola oprávněna použít pouze k</w:t>
      </w:r>
      <w:r>
        <w:t> </w:t>
      </w:r>
      <w:r w:rsidRPr="00DE3B94">
        <w:t>financování neinvestičních výdajů souvisejících s</w:t>
      </w:r>
      <w:r>
        <w:t> </w:t>
      </w:r>
      <w:r w:rsidRPr="00DE3B94">
        <w:t>výchovou a</w:t>
      </w:r>
      <w:r>
        <w:t> </w:t>
      </w:r>
      <w:r w:rsidRPr="00DE3B94">
        <w:t>vzděláváním ve</w:t>
      </w:r>
      <w:r>
        <w:t> </w:t>
      </w:r>
      <w:r w:rsidRPr="00DE3B94">
        <w:t>školách a se</w:t>
      </w:r>
      <w:r>
        <w:t> </w:t>
      </w:r>
      <w:r w:rsidRPr="00DE3B94">
        <w:t>službami a vzděláváním, které doplňují nebo podporují vzdělávání ve školách nebo s ním přímo souvisí, nebo zajišťováním ústavní a</w:t>
      </w:r>
      <w:r w:rsidR="00B0085F">
        <w:t> </w:t>
      </w:r>
      <w:r w:rsidRPr="00DE3B94">
        <w:t>ochranné výchovy nebo preventivně výchovné péče ve</w:t>
      </w:r>
      <w:r>
        <w:t> </w:t>
      </w:r>
      <w:r w:rsidRPr="00DE3B94">
        <w:t>školských zařízeních (dále jen „školské služby“) a s</w:t>
      </w:r>
      <w:r>
        <w:t> </w:t>
      </w:r>
      <w:r w:rsidRPr="00DE3B94">
        <w:t>běžným provozem školy a školského zařízení s</w:t>
      </w:r>
      <w:r>
        <w:t> </w:t>
      </w:r>
      <w:r w:rsidRPr="00DE3B94">
        <w:t xml:space="preserve">výjimkou </w:t>
      </w:r>
      <w:r w:rsidRPr="002650E8">
        <w:t xml:space="preserve">nájemného v rámci smlouvy o koupi najaté věci uzavřené po 1. lednu </w:t>
      </w:r>
      <w:smartTag w:uri="urn:schemas-microsoft-com:office:smarttags" w:element="metricconverter">
        <w:smartTagPr>
          <w:attr w:name="ProductID" w:val="1997 a"/>
        </w:smartTagPr>
        <w:r w:rsidRPr="002650E8">
          <w:t>1997 a</w:t>
        </w:r>
      </w:smartTag>
      <w:r w:rsidRPr="002650E8">
        <w:t xml:space="preserve"> rekla</w:t>
      </w:r>
      <w:r w:rsidRPr="00B069D0">
        <w:t xml:space="preserve">my, a u právnických osob, které poskytují vzdělávání a školské služby pro děti, žáky nebo studenty </w:t>
      </w:r>
      <w:r w:rsidR="006B7417" w:rsidRPr="006B7417">
        <w:t>s mentálním, tělesným, zrakovým nebo sluchovým postižením, závažnými vadami řeči, závažnými vývojovými poruchami učení, závažnými vývojovými poruchami chování, souběžným postižením více vadami nebo autismem (dále jen „zdravotní postižení“)</w:t>
      </w:r>
      <w:r w:rsidRPr="006B7417">
        <w:t>, i</w:t>
      </w:r>
      <w:r w:rsidR="00FA5483">
        <w:t> </w:t>
      </w:r>
      <w:r w:rsidRPr="006B7417">
        <w:t>s rehabilitací. Dotace právnické osobě, která vykonává činnost základní umělecké školy, se poskytuje na zabezpečení vzdělávání určeného</w:t>
      </w:r>
      <w:r w:rsidRPr="00B069D0">
        <w:t xml:space="preserve"> pro žáky před zahájením plnění povinné školní docházky, žáky plnící povinnou školní docházku, žáky vzdělávající se v denní formě</w:t>
      </w:r>
      <w:r w:rsidR="00B0085F">
        <w:t xml:space="preserve"> vzdělávání ve střední škole či </w:t>
      </w:r>
      <w:r w:rsidRPr="00B069D0">
        <w:t>konzervatoři a studenty vzdělávající se v denní formě vzdělávání ve vyšší odborné škole.</w:t>
      </w:r>
    </w:p>
    <w:p w14:paraId="07AEC3CC" w14:textId="2FC24E21" w:rsidR="00754BD2" w:rsidRDefault="00754BD2" w:rsidP="00754BD2">
      <w:pPr>
        <w:jc w:val="both"/>
        <w:rPr>
          <w:sz w:val="18"/>
          <w:szCs w:val="18"/>
        </w:rPr>
      </w:pPr>
    </w:p>
    <w:p w14:paraId="4C3C0907" w14:textId="77777777" w:rsidR="007A1538" w:rsidRPr="006A48EF" w:rsidRDefault="007A1538" w:rsidP="00754BD2">
      <w:pPr>
        <w:jc w:val="both"/>
        <w:rPr>
          <w:sz w:val="18"/>
          <w:szCs w:val="18"/>
        </w:rPr>
      </w:pPr>
    </w:p>
    <w:p w14:paraId="569A2008" w14:textId="77777777" w:rsidR="00754BD2" w:rsidRDefault="00754BD2" w:rsidP="00754BD2">
      <w:pPr>
        <w:jc w:val="center"/>
        <w:rPr>
          <w:b/>
        </w:rPr>
      </w:pPr>
      <w:r>
        <w:rPr>
          <w:b/>
        </w:rPr>
        <w:t>Čl. II</w:t>
      </w:r>
    </w:p>
    <w:p w14:paraId="71CBB236" w14:textId="37C212F5" w:rsidR="00754BD2" w:rsidRDefault="00754BD2" w:rsidP="00754BD2">
      <w:pPr>
        <w:jc w:val="both"/>
      </w:pPr>
      <w:r>
        <w:t>Smluvní strany konstatují, že podmínky stanovené v § 3 odst. 2 zákona pro poskytnutí dotace byly splněny.</w:t>
      </w:r>
    </w:p>
    <w:p w14:paraId="2B5E25A2" w14:textId="55D68F84" w:rsidR="007A1538" w:rsidRDefault="007A1538" w:rsidP="00754BD2">
      <w:pPr>
        <w:jc w:val="both"/>
      </w:pPr>
    </w:p>
    <w:p w14:paraId="234CA8BA" w14:textId="4EF19F04" w:rsidR="007A1538" w:rsidRDefault="007A1538" w:rsidP="00754BD2">
      <w:pPr>
        <w:jc w:val="both"/>
      </w:pPr>
    </w:p>
    <w:p w14:paraId="266E462E" w14:textId="6F871180" w:rsidR="007A1538" w:rsidRDefault="007A1538" w:rsidP="00754BD2">
      <w:pPr>
        <w:jc w:val="both"/>
      </w:pPr>
    </w:p>
    <w:p w14:paraId="2BB73D95" w14:textId="77777777" w:rsidR="007A1538" w:rsidRDefault="007A1538" w:rsidP="00754BD2">
      <w:pPr>
        <w:jc w:val="both"/>
      </w:pPr>
    </w:p>
    <w:p w14:paraId="2E80C39F" w14:textId="77777777" w:rsidR="00754BD2" w:rsidRPr="006A48EF" w:rsidRDefault="00754BD2" w:rsidP="00754BD2">
      <w:pPr>
        <w:jc w:val="both"/>
        <w:rPr>
          <w:sz w:val="18"/>
          <w:szCs w:val="18"/>
        </w:rPr>
      </w:pPr>
    </w:p>
    <w:p w14:paraId="0BA8089A" w14:textId="77777777" w:rsidR="007A1538" w:rsidRDefault="007A1538" w:rsidP="00754BD2">
      <w:pPr>
        <w:jc w:val="center"/>
        <w:rPr>
          <w:b/>
        </w:rPr>
      </w:pPr>
    </w:p>
    <w:p w14:paraId="7371146C" w14:textId="77777777" w:rsidR="007A1538" w:rsidRDefault="007A1538" w:rsidP="00754BD2">
      <w:pPr>
        <w:jc w:val="center"/>
        <w:rPr>
          <w:b/>
        </w:rPr>
      </w:pPr>
    </w:p>
    <w:p w14:paraId="1CDD63EF" w14:textId="485EAF1F" w:rsidR="00754BD2" w:rsidRDefault="00754BD2" w:rsidP="00754BD2">
      <w:pPr>
        <w:jc w:val="center"/>
        <w:rPr>
          <w:b/>
        </w:rPr>
      </w:pPr>
      <w:r>
        <w:rPr>
          <w:b/>
        </w:rPr>
        <w:t>Čl. III</w:t>
      </w:r>
    </w:p>
    <w:p w14:paraId="744F9200" w14:textId="77777777" w:rsidR="00754BD2" w:rsidRDefault="00754BD2" w:rsidP="00754BD2">
      <w:pPr>
        <w:jc w:val="both"/>
      </w:pPr>
      <w:r>
        <w:t>Krajský úřad poskytne soukromé škole dotaci způsobem a ve výši určené podle pravidel obsažených v zákoně, ze kterých zejména uvádíme:</w:t>
      </w:r>
    </w:p>
    <w:p w14:paraId="1E994643" w14:textId="2986772F" w:rsidR="00800A91" w:rsidRDefault="00754BD2" w:rsidP="00800A91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>
        <w:t>Dotace se poskytuje na školní rok zálohově na jednotlivá čtvrtletí kalendářního roku, nejpozději poslední den prvního měsíce prvního, druhého a třetího čtvrtletí a patnáctý den druhého měsíce čtvrtého čtvrtletí. Dotace, respektive její zálohy, se poskytuje bankovním převodem na účet soukromé školy uvedený v záhlaví této smlouvy.</w:t>
      </w:r>
    </w:p>
    <w:p w14:paraId="79292824" w14:textId="77777777" w:rsidR="00754BD2" w:rsidRDefault="00754BD2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>
        <w:t>D</w:t>
      </w:r>
      <w:r w:rsidRPr="00DE3B94">
        <w:t>otace právnickým osobám, s</w:t>
      </w:r>
      <w:r>
        <w:t> </w:t>
      </w:r>
      <w:r w:rsidRPr="00DE3B94">
        <w:t>výjimkou právnických osob vykonávajících činnost mateřské školy nebo školského zařízení, které jinak podle</w:t>
      </w:r>
      <w:r>
        <w:t> </w:t>
      </w:r>
      <w:r w:rsidRPr="00DE3B94">
        <w:t xml:space="preserve">zvláštního právního předpisu zřizuje obec nebo svazek obcí, se stanoví procentním podílem z normativu </w:t>
      </w:r>
      <w:r>
        <w:t>j</w:t>
      </w:r>
      <w:r w:rsidRPr="00DE3B94">
        <w:t>ako ročního objemu neinvestičních výdajů, mzdových prostředků a zákonných odvodů připadajících na</w:t>
      </w:r>
      <w:r>
        <w:t> </w:t>
      </w:r>
      <w:r w:rsidRPr="00DE3B94">
        <w:t>jedno dítě, žáka nebo studenta ve</w:t>
      </w:r>
      <w:r>
        <w:t> </w:t>
      </w:r>
      <w:r w:rsidRPr="00DE3B94">
        <w:t>srovnatelném oboru vzdělání a formě vzdělávání ve škole nebo ve srovnatelné školské službě ve školském zařízení zřizovaném krajem nebo</w:t>
      </w:r>
      <w:r>
        <w:t xml:space="preserve"> </w:t>
      </w:r>
      <w:r w:rsidRPr="00DE3B94">
        <w:t xml:space="preserve">ministerstvem. </w:t>
      </w:r>
      <w:r>
        <w:t>D</w:t>
      </w:r>
      <w:r w:rsidRPr="00DE3B94">
        <w:t>otace se zvýší o procentní podíl z</w:t>
      </w:r>
      <w:r>
        <w:t> </w:t>
      </w:r>
      <w:r w:rsidRPr="00DE3B94">
        <w:t>normativu na</w:t>
      </w:r>
      <w:r>
        <w:t> </w:t>
      </w:r>
      <w:r w:rsidRPr="00DE3B94">
        <w:t xml:space="preserve">zdravotní postižení dětí, žáků </w:t>
      </w:r>
      <w:r>
        <w:t>a</w:t>
      </w:r>
      <w:r w:rsidR="00B0085F">
        <w:t> </w:t>
      </w:r>
      <w:r w:rsidRPr="00DE3B94">
        <w:t>studentů stanoveného pro</w:t>
      </w:r>
      <w:r>
        <w:t> </w:t>
      </w:r>
      <w:r w:rsidRPr="00DE3B94">
        <w:t>děti, žáky nebo studenty</w:t>
      </w:r>
      <w:r>
        <w:t xml:space="preserve"> škol a </w:t>
      </w:r>
      <w:r w:rsidRPr="00DE3B94">
        <w:t>školských zařízení zřizovaných krajem nebo ministerstvem.</w:t>
      </w:r>
    </w:p>
    <w:p w14:paraId="3AF5E8EF" w14:textId="77777777" w:rsidR="00754BD2" w:rsidRDefault="00754BD2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>
        <w:t>Dotace se poskytuje pouze pro děti, žáky nebo studenty</w:t>
      </w:r>
      <w:r w:rsidR="00B0085F">
        <w:t xml:space="preserve"> ve školách, oborech vzdělání a </w:t>
      </w:r>
      <w:r>
        <w:t>školských službách zapsaných ve školském rejstříku.</w:t>
      </w:r>
    </w:p>
    <w:p w14:paraId="06F5FC68" w14:textId="77777777" w:rsidR="00754BD2" w:rsidRPr="00BD3F32" w:rsidRDefault="00BD3F32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 w:rsidRPr="00BD3F32">
        <w:t>Normativy na příslušný kalendářní rok stanoví Ministerstvo školství, mládeže a tělovýchovy (dále jen „ministerstvo“) nejpozději do 31. ledna a zveřejní je ve Věstníku ministerstva.</w:t>
      </w:r>
    </w:p>
    <w:p w14:paraId="25E0E49F" w14:textId="77777777" w:rsidR="00754BD2" w:rsidRPr="009479D2" w:rsidRDefault="00754BD2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>
        <w:t>D</w:t>
      </w:r>
      <w:r w:rsidRPr="009479D2">
        <w:t>otace se poskytuje podle</w:t>
      </w:r>
      <w:r>
        <w:t> </w:t>
      </w:r>
      <w:r w:rsidRPr="009479D2">
        <w:t>skutečného počtu dětí, žáků nebo studentů ve</w:t>
      </w:r>
      <w:r>
        <w:t> </w:t>
      </w:r>
      <w:r w:rsidRPr="009479D2">
        <w:t>škole nebo školském zařízení, v jednotlivých oborech a formách vzdělávání, lůžek, stravovaných nebo jiných jednotek stanovených zvláštním právním předpisem, uvedeného ve školních matrikách pro</w:t>
      </w:r>
      <w:r>
        <w:t> </w:t>
      </w:r>
      <w:r w:rsidRPr="009479D2">
        <w:t>příslušný školní rok, nejvýše však do výše povoleného počtu dětí, žáků nebo studentů ve</w:t>
      </w:r>
      <w:r>
        <w:t> </w:t>
      </w:r>
      <w:r w:rsidRPr="009479D2">
        <w:t>škole nebo školském zařízení, v jednotlivých oborech a formách vzdělávání, lůžek, stravovaných nebo jiných jednotek stanovených zvláštním právním předpisem, uvedeného ve školském rejstříku. Do</w:t>
      </w:r>
      <w:r>
        <w:t> </w:t>
      </w:r>
      <w:r w:rsidRPr="009479D2">
        <w:t>skutečného počtu podle věty první se za</w:t>
      </w:r>
      <w:r w:rsidR="00B0085F">
        <w:t>počítávají i cizinci, kterým se </w:t>
      </w:r>
      <w:r w:rsidRPr="009479D2">
        <w:t>podle</w:t>
      </w:r>
      <w:r>
        <w:t> </w:t>
      </w:r>
      <w:r w:rsidRPr="009479D2">
        <w:t>§ 20 zákona č. 561/2004 Sb. poskytuje vzdělávání nebo školské služby za</w:t>
      </w:r>
      <w:r>
        <w:t> </w:t>
      </w:r>
      <w:r w:rsidRPr="009479D2">
        <w:t>stejných podmínek jako státním občanům České republiky.</w:t>
      </w:r>
    </w:p>
    <w:p w14:paraId="3FAF5C23" w14:textId="77777777" w:rsidR="00754BD2" w:rsidRDefault="00754BD2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 w:rsidRPr="009479D2">
        <w:t>Pokud dojde v</w:t>
      </w:r>
      <w:r>
        <w:t> </w:t>
      </w:r>
      <w:r w:rsidRPr="009479D2">
        <w:t>průběhu školního roku ke</w:t>
      </w:r>
      <w:r>
        <w:t> </w:t>
      </w:r>
      <w:r w:rsidRPr="009479D2">
        <w:t>změně počtu dětí, žáků</w:t>
      </w:r>
      <w:r>
        <w:t>,</w:t>
      </w:r>
      <w:r w:rsidRPr="009479D2">
        <w:t xml:space="preserve"> studentů, lůžek, stravovaných nebo</w:t>
      </w:r>
      <w:r>
        <w:t> </w:t>
      </w:r>
      <w:r w:rsidRPr="009479D2">
        <w:t>jiných jednotek stanovených zvláštním právním předpisem ve</w:t>
      </w:r>
      <w:r>
        <w:t> </w:t>
      </w:r>
      <w:r w:rsidRPr="009479D2">
        <w:t>srovnání s počtem, na který se poskytuje dotace, právnická osoba</w:t>
      </w:r>
      <w:r>
        <w:t xml:space="preserve"> neprodleně</w:t>
      </w:r>
      <w:r w:rsidRPr="009479D2">
        <w:t xml:space="preserve"> tuto skutečnost oznámí a</w:t>
      </w:r>
      <w:r>
        <w:t xml:space="preserve"> </w:t>
      </w:r>
      <w:r w:rsidRPr="009479D2">
        <w:t>hodnověrně prokáže</w:t>
      </w:r>
      <w:r w:rsidRPr="0099518B">
        <w:t xml:space="preserve"> krajskému úřadu. </w:t>
      </w:r>
      <w:r>
        <w:t>D</w:t>
      </w:r>
      <w:r w:rsidRPr="0099518B">
        <w:t>otace se upraví od</w:t>
      </w:r>
      <w:r>
        <w:t> </w:t>
      </w:r>
      <w:r w:rsidRPr="0099518B">
        <w:t>počátku</w:t>
      </w:r>
      <w:r>
        <w:t xml:space="preserve"> čtvrtletí následujícího po změně, kdy došlo k přeplatku či nedoplatku, a tento je vyúčtován podle § 6 odst. 7 zákona. </w:t>
      </w:r>
    </w:p>
    <w:p w14:paraId="456E8348" w14:textId="77777777" w:rsidR="001160F0" w:rsidRPr="001160F0" w:rsidRDefault="001160F0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 w:rsidRPr="001160F0">
        <w:t>Soukromá škola je povinna sledovat ve své účetní evidenci přijetí a použití dotace odděleně.</w:t>
      </w:r>
    </w:p>
    <w:p w14:paraId="4ABC6E39" w14:textId="77777777" w:rsidR="00BD3F32" w:rsidRDefault="00BD3F32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 w:rsidRPr="00BD3F32">
        <w:t xml:space="preserve">Právnická osoba v souladu s § 3 odst. 2 písm. a) a c) zákona </w:t>
      </w:r>
      <w:proofErr w:type="gramStart"/>
      <w:r w:rsidRPr="00BD3F32">
        <w:t>předloží</w:t>
      </w:r>
      <w:proofErr w:type="gramEnd"/>
      <w:r w:rsidRPr="00BD3F32">
        <w:t xml:space="preserve"> vyúčtování poskytnuté dotace a rozbor hospodaření s dotací za uplynulý školní rok postupem a podle osnovy stanovené ministerstvem zveřejněné ve Věstníku ministerstva, sešit 6-7/2017.</w:t>
      </w:r>
    </w:p>
    <w:p w14:paraId="39DD6EED" w14:textId="560A36E0" w:rsidR="001160F0" w:rsidRPr="001160F0" w:rsidRDefault="001160F0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 w:rsidRPr="001160F0">
        <w:t>Právnická osoba, která uplatňuje hospodářský rok podle § 3 odst. 2 a 3 zákona č. 563/1991 Sb., o</w:t>
      </w:r>
      <w:r w:rsidR="00FA5483">
        <w:t> </w:t>
      </w:r>
      <w:r w:rsidRPr="001160F0">
        <w:t>účetnictví, ve znění pozdějších předpisů, má povinnost sestavit v souladu s ustanovením §19 odst. 3 věty čtvrté zákona o účetnictví, mezitímní účetní závěrku k 31. prosinci kalendářního roku.</w:t>
      </w:r>
    </w:p>
    <w:p w14:paraId="7EF55B5A" w14:textId="77777777" w:rsidR="00754BD2" w:rsidRDefault="00754BD2" w:rsidP="00754BD2">
      <w:pPr>
        <w:numPr>
          <w:ilvl w:val="0"/>
          <w:numId w:val="6"/>
        </w:numPr>
        <w:tabs>
          <w:tab w:val="clear" w:pos="780"/>
          <w:tab w:val="num" w:pos="360"/>
        </w:tabs>
        <w:ind w:left="360"/>
        <w:jc w:val="both"/>
      </w:pPr>
      <w:r>
        <w:t>Výše dotace může být v průběhu školního roku, kdy je poskytována, snížena, poskytována na kratší období nebo zvýšena v souladu s regulačními opatřeními k čerpání výdajů státního rozpočtu, o nichž rozhodla vláda nebo ministr financí, nebo také v případě, že právnická osoba nedodrží ustanovení § 6 odst. 7 zákona.</w:t>
      </w:r>
    </w:p>
    <w:p w14:paraId="25BE830F" w14:textId="77777777" w:rsidR="00754BD2" w:rsidRDefault="00754BD2" w:rsidP="00754BD2">
      <w:pPr>
        <w:jc w:val="both"/>
        <w:rPr>
          <w:sz w:val="18"/>
          <w:szCs w:val="18"/>
        </w:rPr>
      </w:pPr>
    </w:p>
    <w:p w14:paraId="18B69791" w14:textId="77777777" w:rsidR="00800A91" w:rsidRDefault="00800A91" w:rsidP="00754BD2">
      <w:pPr>
        <w:jc w:val="both"/>
        <w:rPr>
          <w:sz w:val="18"/>
          <w:szCs w:val="18"/>
        </w:rPr>
      </w:pPr>
    </w:p>
    <w:p w14:paraId="2FE1433C" w14:textId="77777777" w:rsidR="00800A91" w:rsidRDefault="00800A91" w:rsidP="00754BD2">
      <w:pPr>
        <w:jc w:val="both"/>
        <w:rPr>
          <w:sz w:val="18"/>
          <w:szCs w:val="18"/>
        </w:rPr>
      </w:pPr>
    </w:p>
    <w:p w14:paraId="6FDD190E" w14:textId="77777777" w:rsidR="00800A91" w:rsidRDefault="00800A91" w:rsidP="00754BD2">
      <w:pPr>
        <w:jc w:val="both"/>
        <w:rPr>
          <w:sz w:val="18"/>
          <w:szCs w:val="18"/>
        </w:rPr>
      </w:pPr>
    </w:p>
    <w:p w14:paraId="10171A23" w14:textId="77777777" w:rsidR="00800A91" w:rsidRDefault="00800A91" w:rsidP="00754BD2">
      <w:pPr>
        <w:jc w:val="both"/>
        <w:rPr>
          <w:sz w:val="18"/>
          <w:szCs w:val="18"/>
        </w:rPr>
      </w:pPr>
    </w:p>
    <w:p w14:paraId="6152617E" w14:textId="77777777" w:rsidR="00800A91" w:rsidRDefault="00800A91" w:rsidP="00754BD2">
      <w:pPr>
        <w:jc w:val="both"/>
        <w:rPr>
          <w:sz w:val="18"/>
          <w:szCs w:val="18"/>
        </w:rPr>
      </w:pPr>
    </w:p>
    <w:p w14:paraId="30730221" w14:textId="77777777" w:rsidR="00800A91" w:rsidRDefault="00800A91" w:rsidP="00754BD2">
      <w:pPr>
        <w:jc w:val="both"/>
        <w:rPr>
          <w:sz w:val="18"/>
          <w:szCs w:val="18"/>
        </w:rPr>
      </w:pPr>
    </w:p>
    <w:p w14:paraId="47258048" w14:textId="77777777" w:rsidR="00800A91" w:rsidRDefault="00800A91" w:rsidP="00754BD2">
      <w:pPr>
        <w:jc w:val="both"/>
        <w:rPr>
          <w:sz w:val="18"/>
          <w:szCs w:val="18"/>
        </w:rPr>
      </w:pPr>
    </w:p>
    <w:p w14:paraId="25E94A33" w14:textId="77777777" w:rsidR="00800A91" w:rsidRDefault="00800A91" w:rsidP="00754BD2">
      <w:pPr>
        <w:jc w:val="both"/>
        <w:rPr>
          <w:sz w:val="18"/>
          <w:szCs w:val="18"/>
        </w:rPr>
      </w:pPr>
    </w:p>
    <w:p w14:paraId="01D046D2" w14:textId="77777777" w:rsidR="00800A91" w:rsidRDefault="00800A91" w:rsidP="00754BD2">
      <w:pPr>
        <w:jc w:val="both"/>
        <w:rPr>
          <w:sz w:val="18"/>
          <w:szCs w:val="18"/>
        </w:rPr>
      </w:pPr>
    </w:p>
    <w:p w14:paraId="2E3993EC" w14:textId="77777777" w:rsidR="00800A91" w:rsidRPr="006A48EF" w:rsidRDefault="00800A91" w:rsidP="00754BD2">
      <w:pPr>
        <w:jc w:val="both"/>
        <w:rPr>
          <w:sz w:val="18"/>
          <w:szCs w:val="18"/>
        </w:rPr>
      </w:pPr>
    </w:p>
    <w:p w14:paraId="71EC8FF6" w14:textId="77777777" w:rsidR="00754BD2" w:rsidRDefault="00754BD2" w:rsidP="00754BD2">
      <w:pPr>
        <w:jc w:val="center"/>
        <w:rPr>
          <w:b/>
        </w:rPr>
      </w:pPr>
      <w:r>
        <w:rPr>
          <w:b/>
        </w:rPr>
        <w:t>Čl. IV</w:t>
      </w:r>
    </w:p>
    <w:p w14:paraId="1B5BCF4C" w14:textId="55A5E0BE" w:rsidR="00754BD2" w:rsidRDefault="00BD3F32" w:rsidP="00754BD2">
      <w:pPr>
        <w:jc w:val="both"/>
      </w:pPr>
      <w:r w:rsidRPr="00BD3F32">
        <w:t>Předpokládaný počet dětí, žáků, stravovaných, účastníků a procentní podíl z normativu pro školní rok 20</w:t>
      </w:r>
      <w:r w:rsidR="00B421D5">
        <w:t>2</w:t>
      </w:r>
      <w:r w:rsidR="00A43D42">
        <w:t>3</w:t>
      </w:r>
      <w:r w:rsidRPr="00BD3F32">
        <w:t>/20</w:t>
      </w:r>
      <w:r w:rsidR="00800A91">
        <w:t>2</w:t>
      </w:r>
      <w:r w:rsidR="00A43D42">
        <w:t>4</w:t>
      </w:r>
      <w:r w:rsidRPr="00BD3F32">
        <w:t xml:space="preserve"> podle druhů</w:t>
      </w:r>
      <w:r>
        <w:t xml:space="preserve"> škol, oborů vzdělání a forem vzdělávání, školských zařízení a poskytovaných školských služeb:</w:t>
      </w:r>
    </w:p>
    <w:p w14:paraId="2C2C6510" w14:textId="77777777" w:rsidR="00DC4657" w:rsidRDefault="00DC4657" w:rsidP="00745917">
      <w:pPr>
        <w:jc w:val="both"/>
      </w:pPr>
    </w:p>
    <w:p w14:paraId="3E2DD11B" w14:textId="77777777" w:rsidR="00DC4657" w:rsidRDefault="00DC4657" w:rsidP="00745917">
      <w:pPr>
        <w:jc w:val="both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1800"/>
        <w:gridCol w:w="3878"/>
      </w:tblGrid>
      <w:tr w:rsidR="00C04A70" w14:paraId="0986C9B2" w14:textId="77777777" w:rsidTr="00C04A70">
        <w:tc>
          <w:tcPr>
            <w:tcW w:w="2019" w:type="pct"/>
          </w:tcPr>
          <w:p w14:paraId="7EBBDEC8" w14:textId="77777777" w:rsidR="00C04A70" w:rsidRPr="0010208C" w:rsidRDefault="0010208C" w:rsidP="00B87D49">
            <w:pPr>
              <w:rPr>
                <w:b/>
              </w:rPr>
            </w:pPr>
            <w:r w:rsidRPr="0010208C">
              <w:rPr>
                <w:b/>
              </w:rPr>
              <w:t>Druh školy:</w:t>
            </w:r>
          </w:p>
        </w:tc>
        <w:tc>
          <w:tcPr>
            <w:tcW w:w="945" w:type="pct"/>
          </w:tcPr>
          <w:p w14:paraId="085EA708" w14:textId="77777777" w:rsidR="00C04A70" w:rsidRPr="0010208C" w:rsidRDefault="00C04A70" w:rsidP="00B87D49">
            <w:pPr>
              <w:rPr>
                <w:b/>
              </w:rPr>
            </w:pPr>
            <w:r w:rsidRPr="0010208C">
              <w:rPr>
                <w:b/>
              </w:rPr>
              <w:t>Počet žáků:</w:t>
            </w:r>
          </w:p>
        </w:tc>
        <w:tc>
          <w:tcPr>
            <w:tcW w:w="2036" w:type="pct"/>
          </w:tcPr>
          <w:p w14:paraId="323A8180" w14:textId="77777777" w:rsidR="00C04A70" w:rsidRPr="0010208C" w:rsidRDefault="0010208C" w:rsidP="0010208C">
            <w:pPr>
              <w:rPr>
                <w:b/>
              </w:rPr>
            </w:pPr>
            <w:r w:rsidRPr="0010208C">
              <w:rPr>
                <w:b/>
              </w:rPr>
              <w:t xml:space="preserve">Procentní </w:t>
            </w:r>
            <w:r w:rsidR="00C04A70" w:rsidRPr="0010208C">
              <w:rPr>
                <w:b/>
              </w:rPr>
              <w:t>podíl z normativu:</w:t>
            </w:r>
          </w:p>
        </w:tc>
      </w:tr>
      <w:tr w:rsidR="00C04A70" w14:paraId="1E451C91" w14:textId="77777777" w:rsidTr="00C04A70">
        <w:tc>
          <w:tcPr>
            <w:tcW w:w="2019" w:type="pct"/>
          </w:tcPr>
          <w:p w14:paraId="12F45C00" w14:textId="77777777" w:rsidR="00C04A70" w:rsidRDefault="00C04A70" w:rsidP="00A80AF8">
            <w:pPr>
              <w:jc w:val="both"/>
            </w:pPr>
            <w:r>
              <w:t>Základní umělecká škola</w:t>
            </w:r>
          </w:p>
        </w:tc>
        <w:tc>
          <w:tcPr>
            <w:tcW w:w="945" w:type="pct"/>
          </w:tcPr>
          <w:p w14:paraId="437A3787" w14:textId="77777777" w:rsidR="00C04A70" w:rsidRDefault="00A4608D" w:rsidP="0010208C">
            <w:r>
              <w:t>600</w:t>
            </w:r>
          </w:p>
        </w:tc>
        <w:tc>
          <w:tcPr>
            <w:tcW w:w="2036" w:type="pct"/>
          </w:tcPr>
          <w:p w14:paraId="42B1137B" w14:textId="77777777" w:rsidR="00C04A70" w:rsidRDefault="00C04A70" w:rsidP="0010208C">
            <w:r>
              <w:t>50 %</w:t>
            </w:r>
          </w:p>
        </w:tc>
      </w:tr>
    </w:tbl>
    <w:p w14:paraId="5C65BA12" w14:textId="77777777" w:rsidR="00B956B4" w:rsidRDefault="00B956B4" w:rsidP="00745917">
      <w:pPr>
        <w:jc w:val="both"/>
      </w:pPr>
    </w:p>
    <w:p w14:paraId="45A024BF" w14:textId="77777777" w:rsidR="00C04A70" w:rsidRDefault="00C04A70" w:rsidP="00745917">
      <w:pPr>
        <w:jc w:val="center"/>
        <w:rPr>
          <w:b/>
        </w:rPr>
      </w:pPr>
    </w:p>
    <w:p w14:paraId="2BAE95EB" w14:textId="77777777" w:rsidR="006B7417" w:rsidRDefault="006B7417" w:rsidP="00745917">
      <w:pPr>
        <w:jc w:val="center"/>
        <w:rPr>
          <w:b/>
        </w:rPr>
      </w:pPr>
    </w:p>
    <w:p w14:paraId="78533CBA" w14:textId="77777777" w:rsidR="006B7417" w:rsidRDefault="006B7417" w:rsidP="00745917">
      <w:pPr>
        <w:jc w:val="center"/>
        <w:rPr>
          <w:b/>
        </w:rPr>
      </w:pPr>
    </w:p>
    <w:p w14:paraId="2C4DA541" w14:textId="77777777" w:rsidR="00C04A70" w:rsidRDefault="00C04A70" w:rsidP="00745917">
      <w:pPr>
        <w:jc w:val="center"/>
        <w:rPr>
          <w:b/>
        </w:rPr>
      </w:pPr>
    </w:p>
    <w:p w14:paraId="39C987DB" w14:textId="77777777" w:rsidR="005E4FA8" w:rsidRDefault="005E4FA8" w:rsidP="00745917">
      <w:pPr>
        <w:jc w:val="center"/>
        <w:rPr>
          <w:b/>
        </w:rPr>
      </w:pPr>
      <w:r>
        <w:rPr>
          <w:b/>
        </w:rPr>
        <w:t>Čl. V</w:t>
      </w:r>
    </w:p>
    <w:p w14:paraId="036D9CDA" w14:textId="77777777" w:rsidR="00A26E28" w:rsidRDefault="00A26E28" w:rsidP="00A26E2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 xml:space="preserve">Krajský úřad je oprávněn odstoupit od této Smlouvy o poskytnutí dotace v případě, pokud v průběhu školního roku zjistí Česká školní inspekce nebo jiný kontrolní orgán závažné nedostatky v činnosti </w:t>
      </w:r>
      <w:r w:rsidR="00D24502">
        <w:t>právnické osoby</w:t>
      </w:r>
      <w:r>
        <w:t>.</w:t>
      </w:r>
      <w:r w:rsidRPr="00DE3B94">
        <w:t xml:space="preserve"> Smlouva v případě odstoupení od</w:t>
      </w:r>
      <w:r>
        <w:t> </w:t>
      </w:r>
      <w:r w:rsidRPr="00DE3B94">
        <w:t>smlouvy zaniká od</w:t>
      </w:r>
      <w:r>
        <w:t> </w:t>
      </w:r>
      <w:r w:rsidRPr="00DE3B94">
        <w:t>počátku.</w:t>
      </w:r>
    </w:p>
    <w:p w14:paraId="1F2704D4" w14:textId="50CF805E" w:rsidR="00A26E28" w:rsidRPr="00BD3F32" w:rsidRDefault="00BD3F32" w:rsidP="00A26E2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BD3F32">
        <w:t>Neoprávněné použití nebo zadržení peněžních prostředků dotace a související povinnosti (sankce) upravuje zákon č. 250/2000 Sb., o rozpočtových pravidlech územních rozpočtů, ve znění pozdějších předpisů. Z dotčených ustanovení tohoto zákona zdůrazňujeme následující. Porušením rozpočtové kázně v územních rozpočtech je každé neoprávněné použití nebo zadržení dotace. Právnická osoba, která porušila rozpočtovou kázeň, je povinna provést odvod za porušení rozpočtové kázně do rozpočtu, z něhož jí byly peněžní prostředky poskytnuty. Za prodlení s</w:t>
      </w:r>
      <w:r w:rsidR="00FA5483">
        <w:t> </w:t>
      </w:r>
      <w:r w:rsidRPr="00BD3F32">
        <w:t>odvodem za porušení rozpočtové kázně je ten, kdo rozpočtovou kázeň porušil, povinen zaplatit penále ve výši 1 promile z částky odvodu za každý den prodlení, nejvýše však do výše tohoto odvodu. Při správě odvodů a penále se postupuje podle zákona č. 280/2009 Sb., daňový řád, ve znění pozdějších předpisů.</w:t>
      </w:r>
    </w:p>
    <w:p w14:paraId="36F1043F" w14:textId="77777777" w:rsidR="00A26E28" w:rsidRDefault="00A26E28" w:rsidP="00A26E2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>
        <w:t>Soukromá škola se zavazuje vytvořit podmínky pro kontrolu hospodaření s přidělenou dotací oprávněným subjektem.</w:t>
      </w:r>
    </w:p>
    <w:p w14:paraId="573CA673" w14:textId="54F389D9" w:rsidR="00A26E28" w:rsidRDefault="00A26E28" w:rsidP="00A26E28">
      <w:pPr>
        <w:jc w:val="both"/>
        <w:rPr>
          <w:sz w:val="18"/>
          <w:szCs w:val="18"/>
        </w:rPr>
      </w:pPr>
    </w:p>
    <w:p w14:paraId="1DFC1CC8" w14:textId="380F9B53" w:rsidR="00A43D42" w:rsidRDefault="00A43D42" w:rsidP="00A26E28">
      <w:pPr>
        <w:jc w:val="both"/>
        <w:rPr>
          <w:sz w:val="18"/>
          <w:szCs w:val="18"/>
        </w:rPr>
      </w:pPr>
    </w:p>
    <w:p w14:paraId="49C68E0D" w14:textId="77777777" w:rsidR="00B84265" w:rsidRDefault="00B84265" w:rsidP="00A26E28">
      <w:pPr>
        <w:jc w:val="both"/>
        <w:rPr>
          <w:sz w:val="18"/>
          <w:szCs w:val="18"/>
        </w:rPr>
      </w:pPr>
    </w:p>
    <w:p w14:paraId="5F287CFA" w14:textId="77777777" w:rsidR="00A43D42" w:rsidRPr="00EE7389" w:rsidRDefault="00A43D42" w:rsidP="00A26E28">
      <w:pPr>
        <w:jc w:val="both"/>
        <w:rPr>
          <w:sz w:val="18"/>
          <w:szCs w:val="18"/>
        </w:rPr>
      </w:pPr>
    </w:p>
    <w:p w14:paraId="4CCA6125" w14:textId="77777777" w:rsidR="00A26E28" w:rsidRDefault="00A26E28" w:rsidP="00A26E28">
      <w:pPr>
        <w:jc w:val="center"/>
        <w:rPr>
          <w:b/>
        </w:rPr>
      </w:pPr>
      <w:r>
        <w:rPr>
          <w:b/>
        </w:rPr>
        <w:t>Čl. VI</w:t>
      </w:r>
    </w:p>
    <w:p w14:paraId="0AFD9A57" w14:textId="77777777" w:rsidR="00A26E28" w:rsidRDefault="00A26E28" w:rsidP="00A26E2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Právnická osoba prohlašuje, že k uzavření této Smlouvy o poskytnutí dotace poskytla pravdivé údaje.</w:t>
      </w:r>
    </w:p>
    <w:p w14:paraId="3E16C389" w14:textId="77777777" w:rsidR="00BD3F32" w:rsidRDefault="00BD3F32" w:rsidP="00A26E2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BD3F32">
        <w:t>Smlouva nabývá účinnosti dnem uveřejnění v registru smluv dle zákona č. 340/2015 Sb., o zvláštních podmínkách účinnosti některých smluv, uveřejňování těchto smluv a o registru smluv (zákon o registru smluv), ve znění pozdějších předpisů.</w:t>
      </w:r>
      <w:r w:rsidRPr="00BD3F32">
        <w:rPr>
          <w:iCs/>
        </w:rPr>
        <w:t xml:space="preserve"> Smluvní strany</w:t>
      </w:r>
      <w:r w:rsidRPr="00BD3F32">
        <w:t xml:space="preserve"> konstatují, že v</w:t>
      </w:r>
      <w:r>
        <w:t> </w:t>
      </w:r>
      <w:r w:rsidRPr="00BD3F32">
        <w:t>registru smluv uveřejní smlouvu krajský úřad.</w:t>
      </w:r>
    </w:p>
    <w:p w14:paraId="0A584700" w14:textId="77777777" w:rsidR="00800A91" w:rsidRDefault="00800A91" w:rsidP="00800A91">
      <w:pPr>
        <w:jc w:val="both"/>
      </w:pPr>
    </w:p>
    <w:p w14:paraId="77A87183" w14:textId="77777777" w:rsidR="00800A91" w:rsidRDefault="00800A91" w:rsidP="00800A91">
      <w:pPr>
        <w:jc w:val="both"/>
      </w:pPr>
    </w:p>
    <w:p w14:paraId="1417965E" w14:textId="77777777" w:rsidR="00800A91" w:rsidRDefault="00800A91" w:rsidP="00800A91">
      <w:pPr>
        <w:jc w:val="both"/>
      </w:pPr>
    </w:p>
    <w:p w14:paraId="67F05DA7" w14:textId="77777777" w:rsidR="00800A91" w:rsidRDefault="00800A91" w:rsidP="00800A91">
      <w:pPr>
        <w:jc w:val="both"/>
      </w:pPr>
    </w:p>
    <w:p w14:paraId="0B45B0C7" w14:textId="77777777" w:rsidR="00800A91" w:rsidRDefault="00800A91" w:rsidP="00800A91">
      <w:pPr>
        <w:jc w:val="both"/>
      </w:pPr>
    </w:p>
    <w:p w14:paraId="0B9B855B" w14:textId="77777777" w:rsidR="00800A91" w:rsidRDefault="00800A91" w:rsidP="00800A91">
      <w:pPr>
        <w:jc w:val="both"/>
      </w:pPr>
    </w:p>
    <w:p w14:paraId="6857BD56" w14:textId="77777777" w:rsidR="00800A91" w:rsidRDefault="00800A91" w:rsidP="00800A91">
      <w:pPr>
        <w:jc w:val="both"/>
      </w:pPr>
    </w:p>
    <w:p w14:paraId="09077ED0" w14:textId="77777777" w:rsidR="00800A91" w:rsidRDefault="00800A91" w:rsidP="00800A91">
      <w:pPr>
        <w:jc w:val="both"/>
      </w:pPr>
    </w:p>
    <w:p w14:paraId="7F989A9F" w14:textId="77777777" w:rsidR="00800A91" w:rsidRDefault="00800A91" w:rsidP="00800A91">
      <w:pPr>
        <w:jc w:val="both"/>
      </w:pPr>
    </w:p>
    <w:p w14:paraId="49E9987B" w14:textId="77777777" w:rsidR="00800A91" w:rsidRDefault="00800A91" w:rsidP="00800A91">
      <w:pPr>
        <w:jc w:val="both"/>
      </w:pPr>
    </w:p>
    <w:p w14:paraId="218B8B77" w14:textId="77777777" w:rsidR="00800A91" w:rsidRPr="00BD3F32" w:rsidRDefault="00800A91" w:rsidP="00800A91">
      <w:pPr>
        <w:jc w:val="both"/>
      </w:pPr>
    </w:p>
    <w:p w14:paraId="01721379" w14:textId="77777777" w:rsidR="00A26E28" w:rsidRDefault="00A26E28" w:rsidP="00A26E2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Smlouva je vyhotovena ve dvou stejnopisech, z nichž každá smluvní strana obdrží po jednom.</w:t>
      </w:r>
    </w:p>
    <w:p w14:paraId="1061C820" w14:textId="77777777" w:rsidR="00A26E28" w:rsidRDefault="00A26E28" w:rsidP="00A26E2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Smluvní strany uzavírají smlouvu podle svobodné a vážné vůle a na důkaz toho připojují vlastnoruční podpisy.</w:t>
      </w:r>
    </w:p>
    <w:p w14:paraId="12472BD3" w14:textId="77777777" w:rsidR="00125698" w:rsidRDefault="00125698" w:rsidP="00745917">
      <w:pPr>
        <w:jc w:val="both"/>
      </w:pPr>
    </w:p>
    <w:p w14:paraId="4F690578" w14:textId="77777777" w:rsidR="00125698" w:rsidRDefault="00125698" w:rsidP="00745917">
      <w:pPr>
        <w:jc w:val="both"/>
      </w:pPr>
    </w:p>
    <w:p w14:paraId="0B03BD8D" w14:textId="23D5AC4E" w:rsidR="00125698" w:rsidRDefault="00125698" w:rsidP="00745917">
      <w:pPr>
        <w:jc w:val="both"/>
      </w:pPr>
      <w:r>
        <w:t>V Brně dne</w:t>
      </w:r>
      <w:r w:rsidR="0011383C">
        <w:t>:</w:t>
      </w:r>
      <w:r w:rsidR="00001DB3">
        <w:t xml:space="preserve"> 25.01.2023</w:t>
      </w:r>
      <w:r w:rsidR="00E01158">
        <w:tab/>
      </w:r>
      <w:r w:rsidR="007A1538">
        <w:tab/>
      </w:r>
      <w:r w:rsidR="007A1538">
        <w:tab/>
      </w:r>
      <w:r w:rsidR="00E01158">
        <w:tab/>
      </w:r>
      <w:r>
        <w:t>V Brně dne</w:t>
      </w:r>
      <w:r w:rsidR="0011383C">
        <w:t xml:space="preserve">: </w:t>
      </w:r>
      <w:r w:rsidR="00001DB3">
        <w:t>26.01.2023</w:t>
      </w:r>
    </w:p>
    <w:p w14:paraId="298B8A10" w14:textId="77777777" w:rsidR="00125698" w:rsidRDefault="00125698" w:rsidP="00745917">
      <w:pPr>
        <w:jc w:val="both"/>
      </w:pPr>
    </w:p>
    <w:p w14:paraId="693C585C" w14:textId="77777777" w:rsidR="00125698" w:rsidRDefault="00125698" w:rsidP="00745917">
      <w:pPr>
        <w:jc w:val="both"/>
      </w:pPr>
    </w:p>
    <w:p w14:paraId="4B16A560" w14:textId="77777777" w:rsidR="00125698" w:rsidRDefault="00125698" w:rsidP="00745917">
      <w:pPr>
        <w:jc w:val="both"/>
      </w:pPr>
    </w:p>
    <w:p w14:paraId="3ED3398E" w14:textId="77777777" w:rsidR="00125698" w:rsidRDefault="00125698" w:rsidP="00745917">
      <w:pPr>
        <w:jc w:val="both"/>
      </w:pPr>
    </w:p>
    <w:p w14:paraId="4853C2B8" w14:textId="77777777" w:rsidR="00125698" w:rsidRDefault="00125698" w:rsidP="00745917">
      <w:pPr>
        <w:jc w:val="both"/>
      </w:pPr>
    </w:p>
    <w:p w14:paraId="5061E748" w14:textId="77777777" w:rsidR="00125698" w:rsidRDefault="00125698" w:rsidP="00745917">
      <w:pPr>
        <w:jc w:val="both"/>
      </w:pPr>
    </w:p>
    <w:p w14:paraId="56F29836" w14:textId="77777777" w:rsidR="00CD12BE" w:rsidRDefault="00CD12BE" w:rsidP="00745917">
      <w:pPr>
        <w:jc w:val="both"/>
      </w:pPr>
    </w:p>
    <w:p w14:paraId="33C62E67" w14:textId="77777777" w:rsidR="00CD12BE" w:rsidRDefault="00CD12BE" w:rsidP="00745917">
      <w:pPr>
        <w:jc w:val="both"/>
      </w:pPr>
    </w:p>
    <w:p w14:paraId="54EEF6A4" w14:textId="77777777" w:rsidR="00CD12BE" w:rsidRDefault="00CD12BE" w:rsidP="00745917">
      <w:pPr>
        <w:jc w:val="both"/>
      </w:pPr>
    </w:p>
    <w:p w14:paraId="6E78C785" w14:textId="77777777" w:rsidR="00CD12BE" w:rsidRDefault="00CD12BE" w:rsidP="00745917">
      <w:pPr>
        <w:jc w:val="both"/>
      </w:pPr>
    </w:p>
    <w:p w14:paraId="2A8B2045" w14:textId="77777777" w:rsidR="00125698" w:rsidRDefault="00125698" w:rsidP="00745917">
      <w:pPr>
        <w:jc w:val="both"/>
      </w:pPr>
    </w:p>
    <w:p w14:paraId="3661C0B9" w14:textId="77777777" w:rsidR="00125698" w:rsidRDefault="00125698" w:rsidP="00745917">
      <w:pPr>
        <w:jc w:val="both"/>
      </w:pPr>
    </w:p>
    <w:p w14:paraId="5F2B41E3" w14:textId="77777777" w:rsidR="00125698" w:rsidRDefault="00125698" w:rsidP="00125698">
      <w:pPr>
        <w:jc w:val="both"/>
      </w:pPr>
      <w:r>
        <w:t>……………………………</w:t>
      </w:r>
      <w:r w:rsidR="008162C5">
        <w:t>…………………</w:t>
      </w:r>
      <w:r>
        <w:tab/>
        <w:t>……………………………</w:t>
      </w:r>
      <w:r w:rsidR="008162C5">
        <w:t>……………………</w:t>
      </w:r>
    </w:p>
    <w:p w14:paraId="198B82A6" w14:textId="77777777" w:rsidR="00125698" w:rsidRDefault="00B421D5" w:rsidP="008162C5">
      <w:pPr>
        <w:ind w:left="708"/>
        <w:jc w:val="both"/>
      </w:pPr>
      <w:r>
        <w:t>Mgr. Hynek Nespěšný</w:t>
      </w:r>
      <w:r w:rsidR="0032363E">
        <w:tab/>
      </w:r>
      <w:r w:rsidR="0032363E">
        <w:tab/>
      </w:r>
      <w:r w:rsidR="00014D68">
        <w:tab/>
      </w:r>
      <w:r w:rsidR="0032363E">
        <w:t xml:space="preserve">  </w:t>
      </w:r>
      <w:r w:rsidR="005272DE">
        <w:t xml:space="preserve">           </w:t>
      </w:r>
      <w:r w:rsidR="0032363E">
        <w:t xml:space="preserve">      </w:t>
      </w:r>
      <w:r w:rsidR="000C3EBE">
        <w:t xml:space="preserve"> </w:t>
      </w:r>
      <w:r w:rsidR="00301030">
        <w:t>Mgr. Miroslav Suchý</w:t>
      </w:r>
    </w:p>
    <w:p w14:paraId="181FE456" w14:textId="77777777" w:rsidR="00014D68" w:rsidRPr="00301030" w:rsidRDefault="008162C5" w:rsidP="008162C5">
      <w:pPr>
        <w:jc w:val="both"/>
      </w:pPr>
      <w:r>
        <w:t xml:space="preserve">        Kra</w:t>
      </w:r>
      <w:r w:rsidR="002E72A0">
        <w:t>jský úřad Jihomoravského kraje</w:t>
      </w:r>
      <w:r w:rsidR="002E72A0">
        <w:tab/>
      </w:r>
      <w:r w:rsidR="002E72A0">
        <w:tab/>
      </w:r>
      <w:r w:rsidR="00301030" w:rsidRPr="00301030">
        <w:t xml:space="preserve">Základní umělecká škola Orchidea </w:t>
      </w:r>
      <w:proofErr w:type="spellStart"/>
      <w:r w:rsidR="00301030" w:rsidRPr="00301030">
        <w:t>clasic</w:t>
      </w:r>
      <w:proofErr w:type="spellEnd"/>
      <w:r w:rsidR="00301030" w:rsidRPr="00301030">
        <w:t xml:space="preserve"> s.r.o.</w:t>
      </w:r>
    </w:p>
    <w:sectPr w:rsidR="00014D68" w:rsidRPr="00301030" w:rsidSect="00AC2293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0200" w14:textId="77777777" w:rsidR="00316B59" w:rsidRDefault="00316B59">
      <w:r>
        <w:separator/>
      </w:r>
    </w:p>
  </w:endnote>
  <w:endnote w:type="continuationSeparator" w:id="0">
    <w:p w14:paraId="527B18AA" w14:textId="77777777" w:rsidR="00316B59" w:rsidRDefault="0031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C5C1" w14:textId="77777777" w:rsidR="008F6550" w:rsidRDefault="008F6550" w:rsidP="00DF50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F5ED3" w14:textId="77777777" w:rsidR="008F6550" w:rsidRDefault="008F65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64F9" w14:textId="77777777" w:rsidR="008F6550" w:rsidRDefault="008F6550" w:rsidP="00DF50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30D2">
      <w:rPr>
        <w:rStyle w:val="slostrnky"/>
        <w:noProof/>
      </w:rPr>
      <w:t>1</w:t>
    </w:r>
    <w:r>
      <w:rPr>
        <w:rStyle w:val="slostrnky"/>
      </w:rPr>
      <w:fldChar w:fldCharType="end"/>
    </w:r>
  </w:p>
  <w:p w14:paraId="010173A9" w14:textId="77777777" w:rsidR="008F6550" w:rsidRDefault="008F65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7C67" w14:textId="77777777" w:rsidR="00316B59" w:rsidRDefault="00316B59">
      <w:r>
        <w:separator/>
      </w:r>
    </w:p>
  </w:footnote>
  <w:footnote w:type="continuationSeparator" w:id="0">
    <w:p w14:paraId="0422CD8B" w14:textId="77777777" w:rsidR="00316B59" w:rsidRDefault="0031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A6E" w14:textId="1D4CA32F" w:rsidR="008F6550" w:rsidRDefault="008F6550">
    <w:pPr>
      <w:pStyle w:val="Zhlav"/>
    </w:pPr>
    <w:r>
      <w:tab/>
    </w:r>
    <w:r>
      <w:tab/>
    </w:r>
    <w:r w:rsidRPr="00E2581C">
      <w:t xml:space="preserve">Číslo smlouvy: </w:t>
    </w:r>
    <w:r w:rsidR="00800A91">
      <w:t xml:space="preserve">JMK </w:t>
    </w:r>
    <w:r w:rsidR="00FC1C2D" w:rsidRPr="00E2581C">
      <w:t>0</w:t>
    </w:r>
    <w:r w:rsidR="007A1538">
      <w:t>80926</w:t>
    </w:r>
    <w:r w:rsidR="006B7417">
      <w:t>/</w:t>
    </w:r>
    <w:r w:rsidR="00B421D5">
      <w:t>2</w:t>
    </w:r>
    <w:r w:rsidR="007A1538">
      <w:t>3</w:t>
    </w:r>
    <w:r w:rsidRPr="00E2581C">
      <w:t>/OŠ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48EB"/>
    <w:multiLevelType w:val="hybridMultilevel"/>
    <w:tmpl w:val="63E48C90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A70723F"/>
    <w:multiLevelType w:val="hybridMultilevel"/>
    <w:tmpl w:val="348C5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3D2D"/>
    <w:multiLevelType w:val="hybridMultilevel"/>
    <w:tmpl w:val="646AD226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FF83341"/>
    <w:multiLevelType w:val="hybridMultilevel"/>
    <w:tmpl w:val="186A080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6878DB"/>
    <w:multiLevelType w:val="multilevel"/>
    <w:tmpl w:val="348C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107288"/>
    <w:multiLevelType w:val="hybridMultilevel"/>
    <w:tmpl w:val="2654B9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262211"/>
    <w:multiLevelType w:val="hybridMultilevel"/>
    <w:tmpl w:val="44223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D4207"/>
    <w:multiLevelType w:val="hybridMultilevel"/>
    <w:tmpl w:val="8140E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B0620"/>
    <w:multiLevelType w:val="multilevel"/>
    <w:tmpl w:val="6270FFB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120421065">
    <w:abstractNumId w:val="3"/>
  </w:num>
  <w:num w:numId="2" w16cid:durableId="615452257">
    <w:abstractNumId w:val="0"/>
  </w:num>
  <w:num w:numId="3" w16cid:durableId="282925521">
    <w:abstractNumId w:val="8"/>
  </w:num>
  <w:num w:numId="4" w16cid:durableId="1791320130">
    <w:abstractNumId w:val="1"/>
  </w:num>
  <w:num w:numId="5" w16cid:durableId="1032924140">
    <w:abstractNumId w:val="4"/>
  </w:num>
  <w:num w:numId="6" w16cid:durableId="1810513020">
    <w:abstractNumId w:val="2"/>
  </w:num>
  <w:num w:numId="7" w16cid:durableId="187645466">
    <w:abstractNumId w:val="7"/>
  </w:num>
  <w:num w:numId="8" w16cid:durableId="458884109">
    <w:abstractNumId w:val="6"/>
  </w:num>
  <w:num w:numId="9" w16cid:durableId="1175075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8B"/>
    <w:rsid w:val="0000017A"/>
    <w:rsid w:val="00001DB3"/>
    <w:rsid w:val="00014D68"/>
    <w:rsid w:val="00072F5E"/>
    <w:rsid w:val="000B10A5"/>
    <w:rsid w:val="000C261C"/>
    <w:rsid w:val="000C3EBE"/>
    <w:rsid w:val="000F543E"/>
    <w:rsid w:val="0010208C"/>
    <w:rsid w:val="0010278C"/>
    <w:rsid w:val="00103B0F"/>
    <w:rsid w:val="0011269E"/>
    <w:rsid w:val="0011383C"/>
    <w:rsid w:val="00115BCF"/>
    <w:rsid w:val="001160F0"/>
    <w:rsid w:val="00125698"/>
    <w:rsid w:val="00134DA9"/>
    <w:rsid w:val="00160136"/>
    <w:rsid w:val="00166B7D"/>
    <w:rsid w:val="001671CE"/>
    <w:rsid w:val="001C091E"/>
    <w:rsid w:val="001D20A5"/>
    <w:rsid w:val="0020296E"/>
    <w:rsid w:val="002070AA"/>
    <w:rsid w:val="002547F1"/>
    <w:rsid w:val="00260F57"/>
    <w:rsid w:val="00263D36"/>
    <w:rsid w:val="00274E23"/>
    <w:rsid w:val="00282850"/>
    <w:rsid w:val="002E6686"/>
    <w:rsid w:val="002E72A0"/>
    <w:rsid w:val="00301030"/>
    <w:rsid w:val="00316B59"/>
    <w:rsid w:val="0032363E"/>
    <w:rsid w:val="00356702"/>
    <w:rsid w:val="0035775A"/>
    <w:rsid w:val="00367CE3"/>
    <w:rsid w:val="003B5103"/>
    <w:rsid w:val="003C041F"/>
    <w:rsid w:val="003D30D2"/>
    <w:rsid w:val="00406317"/>
    <w:rsid w:val="004473AB"/>
    <w:rsid w:val="00495902"/>
    <w:rsid w:val="004E15A6"/>
    <w:rsid w:val="005272DE"/>
    <w:rsid w:val="00531AFC"/>
    <w:rsid w:val="0055168B"/>
    <w:rsid w:val="005558F9"/>
    <w:rsid w:val="00571335"/>
    <w:rsid w:val="00587A86"/>
    <w:rsid w:val="005C5DCD"/>
    <w:rsid w:val="005E4FA8"/>
    <w:rsid w:val="005F15F9"/>
    <w:rsid w:val="005F48A0"/>
    <w:rsid w:val="00612FD1"/>
    <w:rsid w:val="00630C1A"/>
    <w:rsid w:val="00632619"/>
    <w:rsid w:val="00642038"/>
    <w:rsid w:val="006807C5"/>
    <w:rsid w:val="006875AF"/>
    <w:rsid w:val="006B7417"/>
    <w:rsid w:val="007237B7"/>
    <w:rsid w:val="00745917"/>
    <w:rsid w:val="00747418"/>
    <w:rsid w:val="00754BD2"/>
    <w:rsid w:val="007A1538"/>
    <w:rsid w:val="007A20F3"/>
    <w:rsid w:val="007D15F6"/>
    <w:rsid w:val="007E3CDB"/>
    <w:rsid w:val="007F6817"/>
    <w:rsid w:val="00800A91"/>
    <w:rsid w:val="008114CF"/>
    <w:rsid w:val="008162C5"/>
    <w:rsid w:val="00860337"/>
    <w:rsid w:val="00875C76"/>
    <w:rsid w:val="0088075F"/>
    <w:rsid w:val="008A6A91"/>
    <w:rsid w:val="008E7922"/>
    <w:rsid w:val="008F4FD6"/>
    <w:rsid w:val="008F6550"/>
    <w:rsid w:val="00923FCB"/>
    <w:rsid w:val="00927615"/>
    <w:rsid w:val="00960644"/>
    <w:rsid w:val="00980CDE"/>
    <w:rsid w:val="00983206"/>
    <w:rsid w:val="009B7E47"/>
    <w:rsid w:val="00A26E28"/>
    <w:rsid w:val="00A43C6D"/>
    <w:rsid w:val="00A43D42"/>
    <w:rsid w:val="00A4608D"/>
    <w:rsid w:val="00A800CC"/>
    <w:rsid w:val="00A80AF8"/>
    <w:rsid w:val="00A87283"/>
    <w:rsid w:val="00AA1CA2"/>
    <w:rsid w:val="00AB5B71"/>
    <w:rsid w:val="00AC2293"/>
    <w:rsid w:val="00B0085F"/>
    <w:rsid w:val="00B072CE"/>
    <w:rsid w:val="00B27881"/>
    <w:rsid w:val="00B421D5"/>
    <w:rsid w:val="00B43617"/>
    <w:rsid w:val="00B84265"/>
    <w:rsid w:val="00B8626D"/>
    <w:rsid w:val="00B87D49"/>
    <w:rsid w:val="00B956B4"/>
    <w:rsid w:val="00BD3F32"/>
    <w:rsid w:val="00C04A70"/>
    <w:rsid w:val="00C07657"/>
    <w:rsid w:val="00C60860"/>
    <w:rsid w:val="00CB15E0"/>
    <w:rsid w:val="00CD058A"/>
    <w:rsid w:val="00CD0EFB"/>
    <w:rsid w:val="00CD12BE"/>
    <w:rsid w:val="00CD42C9"/>
    <w:rsid w:val="00CE0FA4"/>
    <w:rsid w:val="00CF0DEC"/>
    <w:rsid w:val="00D04991"/>
    <w:rsid w:val="00D12682"/>
    <w:rsid w:val="00D2275B"/>
    <w:rsid w:val="00D24502"/>
    <w:rsid w:val="00D46847"/>
    <w:rsid w:val="00D92AEF"/>
    <w:rsid w:val="00DA7350"/>
    <w:rsid w:val="00DC4657"/>
    <w:rsid w:val="00DF14BF"/>
    <w:rsid w:val="00DF506A"/>
    <w:rsid w:val="00E01158"/>
    <w:rsid w:val="00E15A41"/>
    <w:rsid w:val="00E2581C"/>
    <w:rsid w:val="00E754ED"/>
    <w:rsid w:val="00E81618"/>
    <w:rsid w:val="00E822B8"/>
    <w:rsid w:val="00EA2493"/>
    <w:rsid w:val="00ED19D8"/>
    <w:rsid w:val="00ED6DF8"/>
    <w:rsid w:val="00ED7303"/>
    <w:rsid w:val="00EE1D65"/>
    <w:rsid w:val="00F302B9"/>
    <w:rsid w:val="00F40A69"/>
    <w:rsid w:val="00F44335"/>
    <w:rsid w:val="00F44CD6"/>
    <w:rsid w:val="00F564A7"/>
    <w:rsid w:val="00F8231C"/>
    <w:rsid w:val="00F83018"/>
    <w:rsid w:val="00FA5483"/>
    <w:rsid w:val="00FB5259"/>
    <w:rsid w:val="00FC1C2D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  <w14:docId w14:val="705EC475"/>
  <w15:chartTrackingRefBased/>
  <w15:docId w15:val="{F319BD3A-02B6-450A-9A53-FA73F97A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C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F50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506A"/>
  </w:style>
  <w:style w:type="paragraph" w:styleId="Zhlav">
    <w:name w:val="header"/>
    <w:basedOn w:val="Normln"/>
    <w:rsid w:val="00E15A4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E3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3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1231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Jihomoravského kraje</vt:lpstr>
    </vt:vector>
  </TitlesOfParts>
  <Company>Jihomoravský kraj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Jihomoravského kraje</dc:title>
  <dc:subject/>
  <dc:creator>kocvarek.karel</dc:creator>
  <cp:keywords/>
  <dc:description/>
  <cp:lastModifiedBy>Ronková Jana</cp:lastModifiedBy>
  <cp:revision>10</cp:revision>
  <cp:lastPrinted>2016-01-27T12:25:00Z</cp:lastPrinted>
  <dcterms:created xsi:type="dcterms:W3CDTF">2021-01-20T08:34:00Z</dcterms:created>
  <dcterms:modified xsi:type="dcterms:W3CDTF">2023-02-02T06:57:00Z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1791334567</vt:i4>
  </property>
  <property fmtid="{D5CDD505-2E9C-101B-9397-08002B2CF9AE}" pid="3" name="_EmailSubject">
    <vt:lpwstr>Smlouva - VSA VOŠ</vt:lpwstr>
  </property>
  <property fmtid="{D5CDD505-2E9C-101B-9397-08002B2CF9AE}" pid="4" name="_AuthorEmail">
    <vt:lpwstr>KOCVAREK.KAREL@kr-jihomoravsky.cz</vt:lpwstr>
  </property>
  <property fmtid="{D5CDD505-2E9C-101B-9397-08002B2CF9AE}" pid="5" name="_AuthorEmailDisplayName">
    <vt:lpwstr>Kočvárek Karel</vt:lpwstr>
  </property>
  <property fmtid="{D5CDD505-2E9C-101B-9397-08002B2CF9AE}" pid="6" name="_ReviewingToolsShownOnce">
    <vt:lpwstr/>
  </property>
  <property fmtid="{D5CDD505-2E9C-101B-9397-08002B2CF9AE}" pid="7" name="MSIP_Label_690ebb53-23a2-471a-9c6e-17bd0d11311e_Enabled">
    <vt:lpwstr>True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Owner">
    <vt:lpwstr>RONKOVA.JANA@kr-jihomoravsky.cz</vt:lpwstr>
  </property>
  <property fmtid="{D5CDD505-2E9C-101B-9397-08002B2CF9AE}" pid="10" name="MSIP_Label_690ebb53-23a2-471a-9c6e-17bd0d11311e_SetDate">
    <vt:lpwstr>2020-02-03T17:02:48.2997191Z</vt:lpwstr>
  </property>
  <property fmtid="{D5CDD505-2E9C-101B-9397-08002B2CF9AE}" pid="11" name="MSIP_Label_690ebb53-23a2-471a-9c6e-17bd0d11311e_Name">
    <vt:lpwstr>Verejne</vt:lpwstr>
  </property>
  <property fmtid="{D5CDD505-2E9C-101B-9397-08002B2CF9AE}" pid="12" name="MSIP_Label_690ebb53-23a2-471a-9c6e-17bd0d11311e_Application">
    <vt:lpwstr>Microsoft Azure Information Protection</vt:lpwstr>
  </property>
  <property fmtid="{D5CDD505-2E9C-101B-9397-08002B2CF9AE}" pid="13" name="MSIP_Label_690ebb53-23a2-471a-9c6e-17bd0d11311e_Extended_MSFT_Method">
    <vt:lpwstr>Automatic</vt:lpwstr>
  </property>
  <property fmtid="{D5CDD505-2E9C-101B-9397-08002B2CF9AE}" pid="14" name="Sensitivity">
    <vt:lpwstr>Verejne</vt:lpwstr>
  </property>
</Properties>
</file>