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ECAE3" w14:textId="77777777" w:rsidR="00726B26" w:rsidRPr="00726B26" w:rsidRDefault="00014CFB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KUPNÍ SMLOUVA</w:t>
      </w:r>
    </w:p>
    <w:p w14:paraId="08DA1560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3172AC1D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17419CC5" w14:textId="77777777" w:rsidR="00726B26" w:rsidRDefault="00726B26" w:rsidP="00726B26"/>
    <w:p w14:paraId="69425572" w14:textId="77777777" w:rsidR="00E8510B" w:rsidRPr="00726B26" w:rsidRDefault="00E8510B" w:rsidP="00E8510B">
      <w:pPr>
        <w:rPr>
          <w:b/>
        </w:rPr>
      </w:pPr>
      <w:r>
        <w:rPr>
          <w:b/>
        </w:rPr>
        <w:t>UNIS COMPUTERS, a. s.</w:t>
      </w:r>
    </w:p>
    <w:p w14:paraId="30D4F2B9" w14:textId="77777777" w:rsidR="00E8510B" w:rsidRDefault="00E8510B" w:rsidP="00E8510B">
      <w:r>
        <w:t>IČ: 63476223</w:t>
      </w:r>
    </w:p>
    <w:p w14:paraId="747063CB" w14:textId="77777777" w:rsidR="00E8510B" w:rsidRPr="00512AB9" w:rsidRDefault="00E8510B" w:rsidP="00E8510B">
      <w:r>
        <w:t>DIČ: CZ63476223</w:t>
      </w:r>
    </w:p>
    <w:p w14:paraId="16B1529E" w14:textId="77777777" w:rsidR="00E8510B" w:rsidRPr="00512AB9" w:rsidRDefault="00E8510B" w:rsidP="00E8510B">
      <w:r>
        <w:t>se sídlem</w:t>
      </w:r>
      <w:r w:rsidRPr="00512AB9">
        <w:t xml:space="preserve">:  </w:t>
      </w:r>
      <w:r>
        <w:t>Jundrovská 618/31, 624 00 Brno</w:t>
      </w:r>
    </w:p>
    <w:p w14:paraId="2BBB3238" w14:textId="77777777" w:rsidR="00E8510B" w:rsidRPr="00512AB9" w:rsidRDefault="00E8510B" w:rsidP="00E8510B">
      <w:r>
        <w:t>zastoupena</w:t>
      </w:r>
      <w:r w:rsidRPr="00512AB9">
        <w:t xml:space="preserve">: </w:t>
      </w:r>
      <w:r>
        <w:t>Ing. Vítězslavem Machem, členem představenstva</w:t>
      </w:r>
    </w:p>
    <w:p w14:paraId="4782585F" w14:textId="77777777" w:rsidR="00E8510B" w:rsidRPr="00512AB9" w:rsidRDefault="00E8510B" w:rsidP="00E8510B">
      <w:r w:rsidRPr="00512AB9">
        <w:t xml:space="preserve">bankovní spojení: </w:t>
      </w:r>
      <w:proofErr w:type="spellStart"/>
      <w:r>
        <w:t>UniCredit</w:t>
      </w:r>
      <w:proofErr w:type="spellEnd"/>
      <w:r>
        <w:t xml:space="preserve"> Bank Czech Republic and Slovakia, a.s.</w:t>
      </w:r>
    </w:p>
    <w:p w14:paraId="6E852008" w14:textId="77777777" w:rsidR="00E8510B" w:rsidRPr="00512AB9" w:rsidRDefault="00E8510B" w:rsidP="00E8510B">
      <w:r w:rsidRPr="00512AB9">
        <w:t xml:space="preserve">číslo účtu: </w:t>
      </w:r>
      <w:r>
        <w:t>39921026/2700</w:t>
      </w:r>
    </w:p>
    <w:p w14:paraId="042AC5DA" w14:textId="77777777" w:rsidR="00E8510B" w:rsidRPr="00512AB9" w:rsidRDefault="00E8510B" w:rsidP="00E8510B">
      <w:pPr>
        <w:jc w:val="left"/>
      </w:pPr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t xml:space="preserve">Krajským </w:t>
      </w:r>
      <w:r w:rsidRPr="00652864">
        <w:t>soudem v </w:t>
      </w:r>
      <w:r>
        <w:t>Brně</w:t>
      </w:r>
      <w:r w:rsidRPr="00652864">
        <w:t xml:space="preserve">, oddíl </w:t>
      </w:r>
      <w:r>
        <w:t>B</w:t>
      </w:r>
      <w:r w:rsidRPr="00652864">
        <w:t xml:space="preserve">, vložka </w:t>
      </w:r>
      <w:r>
        <w:t>6087,</w:t>
      </w:r>
    </w:p>
    <w:p w14:paraId="72971322" w14:textId="77777777" w:rsidR="00726B26" w:rsidRPr="002B77A6" w:rsidRDefault="00726B26" w:rsidP="00726B26">
      <w:pPr>
        <w:rPr>
          <w:rStyle w:val="platne1"/>
        </w:rPr>
      </w:pPr>
    </w:p>
    <w:p w14:paraId="28C60493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4FAA53BE" w14:textId="77777777" w:rsidR="00726B26" w:rsidRPr="002B77A6" w:rsidRDefault="00726B26" w:rsidP="00726B26">
      <w:pPr>
        <w:rPr>
          <w:rStyle w:val="platne1"/>
        </w:rPr>
      </w:pPr>
    </w:p>
    <w:p w14:paraId="545B7FC8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5541FABD" w14:textId="77777777" w:rsidR="00726B26" w:rsidRPr="002B77A6" w:rsidRDefault="00726B26" w:rsidP="00726B26">
      <w:pPr>
        <w:rPr>
          <w:rStyle w:val="platne1"/>
        </w:rPr>
      </w:pPr>
    </w:p>
    <w:p w14:paraId="5F3D11C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44DF04EF" w14:textId="77777777" w:rsidR="00726B26" w:rsidRPr="002B77A6" w:rsidRDefault="00726B26" w:rsidP="00726B26">
      <w:r w:rsidRPr="002B77A6">
        <w:t>IČ: 65269705</w:t>
      </w:r>
    </w:p>
    <w:p w14:paraId="3ACD2D46" w14:textId="77777777" w:rsidR="00726B26" w:rsidRPr="002B77A6" w:rsidRDefault="00726B26" w:rsidP="00726B26">
      <w:r w:rsidRPr="002B77A6">
        <w:t>DIČ: CZ65269705</w:t>
      </w:r>
    </w:p>
    <w:p w14:paraId="6C4EB835" w14:textId="77777777" w:rsidR="00726B26" w:rsidRPr="002B77A6" w:rsidRDefault="00726B26" w:rsidP="00726B26">
      <w:r w:rsidRPr="002B77A6">
        <w:t xml:space="preserve">se sídlem: Brno, Jihlavská 20, PSČ 625 00 </w:t>
      </w:r>
    </w:p>
    <w:p w14:paraId="22FDCB08" w14:textId="77777777" w:rsidR="00726B26" w:rsidRPr="002B77A6" w:rsidRDefault="00726B26" w:rsidP="00726B26">
      <w:r>
        <w:t>zastoupena</w:t>
      </w:r>
      <w:r w:rsidRPr="002B77A6">
        <w:t xml:space="preserve">: </w:t>
      </w:r>
      <w:r w:rsidR="002003F2" w:rsidRPr="002003F2">
        <w:t xml:space="preserve">MUDr. </w:t>
      </w:r>
      <w:r w:rsidR="00B927D9">
        <w:t>Ivo Rovný</w:t>
      </w:r>
      <w:r w:rsidR="002003F2" w:rsidRPr="002003F2">
        <w:t xml:space="preserve">, </w:t>
      </w:r>
      <w:r w:rsidR="00B927D9">
        <w:t>MBA</w:t>
      </w:r>
      <w:r w:rsidRPr="002B77A6">
        <w:t xml:space="preserve">, ředitel </w:t>
      </w:r>
    </w:p>
    <w:p w14:paraId="7D62BC75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4FE4CA71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1737274C" w14:textId="77777777" w:rsidR="00726B26" w:rsidRDefault="00726B26" w:rsidP="00726B26"/>
    <w:p w14:paraId="39EB44B5" w14:textId="77777777" w:rsidR="00726B26" w:rsidRDefault="00726B26" w:rsidP="00735A8F">
      <w:pPr>
        <w:spacing w:line="240" w:lineRule="auto"/>
      </w:pPr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1B7B324" w14:textId="77777777" w:rsidR="00EC32A0" w:rsidRPr="002B77A6" w:rsidRDefault="00EC32A0" w:rsidP="00735A8F">
      <w:pPr>
        <w:spacing w:line="240" w:lineRule="auto"/>
      </w:pPr>
    </w:p>
    <w:p w14:paraId="4F602852" w14:textId="77777777" w:rsidR="00726B26" w:rsidRPr="002B77A6" w:rsidRDefault="00726B26" w:rsidP="00726B26">
      <w:pPr>
        <w:rPr>
          <w:rStyle w:val="platne1"/>
        </w:rPr>
      </w:pPr>
    </w:p>
    <w:p w14:paraId="36F7AD21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56B98E93" w14:textId="77777777" w:rsidR="00726B26" w:rsidRPr="002B77A6" w:rsidRDefault="00726B26" w:rsidP="00726B26">
      <w:pPr>
        <w:rPr>
          <w:rStyle w:val="platne1"/>
        </w:rPr>
      </w:pPr>
    </w:p>
    <w:p w14:paraId="279F711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2AC2A1CD" w14:textId="77777777" w:rsidR="00EA1909" w:rsidRDefault="00EA1909">
      <w:pPr>
        <w:spacing w:line="240" w:lineRule="auto"/>
        <w:jc w:val="left"/>
        <w:rPr>
          <w:b/>
          <w:bCs/>
          <w:caps/>
        </w:rPr>
      </w:pPr>
      <w:bookmarkStart w:id="0" w:name="_Ref526843050"/>
    </w:p>
    <w:p w14:paraId="07C60786" w14:textId="77777777" w:rsidR="00EA1909" w:rsidRDefault="00EA1909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531B4F2F" w14:textId="77777777" w:rsidR="00EA1909" w:rsidRDefault="00EA1909" w:rsidP="00014CFB">
      <w:pPr>
        <w:pStyle w:val="Nadpis1"/>
      </w:pPr>
      <w:r>
        <w:lastRenderedPageBreak/>
        <w:t>Účel smlouvy a úvodní ujednání</w:t>
      </w:r>
    </w:p>
    <w:p w14:paraId="59B99E0E" w14:textId="77777777" w:rsidR="00EA1909" w:rsidRDefault="00EA1909" w:rsidP="00EA1909"/>
    <w:p w14:paraId="40F17313" w14:textId="06E00AEB" w:rsidR="00EA1909" w:rsidRDefault="00014D27" w:rsidP="00F6762B">
      <w:pPr>
        <w:pStyle w:val="Odstavecsmlouvy"/>
      </w:pPr>
      <w:r>
        <w:t xml:space="preserve">Prodávající přenechal Kupujícímu na základě </w:t>
      </w:r>
      <w:r w:rsidR="00BE6AAA">
        <w:t xml:space="preserve">dříve </w:t>
      </w:r>
      <w:r w:rsidR="00DA5C0E">
        <w:t xml:space="preserve">uzavřené </w:t>
      </w:r>
      <w:r>
        <w:t xml:space="preserve">smlouvy </w:t>
      </w:r>
      <w:r w:rsidR="00EA1909">
        <w:t>(dále jen „</w:t>
      </w:r>
      <w:r w:rsidR="00EA1909" w:rsidRPr="00EA1909">
        <w:rPr>
          <w:b/>
        </w:rPr>
        <w:t xml:space="preserve">Smlouva o </w:t>
      </w:r>
      <w:r>
        <w:rPr>
          <w:b/>
        </w:rPr>
        <w:t>užívání sondy</w:t>
      </w:r>
      <w:r w:rsidR="00EA1909">
        <w:t xml:space="preserve">“) </w:t>
      </w:r>
      <w:r>
        <w:t xml:space="preserve">do užívání síťovou sondu </w:t>
      </w:r>
      <w:r w:rsidR="00F6762B">
        <w:t xml:space="preserve">výrobce </w:t>
      </w:r>
      <w:proofErr w:type="spellStart"/>
      <w:r w:rsidR="00F6762B" w:rsidRPr="00F6762B">
        <w:t>Flowmon</w:t>
      </w:r>
      <w:proofErr w:type="spellEnd"/>
      <w:r w:rsidR="00F6762B" w:rsidRPr="00F6762B">
        <w:t xml:space="preserve"> </w:t>
      </w:r>
      <w:proofErr w:type="spellStart"/>
      <w:r w:rsidR="00F6762B" w:rsidRPr="00F6762B">
        <w:t>Networks</w:t>
      </w:r>
      <w:proofErr w:type="spellEnd"/>
      <w:r w:rsidR="00F6762B" w:rsidRPr="00F6762B">
        <w:t xml:space="preserve"> a.s.</w:t>
      </w:r>
      <w:r>
        <w:t xml:space="preserve"> specifikovanou v příloze č. 1 této smlouvy (dále jen „</w:t>
      </w:r>
      <w:r w:rsidRPr="00014D27">
        <w:rPr>
          <w:b/>
        </w:rPr>
        <w:t>Sonda</w:t>
      </w:r>
      <w:r>
        <w:t>“</w:t>
      </w:r>
      <w:r w:rsidR="00601886">
        <w:t xml:space="preserve"> nebo „</w:t>
      </w:r>
      <w:r w:rsidR="00601886" w:rsidRPr="00601886">
        <w:rPr>
          <w:b/>
        </w:rPr>
        <w:t>Zboží</w:t>
      </w:r>
      <w:r w:rsidR="00601886">
        <w:t>“)</w:t>
      </w:r>
      <w:r w:rsidR="00EA1909">
        <w:t>.</w:t>
      </w:r>
    </w:p>
    <w:p w14:paraId="09D880A3" w14:textId="77777777" w:rsidR="00601886" w:rsidRDefault="00601886" w:rsidP="00601886">
      <w:pPr>
        <w:pStyle w:val="Odstavecsmlouvy"/>
        <w:numPr>
          <w:ilvl w:val="0"/>
          <w:numId w:val="0"/>
        </w:numPr>
        <w:ind w:left="567"/>
      </w:pPr>
    </w:p>
    <w:p w14:paraId="158ADEF8" w14:textId="3FF0DFA8" w:rsidR="00601886" w:rsidRDefault="00014D27" w:rsidP="00D029A4">
      <w:pPr>
        <w:pStyle w:val="Odstavecsmlouvy"/>
      </w:pPr>
      <w:r>
        <w:t xml:space="preserve">Kupující Sondu využívá pro monitoring provozu ve své síťové infrastruktuře. Sonda proto </w:t>
      </w:r>
      <w:r w:rsidR="00601886">
        <w:t>obsahuje data</w:t>
      </w:r>
      <w:r>
        <w:t xml:space="preserve"> o provozu síťové infrastruktury Kupujícího</w:t>
      </w:r>
      <w:r w:rsidR="00D029A4">
        <w:t xml:space="preserve"> (dále jen „</w:t>
      </w:r>
      <w:r w:rsidR="00D029A4" w:rsidRPr="00D029A4">
        <w:rPr>
          <w:b/>
        </w:rPr>
        <w:t>Data</w:t>
      </w:r>
      <w:r w:rsidR="00D029A4">
        <w:t xml:space="preserve">“). Součástí </w:t>
      </w:r>
      <w:r>
        <w:t xml:space="preserve">Sondy </w:t>
      </w:r>
      <w:r w:rsidR="00D029A4">
        <w:t>jsou rovněž počítačové programy</w:t>
      </w:r>
      <w:r w:rsidR="00CE378C">
        <w:t xml:space="preserve"> specifikované v příloze č. 1 této smlouvy</w:t>
      </w:r>
      <w:r w:rsidR="00D029A4">
        <w:t xml:space="preserve">, </w:t>
      </w:r>
      <w:r>
        <w:t xml:space="preserve">včetně </w:t>
      </w:r>
      <w:r w:rsidR="00D029A4">
        <w:t>operační</w:t>
      </w:r>
      <w:r>
        <w:t>ho</w:t>
      </w:r>
      <w:r w:rsidR="00D029A4">
        <w:t xml:space="preserve"> systém</w:t>
      </w:r>
      <w:r>
        <w:t>u</w:t>
      </w:r>
      <w:r w:rsidR="00D029A4">
        <w:t xml:space="preserve">, které se </w:t>
      </w:r>
      <w:r w:rsidR="00E03F8C">
        <w:t xml:space="preserve">včetně užívacích práv </w:t>
      </w:r>
      <w:r w:rsidR="00D029A4">
        <w:t xml:space="preserve">považují za součást </w:t>
      </w:r>
      <w:r>
        <w:t xml:space="preserve">Sondy </w:t>
      </w:r>
      <w:r w:rsidR="00D029A4">
        <w:t>(tyto počítačové programy včetně operačního systému dále jen „</w:t>
      </w:r>
      <w:r w:rsidR="00D029A4" w:rsidRPr="00D029A4">
        <w:rPr>
          <w:b/>
        </w:rPr>
        <w:t>Software</w:t>
      </w:r>
      <w:r w:rsidR="00D029A4">
        <w:t>“).</w:t>
      </w:r>
    </w:p>
    <w:p w14:paraId="0B988AC4" w14:textId="77777777" w:rsidR="00D029A4" w:rsidRDefault="00D029A4" w:rsidP="00D029A4">
      <w:pPr>
        <w:pStyle w:val="Odstavecsmlouvy"/>
        <w:numPr>
          <w:ilvl w:val="0"/>
          <w:numId w:val="0"/>
        </w:numPr>
        <w:ind w:left="567"/>
      </w:pPr>
    </w:p>
    <w:p w14:paraId="296CE6C2" w14:textId="2DEB58CD" w:rsidR="00CE378C" w:rsidRDefault="00CE378C" w:rsidP="00D029A4">
      <w:pPr>
        <w:pStyle w:val="Odstavecsmlouvy"/>
      </w:pPr>
      <w:r>
        <w:t>K Sondě včetně Software je uzavřena smlouva o poskytování služeb podpory výrobcem Sondy</w:t>
      </w:r>
      <w:r w:rsidR="002A643E">
        <w:t xml:space="preserve"> trvající do 31. 3. 2025</w:t>
      </w:r>
      <w:r>
        <w:t>, přičemž tato smlouva a tyto služby jsou specifikovány v příloze č. 1 této smlouvy (tyto služby dále jen „</w:t>
      </w:r>
      <w:r w:rsidRPr="00CE378C">
        <w:rPr>
          <w:b/>
        </w:rPr>
        <w:t>Služby</w:t>
      </w:r>
      <w:r>
        <w:t>“; tato smlouva dále jen „</w:t>
      </w:r>
      <w:r w:rsidRPr="00CE378C">
        <w:rPr>
          <w:b/>
        </w:rPr>
        <w:t>Smlouva o poskytování Služeb</w:t>
      </w:r>
      <w:r>
        <w:t>“).</w:t>
      </w:r>
    </w:p>
    <w:p w14:paraId="0A9F3AD1" w14:textId="77777777" w:rsidR="00CE378C" w:rsidRDefault="00CE378C" w:rsidP="00CE378C">
      <w:pPr>
        <w:pStyle w:val="Odstavecsmlouvy"/>
        <w:numPr>
          <w:ilvl w:val="0"/>
          <w:numId w:val="0"/>
        </w:numPr>
        <w:ind w:left="567"/>
      </w:pPr>
    </w:p>
    <w:p w14:paraId="76103D4B" w14:textId="6CA2057F" w:rsidR="00D029A4" w:rsidRDefault="00D029A4" w:rsidP="00D029A4">
      <w:pPr>
        <w:pStyle w:val="Odstavecsmlouvy"/>
      </w:pPr>
      <w:r>
        <w:t xml:space="preserve">Účelem této smlouvy je sjednání koupě a převod práv tak, aby se Kupující stal výlučným vlastníkem </w:t>
      </w:r>
      <w:r w:rsidR="00014D27">
        <w:t>Sondy</w:t>
      </w:r>
      <w:r>
        <w:t xml:space="preserve">, </w:t>
      </w:r>
      <w:r w:rsidR="00E03F8C">
        <w:t xml:space="preserve">aby Kupující držel veškerá </w:t>
      </w:r>
      <w:r>
        <w:t>Dat</w:t>
      </w:r>
      <w:r w:rsidR="00E03F8C">
        <w:t>a</w:t>
      </w:r>
      <w:r>
        <w:t xml:space="preserve"> a převod veškerých práv k Software a Datům, která náleží Prodávajícímu, na Kupujícího. </w:t>
      </w:r>
      <w:r w:rsidR="00CE378C">
        <w:t>Účelem této smlouvy je dále postoupení Smlouvy o poskytování Služeb z Prodávajícího na Kupujícího.</w:t>
      </w:r>
    </w:p>
    <w:p w14:paraId="680C5A02" w14:textId="77777777" w:rsidR="00D029A4" w:rsidRDefault="00D029A4" w:rsidP="00D029A4">
      <w:pPr>
        <w:pStyle w:val="Odstavecsmlouvy"/>
        <w:numPr>
          <w:ilvl w:val="0"/>
          <w:numId w:val="0"/>
        </w:numPr>
        <w:ind w:left="567"/>
      </w:pPr>
    </w:p>
    <w:p w14:paraId="3CE5F0FE" w14:textId="6B1407E1" w:rsidR="00D029A4" w:rsidRDefault="00D029A4" w:rsidP="00D029A4">
      <w:pPr>
        <w:pStyle w:val="Odstavecsmlouvy"/>
      </w:pPr>
      <w:r>
        <w:t>Není-li výslovně uvedeno jinak, rozumí se dále pod pojmy „</w:t>
      </w:r>
      <w:r w:rsidR="00CE378C">
        <w:t>Sonda</w:t>
      </w:r>
      <w:r>
        <w:t>“ a „Zboží“ rovněž Software a Data.</w:t>
      </w:r>
    </w:p>
    <w:p w14:paraId="5C5B1A30" w14:textId="77777777" w:rsidR="00EA1909" w:rsidRPr="00EA1909" w:rsidRDefault="00EA1909" w:rsidP="00EA1909"/>
    <w:p w14:paraId="2E087C14" w14:textId="77777777" w:rsidR="00014CFB" w:rsidRDefault="00014CFB" w:rsidP="00014CFB">
      <w:pPr>
        <w:pStyle w:val="Nadpis1"/>
      </w:pPr>
      <w:r>
        <w:t>Předmět smlouvy</w:t>
      </w:r>
    </w:p>
    <w:p w14:paraId="168CE089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358EB65F" w14:textId="1FF5661B" w:rsidR="00EA1909" w:rsidRDefault="00EA1909" w:rsidP="00EA1909">
      <w:pPr>
        <w:pStyle w:val="Odstavecsmlouvy"/>
      </w:pPr>
      <w:r w:rsidRPr="00544555">
        <w:t xml:space="preserve">Předmětem této smlouvy je </w:t>
      </w:r>
      <w:r w:rsidR="00693446">
        <w:t xml:space="preserve">zejména </w:t>
      </w:r>
      <w:r w:rsidRPr="00544555">
        <w:t xml:space="preserve">sjednání závazku Prodávajícího dodat Kupujícímu řádně a včas dále specifikované </w:t>
      </w:r>
      <w:r w:rsidR="00E03F8C">
        <w:t>Z</w:t>
      </w:r>
      <w:r w:rsidRPr="00544555">
        <w:t xml:space="preserve">boží, sjednání závazku Prodávajícího převést na Kupujícího vlastnické právo ke </w:t>
      </w:r>
      <w:r w:rsidR="00E03F8C">
        <w:t>Z</w:t>
      </w:r>
      <w:r w:rsidRPr="00544555">
        <w:t xml:space="preserve">boží a dále sjednání závazku Kupujícího řádně a včas dodané </w:t>
      </w:r>
      <w:r w:rsidR="00E03F8C">
        <w:t>Z</w:t>
      </w:r>
      <w:r w:rsidRPr="00544555">
        <w:t xml:space="preserve">boží převzít a zaplatit za něj Prodávajícímu sjednanou </w:t>
      </w:r>
      <w:r>
        <w:t>K</w:t>
      </w:r>
      <w:r w:rsidRPr="00544555">
        <w:t>upní cenu.</w:t>
      </w:r>
    </w:p>
    <w:p w14:paraId="3EF722BE" w14:textId="77777777" w:rsidR="00EA1909" w:rsidRDefault="00EA1909" w:rsidP="00EA1909">
      <w:pPr>
        <w:pStyle w:val="Odstavecsmlouvy"/>
        <w:numPr>
          <w:ilvl w:val="0"/>
          <w:numId w:val="0"/>
        </w:numPr>
        <w:ind w:left="567"/>
      </w:pPr>
    </w:p>
    <w:p w14:paraId="29FCB0C3" w14:textId="0D187C0D" w:rsidR="00EA1909" w:rsidRDefault="00EA1909" w:rsidP="00EA1909">
      <w:pPr>
        <w:pStyle w:val="Odstavecsmlouvy"/>
      </w:pPr>
      <w:r>
        <w:t xml:space="preserve">Prodávající se zavazuje </w:t>
      </w:r>
      <w:r w:rsidR="00CE378C">
        <w:t>pře</w:t>
      </w:r>
      <w:r>
        <w:t xml:space="preserve">dat Kupujícímu Zboží </w:t>
      </w:r>
      <w:r w:rsidRPr="00800E75">
        <w:rPr>
          <w:b/>
        </w:rPr>
        <w:t xml:space="preserve">do </w:t>
      </w:r>
      <w:r w:rsidR="00D029A4" w:rsidRPr="00800E75">
        <w:rPr>
          <w:b/>
        </w:rPr>
        <w:t>4</w:t>
      </w:r>
      <w:r w:rsidRPr="00800E75">
        <w:rPr>
          <w:b/>
        </w:rPr>
        <w:t xml:space="preserve"> kalendářních týdnů</w:t>
      </w:r>
      <w:r>
        <w:t xml:space="preserve"> od nabytí účinnosti této smlouvy</w:t>
      </w:r>
      <w:r w:rsidR="00D029A4">
        <w:t>. K</w:t>
      </w:r>
      <w:r>
        <w:t xml:space="preserve">upující se zavazuje řádně </w:t>
      </w:r>
      <w:r w:rsidR="00CE378C">
        <w:t>pře</w:t>
      </w:r>
      <w:r>
        <w:t>dané Zboží převzít.</w:t>
      </w:r>
    </w:p>
    <w:p w14:paraId="2A7148DC" w14:textId="77777777" w:rsidR="00693446" w:rsidRDefault="00693446" w:rsidP="00693446">
      <w:pPr>
        <w:pStyle w:val="Odstavecsmlouvy"/>
        <w:numPr>
          <w:ilvl w:val="0"/>
          <w:numId w:val="0"/>
        </w:numPr>
        <w:ind w:left="567"/>
      </w:pPr>
    </w:p>
    <w:p w14:paraId="7F5BB03F" w14:textId="03DA6055" w:rsidR="00CE378C" w:rsidRDefault="00CE378C" w:rsidP="00EA1909">
      <w:pPr>
        <w:pStyle w:val="Odstavecsmlouvy"/>
      </w:pPr>
      <w:bookmarkStart w:id="1" w:name="_Ref120025890"/>
      <w:r>
        <w:t xml:space="preserve">Prodávající je povinen ve lhůtě sjednané pro předání Zboží převést svá práva a povinnosti ze Smlouvy o poskytování Služeb na Kupujícího a </w:t>
      </w:r>
      <w:r w:rsidR="00693446">
        <w:t>za tím účelem zajistit předchozí souhlas poskytovatele Služeb s tímto postoupením Smlouvy o poskytování Služeb. Prodávající je povinen bez zbytečného odkladu uhradit namísto Kupujícího veškeré pohledávky poskytovatele Služeb dle Smlouvy o poskytování Služeb, které vzniknou v důsledku nesplnění povinnosti Prodávajícího dle věty první. Neposkytne-li poskytovatel Služeb souhlas dle věty první, je Kupující oprávněn od této Smlouvy odstoupit.</w:t>
      </w:r>
      <w:bookmarkEnd w:id="1"/>
    </w:p>
    <w:p w14:paraId="5E15E53B" w14:textId="77777777" w:rsidR="00EA1909" w:rsidRDefault="00EA1909" w:rsidP="00EA1909">
      <w:pPr>
        <w:pStyle w:val="Odstavecsmlouvy"/>
        <w:numPr>
          <w:ilvl w:val="0"/>
          <w:numId w:val="0"/>
        </w:numPr>
        <w:ind w:left="567"/>
      </w:pPr>
    </w:p>
    <w:p w14:paraId="0907F1B6" w14:textId="451C97E5" w:rsidR="00544555" w:rsidRPr="00544555" w:rsidRDefault="00544555" w:rsidP="00544555">
      <w:pPr>
        <w:pStyle w:val="Odstavecsmlouvy"/>
      </w:pPr>
      <w:r>
        <w:t>Prodávající je povinen předat Kupujícímu společně se Zbožím veškerou dokumentaci nutnou k převzetí a řádnému užívání Zboží</w:t>
      </w:r>
      <w:r w:rsidR="00AB516B">
        <w:t xml:space="preserve">, </w:t>
      </w:r>
      <w:r w:rsidR="00693446">
        <w:t xml:space="preserve">Služeb, </w:t>
      </w:r>
      <w:r w:rsidR="00AB516B">
        <w:t>Software a Dat, jakož i dokumentaci nezbytnou k čerpání záruky specifikované v příloze č. 1 této smlouvy</w:t>
      </w:r>
      <w:r w:rsidR="00693446">
        <w:t>, ledaže je tato záruka součástí Služeb,</w:t>
      </w:r>
      <w:r>
        <w:t xml:space="preserve"> a dokumentaci, kterou vyžadují příslušné právní předpisy (tyto a následující doklady dále souhrnně jen „</w:t>
      </w:r>
      <w:r w:rsidRPr="00EA4C8B">
        <w:rPr>
          <w:b/>
        </w:rPr>
        <w:t>Doklady</w:t>
      </w:r>
      <w:r>
        <w:t>“), a to zejména</w:t>
      </w:r>
      <w:r w:rsidRPr="00544555">
        <w:t>:</w:t>
      </w:r>
    </w:p>
    <w:p w14:paraId="10D08E77" w14:textId="1862C946" w:rsidR="00544555" w:rsidRPr="00544555" w:rsidRDefault="00544555" w:rsidP="00544555">
      <w:pPr>
        <w:pStyle w:val="Psmenoodstavce"/>
      </w:pPr>
      <w:r>
        <w:t xml:space="preserve">tzv. </w:t>
      </w:r>
      <w:proofErr w:type="spellStart"/>
      <w:r w:rsidRPr="00544555">
        <w:t>datasheet</w:t>
      </w:r>
      <w:r>
        <w:t>y</w:t>
      </w:r>
      <w:proofErr w:type="spellEnd"/>
      <w:r>
        <w:t xml:space="preserve"> ke Zboží</w:t>
      </w:r>
      <w:r w:rsidR="00693446">
        <w:t xml:space="preserve"> nebo obdobné materiály</w:t>
      </w:r>
      <w:r>
        <w:t>;</w:t>
      </w:r>
    </w:p>
    <w:p w14:paraId="2BF61950" w14:textId="77777777" w:rsidR="00544555" w:rsidRDefault="00544555" w:rsidP="00544555">
      <w:pPr>
        <w:pStyle w:val="Psmenoodstavce"/>
      </w:pPr>
      <w:r>
        <w:t>p</w:t>
      </w:r>
      <w:r w:rsidRPr="00544555">
        <w:t>rohlášení o shodě dle zákona č. 22/1997 Sb., o technických požadavcích na výrobky, ve znění pozdějších předpisů</w:t>
      </w:r>
      <w:r>
        <w:t>,</w:t>
      </w:r>
      <w:r w:rsidR="00AB516B">
        <w:t xml:space="preserve"> a to v českém jazyce;</w:t>
      </w:r>
    </w:p>
    <w:p w14:paraId="7CFB81DB" w14:textId="43C9EC7C" w:rsidR="00B927D9" w:rsidRDefault="00AB516B" w:rsidP="006F63BA">
      <w:pPr>
        <w:pStyle w:val="Psmenoodstavce"/>
        <w:numPr>
          <w:ilvl w:val="0"/>
          <w:numId w:val="0"/>
        </w:numPr>
        <w:ind w:left="1418"/>
      </w:pPr>
      <w:r>
        <w:t>veškeré přístupové údaje nezbytné k provozování Zboží a Software</w:t>
      </w:r>
      <w:r w:rsidR="00693446">
        <w:t>, k čerpání Služeb</w:t>
      </w:r>
      <w:r>
        <w:t xml:space="preserve"> a k časově neomezenému čtení Dat v otevřené podobě, tj. zejména veškeré nezbytné </w:t>
      </w:r>
      <w:proofErr w:type="spellStart"/>
      <w:r>
        <w:t>loginy</w:t>
      </w:r>
      <w:proofErr w:type="spellEnd"/>
      <w:r>
        <w:t>, hesla apod.</w:t>
      </w:r>
    </w:p>
    <w:p w14:paraId="57B1AE89" w14:textId="77777777" w:rsidR="00525505" w:rsidRDefault="00525505" w:rsidP="00525505">
      <w:pPr>
        <w:pStyle w:val="Odstavecsmlouvy"/>
        <w:numPr>
          <w:ilvl w:val="0"/>
          <w:numId w:val="0"/>
        </w:numPr>
        <w:ind w:left="567"/>
      </w:pPr>
    </w:p>
    <w:p w14:paraId="5681A0E6" w14:textId="11E53DB8" w:rsidR="00AB516B" w:rsidRDefault="00AB516B" w:rsidP="00525505">
      <w:pPr>
        <w:pStyle w:val="Odstavecsmlouvy"/>
      </w:pPr>
      <w:r>
        <w:lastRenderedPageBreak/>
        <w:t xml:space="preserve">Prodávající je povinen provést veškeré nezbytné kroky k převodu veškerých práv, která jsou nezbytná pro řádné užívání </w:t>
      </w:r>
      <w:r w:rsidR="00693446">
        <w:t>Sondy, Služeb</w:t>
      </w:r>
      <w:r>
        <w:t>, Softw</w:t>
      </w:r>
      <w:r w:rsidR="00693446">
        <w:t>are a Dat</w:t>
      </w:r>
      <w:r>
        <w:t>, a to ve lhůtě sjednané pro dodání Zboží.</w:t>
      </w:r>
      <w:r w:rsidRPr="00AB516B">
        <w:t xml:space="preserve"> </w:t>
      </w:r>
      <w:r w:rsidR="00693446">
        <w:t xml:space="preserve">Není-li záruka na Zboží uvedená v příloze č. 1 této smlouvy součástí Služeb, je </w:t>
      </w:r>
      <w:r>
        <w:t xml:space="preserve">Prodávající povinen provést veškeré nezbytné kroky k převodu </w:t>
      </w:r>
      <w:r w:rsidR="00693446">
        <w:t xml:space="preserve">této </w:t>
      </w:r>
      <w:r>
        <w:t xml:space="preserve">záruky </w:t>
      </w:r>
      <w:r w:rsidR="00693446">
        <w:t xml:space="preserve">na Kupujícího </w:t>
      </w:r>
      <w:r>
        <w:t>tak, aby Kupující byl v rámci této záruky osobou</w:t>
      </w:r>
      <w:r w:rsidRPr="00AB516B">
        <w:t xml:space="preserve"> </w:t>
      </w:r>
      <w:r>
        <w:t>oprávněnou</w:t>
      </w:r>
      <w:r w:rsidRPr="00AB516B">
        <w:t xml:space="preserve"> </w:t>
      </w:r>
      <w:r>
        <w:t xml:space="preserve">čerpat služby </w:t>
      </w:r>
      <w:r w:rsidR="00693446">
        <w:t xml:space="preserve">a další plnění </w:t>
      </w:r>
      <w:r>
        <w:t>z této záruky vyplývající.</w:t>
      </w:r>
    </w:p>
    <w:p w14:paraId="46067D4F" w14:textId="77777777" w:rsidR="00AB516B" w:rsidRDefault="00AB516B" w:rsidP="00AB516B">
      <w:pPr>
        <w:pStyle w:val="Odstavecsmlouvy"/>
        <w:numPr>
          <w:ilvl w:val="0"/>
          <w:numId w:val="0"/>
        </w:numPr>
        <w:ind w:left="567"/>
      </w:pPr>
    </w:p>
    <w:p w14:paraId="02020CCE" w14:textId="564431E4" w:rsidR="00525505" w:rsidRDefault="008C6BA0" w:rsidP="00525505">
      <w:pPr>
        <w:pStyle w:val="Odstavecsmlouvy"/>
      </w:pPr>
      <w:r>
        <w:t xml:space="preserve">Prodávající je povinen předat Kupujícímu </w:t>
      </w:r>
      <w:r w:rsidR="00693446">
        <w:t>Sondu</w:t>
      </w:r>
      <w:r>
        <w:t xml:space="preserve"> tak, aby Data byla v podobě, ve které byla v okamžiku, kdy Kupující přestal </w:t>
      </w:r>
      <w:r w:rsidR="00693446">
        <w:t xml:space="preserve">Sondu </w:t>
      </w:r>
      <w:r>
        <w:t xml:space="preserve">užívat na základě Smlouvy o </w:t>
      </w:r>
      <w:r w:rsidR="00693446">
        <w:t>užívání Sondy</w:t>
      </w:r>
      <w:r>
        <w:t xml:space="preserve">, jinak je Kupující oprávněn od této smlouvy odstoupit a není povinen </w:t>
      </w:r>
      <w:r w:rsidR="00693446">
        <w:t>Sondu</w:t>
      </w:r>
      <w:r>
        <w:t xml:space="preserve"> převzít.</w:t>
      </w:r>
    </w:p>
    <w:p w14:paraId="23B1EACB" w14:textId="77777777" w:rsidR="00544555" w:rsidRDefault="00544555" w:rsidP="00014CFB">
      <w:pPr>
        <w:jc w:val="center"/>
        <w:rPr>
          <w:b/>
          <w:bCs/>
        </w:rPr>
      </w:pPr>
    </w:p>
    <w:p w14:paraId="7B892AD0" w14:textId="77777777" w:rsidR="00014CFB" w:rsidRDefault="00014CFB" w:rsidP="00014CFB">
      <w:pPr>
        <w:pStyle w:val="Nadpis3"/>
      </w:pPr>
      <w:bookmarkStart w:id="2" w:name="_Ref477351956"/>
      <w:r>
        <w:t>Dodací podmínky</w:t>
      </w:r>
    </w:p>
    <w:p w14:paraId="583C5FD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F352202" w14:textId="77777777" w:rsidR="00544555" w:rsidRDefault="00544555" w:rsidP="00525505">
      <w:pPr>
        <w:pStyle w:val="Odstavecsmlouvy"/>
      </w:pPr>
      <w:r>
        <w:t xml:space="preserve">Místem dodání Zboží je </w:t>
      </w:r>
      <w:r w:rsidR="0015076B" w:rsidRPr="0015076B">
        <w:t>Centrum informatiky</w:t>
      </w:r>
      <w:r w:rsidR="00525505" w:rsidRPr="0015076B">
        <w:t>, Jihlavská 20, 625 00 Brno - Bohunice</w:t>
      </w:r>
      <w:r>
        <w:t>.</w:t>
      </w:r>
    </w:p>
    <w:p w14:paraId="54665FF9" w14:textId="77777777" w:rsidR="00544555" w:rsidRDefault="00544555" w:rsidP="00544555">
      <w:pPr>
        <w:pStyle w:val="Odstavecsmlouvy"/>
        <w:numPr>
          <w:ilvl w:val="0"/>
          <w:numId w:val="0"/>
        </w:numPr>
        <w:ind w:left="567"/>
      </w:pPr>
    </w:p>
    <w:p w14:paraId="767CA49A" w14:textId="139F3BFD" w:rsidR="00544555" w:rsidRDefault="00544555" w:rsidP="00544555">
      <w:pPr>
        <w:pStyle w:val="Odstavecsmlouvy"/>
      </w:pPr>
      <w:r>
        <w:t xml:space="preserve">Prodávající se zavazuje oznámit Kupujícímu konkrétní termín dodání Zboží pět pracovních dnů před plánovaným termínem dodání </w:t>
      </w:r>
      <w:r w:rsidR="00161984">
        <w:t>XXXXX</w:t>
      </w:r>
      <w:r>
        <w:t xml:space="preserve"> na e-mail: </w:t>
      </w:r>
      <w:r w:rsidR="00161984" w:rsidRPr="00161984">
        <w:rPr>
          <w:rStyle w:val="Hypertextovodkaz"/>
        </w:rPr>
        <w:t>XXXXX</w:t>
      </w:r>
      <w:r w:rsidR="002A18AD" w:rsidRPr="00161984">
        <w:rPr>
          <w:rStyle w:val="Hypertextovodkaz"/>
        </w:rPr>
        <w:t>@fnbrno.cz</w:t>
      </w:r>
      <w:r>
        <w:t xml:space="preserve">, </w:t>
      </w:r>
      <w:r w:rsidR="00161984">
        <w:t>XXXXX</w:t>
      </w:r>
      <w:r w:rsidR="00525505">
        <w:t xml:space="preserve"> na e-mail: </w:t>
      </w:r>
      <w:r w:rsidR="00161984">
        <w:rPr>
          <w:rStyle w:val="Hypertextovodkaz"/>
        </w:rPr>
        <w:t>XXXXX</w:t>
      </w:r>
      <w:r w:rsidR="00161984" w:rsidRPr="00161984">
        <w:rPr>
          <w:rStyle w:val="Hypertextovodkaz"/>
        </w:rPr>
        <w:t>@fnbrno.cz</w:t>
      </w:r>
      <w:r w:rsidR="008A192C">
        <w:t>.</w:t>
      </w:r>
      <w:r w:rsidR="002A18AD">
        <w:t xml:space="preserve"> </w:t>
      </w:r>
      <w:r>
        <w:t xml:space="preserve">Bez </w:t>
      </w:r>
      <w:r w:rsidR="007F157D">
        <w:t xml:space="preserve">těchto </w:t>
      </w:r>
      <w:r>
        <w:t>oznámení není Kupující povinen Zboží převzít.</w:t>
      </w:r>
    </w:p>
    <w:p w14:paraId="26C39D49" w14:textId="77777777" w:rsidR="00544555" w:rsidRDefault="00544555" w:rsidP="00544555">
      <w:pPr>
        <w:pStyle w:val="Odstavecsmlouvy"/>
        <w:numPr>
          <w:ilvl w:val="0"/>
          <w:numId w:val="0"/>
        </w:numPr>
        <w:ind w:left="567"/>
      </w:pPr>
    </w:p>
    <w:p w14:paraId="3975BE61" w14:textId="6C426EC8" w:rsidR="00544555" w:rsidRDefault="00544555" w:rsidP="00544555">
      <w:pPr>
        <w:pStyle w:val="Odstavecsmlouvy"/>
      </w:pPr>
      <w:r>
        <w:t xml:space="preserve">Zástupci Prodávajícího a Kupujícího sepíší a podepíší při dodání </w:t>
      </w:r>
      <w:r w:rsidR="00525505">
        <w:t xml:space="preserve">písemný </w:t>
      </w:r>
      <w:r>
        <w:t>dodací list</w:t>
      </w:r>
      <w:r w:rsidR="001C6D46">
        <w:t>, popř. předávací protokol</w:t>
      </w:r>
      <w:r>
        <w:t xml:space="preserve"> o předání a převzetí Zboží</w:t>
      </w:r>
      <w:r w:rsidR="001C6D46">
        <w:t xml:space="preserve">, o předání a převzetí Dat, o převodu všech sjednaných práv k Datům a k Software, </w:t>
      </w:r>
      <w:r w:rsidR="00693446">
        <w:t xml:space="preserve">o řádném postoupení Smlouvy o poskytování Služeb, </w:t>
      </w:r>
      <w:r w:rsidR="001C6D46">
        <w:t>o předání Dokladů a o převodu veškerých práv k záruce ke Zboží uvedené v příloze č. 1 této smlouvy</w:t>
      </w:r>
      <w:r w:rsidR="00525505">
        <w:t xml:space="preserve"> (dále jen „</w:t>
      </w:r>
      <w:r w:rsidR="00525505" w:rsidRPr="00525505">
        <w:rPr>
          <w:b/>
        </w:rPr>
        <w:t>Dodací list</w:t>
      </w:r>
      <w:r w:rsidR="00525505">
        <w:t>“)</w:t>
      </w:r>
      <w:r>
        <w:t xml:space="preserve">. Prodávající i Kupující jsou oprávněni v </w:t>
      </w:r>
      <w:r w:rsidR="00525505">
        <w:t>D</w:t>
      </w:r>
      <w:r>
        <w:t>odacím listě uvést jakékoliv</w:t>
      </w:r>
      <w:r w:rsidR="00525505">
        <w:t xml:space="preserve"> záznamy, připomínky či výhrady, které</w:t>
      </w:r>
      <w:r>
        <w:t xml:space="preserve"> se však nepovažují za změnu této smlouvy či dodatek k této smlouvě. Neuvedení jakýchkoliv </w:t>
      </w:r>
      <w:r w:rsidRPr="00D62D3A">
        <w:rPr>
          <w:u w:val="single"/>
        </w:rPr>
        <w:t>(i</w:t>
      </w:r>
      <w:r>
        <w:t xml:space="preserve"> zjevných) vad do </w:t>
      </w:r>
      <w:r w:rsidR="00525505">
        <w:t>D</w:t>
      </w:r>
      <w:r>
        <w:t xml:space="preserve">odacího listu neomezuje Kupujícího v právu </w:t>
      </w:r>
      <w:r w:rsidR="007F157D">
        <w:t xml:space="preserve">během </w:t>
      </w:r>
      <w:r w:rsidR="00E8510B">
        <w:t>Z</w:t>
      </w:r>
      <w:r w:rsidR="007F157D">
        <w:t xml:space="preserve">áruční doby </w:t>
      </w:r>
      <w:r>
        <w:t xml:space="preserve">oznamovat zjištěné </w:t>
      </w:r>
      <w:r w:rsidR="001C6D46">
        <w:t xml:space="preserve">právní ani faktické </w:t>
      </w:r>
      <w:r>
        <w:t>vady Prodávající</w:t>
      </w:r>
      <w:r w:rsidR="007F157D">
        <w:t>mu</w:t>
      </w:r>
      <w:r>
        <w:t xml:space="preserve">. </w:t>
      </w:r>
    </w:p>
    <w:p w14:paraId="7515664D" w14:textId="77777777" w:rsidR="00544555" w:rsidRDefault="00544555" w:rsidP="00525505">
      <w:pPr>
        <w:pStyle w:val="Odstavecsmlouvy"/>
        <w:numPr>
          <w:ilvl w:val="0"/>
          <w:numId w:val="0"/>
        </w:numPr>
        <w:ind w:left="567"/>
      </w:pPr>
    </w:p>
    <w:p w14:paraId="51029AB9" w14:textId="77777777" w:rsidR="00544555" w:rsidRDefault="00544555" w:rsidP="00544555">
      <w:pPr>
        <w:pStyle w:val="Odstavecsmlouvy"/>
      </w:pPr>
      <w:r>
        <w:t xml:space="preserve">Okamžikem </w:t>
      </w:r>
      <w:r w:rsidR="00525505">
        <w:t>podpisu Kupujícího na Dodacím</w:t>
      </w:r>
      <w:r>
        <w:t xml:space="preserve"> listu nabývá Kupující vlastnické právo ke Zboží a na Kupujícího </w:t>
      </w:r>
      <w:r w:rsidR="00525505">
        <w:t xml:space="preserve">přechází </w:t>
      </w:r>
      <w:r>
        <w:t>nebezpečí škody na Zboží.</w:t>
      </w:r>
    </w:p>
    <w:p w14:paraId="6BF683B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B27315B" w14:textId="77777777" w:rsidR="000C1FD1" w:rsidRPr="002B77A6" w:rsidRDefault="000C1FD1" w:rsidP="000C1FD1">
      <w:pPr>
        <w:pStyle w:val="Nadpis1"/>
      </w:pPr>
      <w:r>
        <w:t>Kupní cena</w:t>
      </w:r>
      <w:bookmarkEnd w:id="2"/>
      <w:r w:rsidR="0071202D">
        <w:t xml:space="preserve"> a platební podmínky</w:t>
      </w:r>
    </w:p>
    <w:p w14:paraId="599D6D43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07759143" w14:textId="77777777" w:rsidR="000C1FD1" w:rsidRDefault="004C62D3" w:rsidP="000C1FD1">
      <w:pPr>
        <w:pStyle w:val="Odstavecsmlouvy"/>
      </w:pPr>
      <w:bookmarkStart w:id="3" w:name="_Ref501115214"/>
      <w:r w:rsidRPr="004C62D3">
        <w:t xml:space="preserve">Kupní cena </w:t>
      </w:r>
      <w:r w:rsidR="008C6BA0">
        <w:t xml:space="preserve">Zboží </w:t>
      </w:r>
      <w:r w:rsidRPr="004C62D3">
        <w:t>se sjednává jako cena pevná a konečná za veškerá plnění</w:t>
      </w:r>
      <w:r w:rsidR="007F157D">
        <w:t xml:space="preserve">, která je Prodávající povinen podle této smlouvy poskytnout </w:t>
      </w:r>
      <w:r w:rsidRPr="004C62D3">
        <w:t>Kupujícímu</w:t>
      </w:r>
      <w:r w:rsidR="007F157D">
        <w:t>,</w:t>
      </w:r>
      <w:r>
        <w:t xml:space="preserve"> a činí </w:t>
      </w:r>
      <w:r w:rsidR="000C1FD1">
        <w:t>(dále a výše jen „</w:t>
      </w:r>
      <w:r w:rsidR="000C1FD1" w:rsidRPr="004C62D3">
        <w:rPr>
          <w:b/>
        </w:rPr>
        <w:t>Kupní cena</w:t>
      </w:r>
      <w:r w:rsidR="000C1FD1">
        <w:t>“)</w:t>
      </w:r>
      <w:bookmarkEnd w:id="3"/>
      <w:r>
        <w:t>:</w:t>
      </w:r>
    </w:p>
    <w:p w14:paraId="44527CB9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6285"/>
        <w:gridCol w:w="3369"/>
      </w:tblGrid>
      <w:tr w:rsidR="004C62D3" w:rsidRPr="005B49AA" w14:paraId="79BE7A24" w14:textId="77777777" w:rsidTr="00E8510B">
        <w:tc>
          <w:tcPr>
            <w:tcW w:w="6285" w:type="dxa"/>
            <w:shd w:val="clear" w:color="auto" w:fill="auto"/>
          </w:tcPr>
          <w:p w14:paraId="2B87A6B1" w14:textId="77777777" w:rsidR="004C62D3" w:rsidRPr="005B49AA" w:rsidRDefault="004C62D3" w:rsidP="009224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Kupní cena </w:t>
            </w:r>
            <w:r w:rsidRPr="005B49AA">
              <w:rPr>
                <w:b/>
                <w:sz w:val="22"/>
                <w:szCs w:val="22"/>
              </w:rPr>
              <w:t>bez DPH:</w:t>
            </w:r>
          </w:p>
        </w:tc>
        <w:tc>
          <w:tcPr>
            <w:tcW w:w="3369" w:type="dxa"/>
            <w:shd w:val="clear" w:color="auto" w:fill="auto"/>
          </w:tcPr>
          <w:p w14:paraId="0E1293D8" w14:textId="46CEFD42" w:rsidR="004C62D3" w:rsidRPr="005B49AA" w:rsidRDefault="004C14BC" w:rsidP="004C14BC">
            <w:pPr>
              <w:pStyle w:val="Zkladntext3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520 669</w:t>
            </w:r>
            <w:r w:rsidR="008C6BA0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40</w:t>
            </w:r>
            <w:r w:rsidR="004C62D3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4C62D3" w:rsidRPr="005B49AA" w14:paraId="41A36B50" w14:textId="77777777" w:rsidTr="00E8510B">
        <w:tc>
          <w:tcPr>
            <w:tcW w:w="6285" w:type="dxa"/>
            <w:shd w:val="clear" w:color="auto" w:fill="auto"/>
          </w:tcPr>
          <w:p w14:paraId="1B60AB85" w14:textId="77777777" w:rsidR="004C62D3" w:rsidRPr="005B49AA" w:rsidRDefault="004C62D3" w:rsidP="00B927D9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B927D9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369" w:type="dxa"/>
            <w:shd w:val="clear" w:color="auto" w:fill="auto"/>
          </w:tcPr>
          <w:p w14:paraId="66A0CB48" w14:textId="105B9B71" w:rsidR="004C62D3" w:rsidRPr="005B49AA" w:rsidRDefault="004C14BC" w:rsidP="00D05956">
            <w:pPr>
              <w:pStyle w:val="Zkladntext3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103 340,60</w:t>
            </w:r>
            <w:r w:rsidR="004C62D3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4C62D3" w:rsidRPr="005B49AA" w14:paraId="3DF92917" w14:textId="77777777" w:rsidTr="00E8510B">
        <w:tc>
          <w:tcPr>
            <w:tcW w:w="6285" w:type="dxa"/>
            <w:shd w:val="clear" w:color="auto" w:fill="auto"/>
          </w:tcPr>
          <w:p w14:paraId="3558B3F4" w14:textId="77777777" w:rsidR="004C62D3" w:rsidRPr="005B49AA" w:rsidRDefault="004C62D3" w:rsidP="009224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Kupní cena </w:t>
            </w:r>
            <w:r w:rsidRPr="005B49AA">
              <w:rPr>
                <w:b/>
                <w:sz w:val="22"/>
                <w:szCs w:val="22"/>
              </w:rPr>
              <w:t>včetně DPH:</w:t>
            </w:r>
          </w:p>
        </w:tc>
        <w:tc>
          <w:tcPr>
            <w:tcW w:w="3369" w:type="dxa"/>
            <w:shd w:val="clear" w:color="auto" w:fill="auto"/>
          </w:tcPr>
          <w:p w14:paraId="26FC73F4" w14:textId="29C8DE36" w:rsidR="004C62D3" w:rsidRPr="005B49AA" w:rsidRDefault="004C14BC" w:rsidP="004C14BC">
            <w:pPr>
              <w:pStyle w:val="Zkladntext3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630 010</w:t>
            </w:r>
            <w:r w:rsidR="00B927D9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00</w:t>
            </w:r>
            <w:r w:rsidR="004C62D3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AAA1BD8" w14:textId="77777777" w:rsidR="004C62D3" w:rsidRDefault="004C62D3" w:rsidP="000C1FD1">
      <w:pPr>
        <w:pStyle w:val="Odstavecsmlouvy"/>
        <w:numPr>
          <w:ilvl w:val="0"/>
          <w:numId w:val="0"/>
        </w:numPr>
        <w:ind w:left="567"/>
      </w:pPr>
    </w:p>
    <w:p w14:paraId="0AFAE1B3" w14:textId="77777777" w:rsidR="000C1FD1" w:rsidRDefault="000C1FD1" w:rsidP="000C1FD1">
      <w:pPr>
        <w:pStyle w:val="Odstavecsmlouvy"/>
      </w:pPr>
      <w:r>
        <w:t xml:space="preserve">Kupní cena je sjednána jako maximální a zahrnuje kromě </w:t>
      </w:r>
      <w:r w:rsidR="007F157D">
        <w:t xml:space="preserve">ceny </w:t>
      </w:r>
      <w:r>
        <w:t xml:space="preserve">Zboží také veškeré náklady </w:t>
      </w:r>
      <w:r w:rsidR="007F157D">
        <w:t>související s jeho dopravou</w:t>
      </w:r>
      <w:r>
        <w:t xml:space="preserve"> do místa </w:t>
      </w:r>
      <w:r w:rsidR="007F157D">
        <w:t>dodání</w:t>
      </w:r>
      <w:r>
        <w:t xml:space="preserve">, </w:t>
      </w:r>
      <w:r w:rsidR="00B20895">
        <w:t xml:space="preserve">a to včetně </w:t>
      </w:r>
      <w:r>
        <w:t>naložení, složení, c</w:t>
      </w:r>
      <w:r w:rsidR="007F157D">
        <w:t>e</w:t>
      </w:r>
      <w:r>
        <w:t>l, kur</w:t>
      </w:r>
      <w:r w:rsidR="007F157D">
        <w:t>z</w:t>
      </w:r>
      <w:r>
        <w:t>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 xml:space="preserve">,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 w:rsidR="007F157D">
        <w:t>, daní a</w:t>
      </w:r>
      <w:r>
        <w:t xml:space="preserve">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podléhá). </w:t>
      </w:r>
    </w:p>
    <w:p w14:paraId="55B1344B" w14:textId="77777777" w:rsidR="004C62D3" w:rsidRDefault="004C62D3" w:rsidP="004C62D3">
      <w:pPr>
        <w:pStyle w:val="Odstavecsmlouvy"/>
        <w:numPr>
          <w:ilvl w:val="0"/>
          <w:numId w:val="0"/>
        </w:numPr>
        <w:ind w:left="567"/>
      </w:pPr>
    </w:p>
    <w:p w14:paraId="19A4014C" w14:textId="16A7A993" w:rsidR="0071202D" w:rsidRDefault="004C62D3" w:rsidP="00E8510B">
      <w:pPr>
        <w:pStyle w:val="Odstavecsmlouvy"/>
      </w:pPr>
      <w:r w:rsidRPr="004C62D3">
        <w:t xml:space="preserve">Kupující se zavazuje uhradit </w:t>
      </w:r>
      <w:r>
        <w:t>K</w:t>
      </w:r>
      <w:r w:rsidRPr="004C62D3">
        <w:t xml:space="preserve">upní cenu na základě faktury </w:t>
      </w:r>
      <w:r>
        <w:t>–</w:t>
      </w:r>
      <w:r w:rsidRPr="004C62D3">
        <w:t xml:space="preserve"> daňového dokladu</w:t>
      </w:r>
      <w:r>
        <w:t xml:space="preserve"> vystavené P</w:t>
      </w:r>
      <w:r w:rsidRPr="004C62D3">
        <w:t>rodávající</w:t>
      </w:r>
      <w:r w:rsidR="007F157D">
        <w:t>m</w:t>
      </w:r>
      <w:r w:rsidRPr="004C62D3">
        <w:t xml:space="preserve"> po </w:t>
      </w:r>
      <w:r w:rsidR="00E8510B">
        <w:t xml:space="preserve">řádném </w:t>
      </w:r>
      <w:r w:rsidRPr="004C62D3">
        <w:t xml:space="preserve">splnění </w:t>
      </w:r>
      <w:r w:rsidR="00E8510B">
        <w:t>předmětu této smlouvy</w:t>
      </w:r>
      <w:r w:rsidRPr="004C62D3">
        <w:t xml:space="preserve">, </w:t>
      </w:r>
      <w:r>
        <w:t xml:space="preserve">tj. po podpisu Dodacího listu Kupujícím. Prodávající </w:t>
      </w:r>
      <w:r w:rsidRPr="004C62D3">
        <w:t xml:space="preserve">není oprávněn vystavit fakturu dříve. Splatnost faktury je 60 dnů od data vystavení faktury. </w:t>
      </w:r>
      <w:r w:rsidR="0071202D">
        <w:t xml:space="preserve">Prodávající </w:t>
      </w:r>
      <w:r w:rsidRPr="004C62D3">
        <w:t xml:space="preserve">doručí fakturu </w:t>
      </w:r>
      <w:r w:rsidR="0071202D">
        <w:t xml:space="preserve">Kupujícímu </w:t>
      </w:r>
      <w:r w:rsidRPr="004C62D3">
        <w:t xml:space="preserve">bez zbytečného odkladu po jejím vystavení. Datum uskutečnění zdanitelného plnění bude shodné s datem podpisu </w:t>
      </w:r>
      <w:r w:rsidR="0071202D">
        <w:t>Dodacího listu Kupujícím</w:t>
      </w:r>
      <w:r w:rsidRPr="004C62D3">
        <w:t>.</w:t>
      </w:r>
      <w:r w:rsidR="00E8510B">
        <w:t xml:space="preserve"> </w:t>
      </w:r>
      <w:r w:rsidR="0071202D">
        <w:t>F</w:t>
      </w:r>
      <w:r w:rsidR="0071202D" w:rsidRPr="006925A2">
        <w:t xml:space="preserve">aktura musí splňovat veškeré </w:t>
      </w:r>
      <w:r w:rsidR="007F157D">
        <w:t xml:space="preserve">podmínky této smlouvy, veškeré </w:t>
      </w:r>
      <w:r w:rsidR="0071202D" w:rsidRPr="006925A2">
        <w:t>náležitosti daňového a účetního dokladu stanovené právními předpisy, zejména musí splňovat ustanovení zákona č. 235/2004 Sb., o dani z přidané hodnoty, ve znění pozdějších předpisů</w:t>
      </w:r>
      <w:r w:rsidR="0071202D">
        <w:t xml:space="preserve"> (dále jen „</w:t>
      </w:r>
      <w:r w:rsidR="0071202D" w:rsidRPr="00093388">
        <w:rPr>
          <w:b/>
        </w:rPr>
        <w:t>ZDPH</w:t>
      </w:r>
      <w:r w:rsidR="0071202D">
        <w:t>“)</w:t>
      </w:r>
      <w:r w:rsidR="0071202D" w:rsidRPr="006925A2">
        <w:t>, a musí na ní být uvedena</w:t>
      </w:r>
      <w:r w:rsidR="0071202D">
        <w:t xml:space="preserve"> Kupní</w:t>
      </w:r>
      <w:r w:rsidR="0071202D" w:rsidRPr="006925A2">
        <w:t xml:space="preserve"> </w:t>
      </w:r>
      <w:r w:rsidR="0071202D">
        <w:t>c</w:t>
      </w:r>
      <w:r w:rsidR="0071202D" w:rsidRPr="006925A2">
        <w:t>ena</w:t>
      </w:r>
      <w:r w:rsidR="0071202D">
        <w:t xml:space="preserve">, </w:t>
      </w:r>
      <w:r w:rsidR="0071202D" w:rsidRPr="006925A2">
        <w:t xml:space="preserve">označení této smlouvy a datum splatnosti v souladu s touto smlouvou, jinak je </w:t>
      </w:r>
      <w:r w:rsidR="0071202D">
        <w:t xml:space="preserve">Kupující </w:t>
      </w:r>
      <w:r w:rsidR="0071202D" w:rsidRPr="006925A2">
        <w:lastRenderedPageBreak/>
        <w:t xml:space="preserve">oprávněn vrátit fakturu </w:t>
      </w:r>
      <w:r w:rsidR="0071202D">
        <w:t xml:space="preserve">Prodávajícímu </w:t>
      </w:r>
      <w:r w:rsidR="0071202D" w:rsidRPr="006925A2">
        <w:t xml:space="preserve">k přepracování či doplnění. V takovém případě běží nová lhůta splatnosti ode dne doručení opravené faktury </w:t>
      </w:r>
      <w:r w:rsidR="0071202D">
        <w:t>Kupujícímu</w:t>
      </w:r>
      <w:r w:rsidR="0071202D" w:rsidRPr="006925A2">
        <w:t>.</w:t>
      </w:r>
    </w:p>
    <w:p w14:paraId="43D27A61" w14:textId="77777777" w:rsidR="0071202D" w:rsidRDefault="0071202D" w:rsidP="0071202D">
      <w:pPr>
        <w:pStyle w:val="Odstavecsmlouvy"/>
        <w:numPr>
          <w:ilvl w:val="0"/>
          <w:numId w:val="0"/>
        </w:numPr>
        <w:ind w:left="567"/>
      </w:pPr>
    </w:p>
    <w:p w14:paraId="7CADB6CC" w14:textId="77777777" w:rsidR="0071202D" w:rsidRPr="0071202D" w:rsidRDefault="0071202D" w:rsidP="0071202D">
      <w:pPr>
        <w:pStyle w:val="Odstavecsmlouvy"/>
      </w:pPr>
      <w:r w:rsidRPr="0071202D">
        <w:rPr>
          <w:color w:val="000000"/>
        </w:rPr>
        <w:t>Částka přeúčtovaného poplatku na recyklaci elektroodpadu dle zákona č. 185/2001 Sb., o odpadech, ve znění pozdějších předpisů, bude na faktuře uvedena zvlášť.</w:t>
      </w:r>
    </w:p>
    <w:p w14:paraId="2F4AAEF7" w14:textId="77777777" w:rsidR="0071202D" w:rsidRPr="0071202D" w:rsidRDefault="0071202D" w:rsidP="0071202D">
      <w:pPr>
        <w:pStyle w:val="Odstavecsmlouvy"/>
        <w:numPr>
          <w:ilvl w:val="0"/>
          <w:numId w:val="0"/>
        </w:numPr>
        <w:ind w:left="567"/>
      </w:pPr>
    </w:p>
    <w:p w14:paraId="5F270123" w14:textId="77777777" w:rsidR="0071202D" w:rsidRPr="0071202D" w:rsidRDefault="0071202D" w:rsidP="0071202D">
      <w:pPr>
        <w:pStyle w:val="Odstavecsmlouvy"/>
      </w:pPr>
      <w:r w:rsidRPr="0071202D">
        <w:rPr>
          <w:color w:val="000000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76637986" w14:textId="77777777" w:rsidR="0071202D" w:rsidRPr="0071202D" w:rsidRDefault="0071202D" w:rsidP="0071202D">
      <w:pPr>
        <w:pStyle w:val="Odstavecsmlouvy"/>
        <w:numPr>
          <w:ilvl w:val="0"/>
          <w:numId w:val="0"/>
        </w:numPr>
        <w:ind w:left="567"/>
      </w:pPr>
    </w:p>
    <w:p w14:paraId="6139F367" w14:textId="77777777" w:rsidR="0071202D" w:rsidRDefault="0071202D" w:rsidP="0071202D">
      <w:pPr>
        <w:pStyle w:val="Odstavecsmlouvy"/>
      </w:pPr>
      <w:r>
        <w:rPr>
          <w:color w:val="000000"/>
        </w:rPr>
        <w:t>Úhrady</w:t>
      </w:r>
      <w:r w:rsidRPr="006925A2">
        <w:rPr>
          <w:color w:val="000000"/>
        </w:rPr>
        <w:t xml:space="preserve"> bud</w:t>
      </w:r>
      <w:r>
        <w:rPr>
          <w:color w:val="000000"/>
        </w:rPr>
        <w:t>ou</w:t>
      </w:r>
      <w:r w:rsidRPr="006925A2">
        <w:rPr>
          <w:color w:val="000000"/>
        </w:rPr>
        <w:t xml:space="preserve"> </w:t>
      </w:r>
      <w:r>
        <w:rPr>
          <w:color w:val="000000"/>
        </w:rPr>
        <w:t>prováděny</w:t>
      </w:r>
      <w:r w:rsidRPr="006925A2">
        <w:rPr>
          <w:color w:val="000000"/>
        </w:rPr>
        <w:t xml:space="preserve"> bezhotovostním převod</w:t>
      </w:r>
      <w:r>
        <w:rPr>
          <w:color w:val="000000"/>
        </w:rPr>
        <w:t>em</w:t>
      </w:r>
      <w:r w:rsidRPr="006925A2">
        <w:rPr>
          <w:color w:val="000000"/>
        </w:rPr>
        <w:t xml:space="preserve">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>
        <w:t>Kupujícího</w:t>
      </w:r>
      <w:r w:rsidRPr="006925A2">
        <w:rPr>
          <w:color w:val="000000"/>
        </w:rPr>
        <w:t xml:space="preserve"> na bankovní účet </w:t>
      </w:r>
      <w:r>
        <w:t xml:space="preserve">Prodávajícího </w:t>
      </w:r>
      <w:r w:rsidRPr="006925A2">
        <w:t>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>
        <w:t>Kupujícího</w:t>
      </w:r>
      <w:r w:rsidRPr="006925A2">
        <w:rPr>
          <w:color w:val="000000"/>
        </w:rPr>
        <w:t>.</w:t>
      </w:r>
    </w:p>
    <w:p w14:paraId="073B9BA6" w14:textId="77777777" w:rsidR="0071202D" w:rsidRPr="001B5F9C" w:rsidRDefault="0071202D" w:rsidP="0071202D">
      <w:pPr>
        <w:pStyle w:val="Odstavecsmlouvy"/>
        <w:numPr>
          <w:ilvl w:val="0"/>
          <w:numId w:val="0"/>
        </w:numPr>
        <w:ind w:left="567"/>
      </w:pPr>
    </w:p>
    <w:p w14:paraId="14CEF1FE" w14:textId="77777777" w:rsidR="0071202D" w:rsidRDefault="0071202D" w:rsidP="0071202D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>
        <w:t>Kupující</w:t>
      </w:r>
      <w:r w:rsidRPr="001B5F9C">
        <w:rPr>
          <w:color w:val="000000"/>
        </w:rPr>
        <w:t xml:space="preserve"> právo uhradit za </w:t>
      </w:r>
      <w:r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266A13" w14:textId="77777777" w:rsidR="0071202D" w:rsidRPr="00257643" w:rsidRDefault="0071202D" w:rsidP="0071202D">
      <w:pPr>
        <w:pStyle w:val="Odstavecsmlouvy"/>
        <w:numPr>
          <w:ilvl w:val="0"/>
          <w:numId w:val="0"/>
        </w:numPr>
        <w:ind w:left="567"/>
      </w:pPr>
    </w:p>
    <w:p w14:paraId="76C03BB5" w14:textId="77777777" w:rsidR="0071202D" w:rsidRPr="001B5F9C" w:rsidRDefault="0071202D" w:rsidP="0071202D">
      <w:pPr>
        <w:pStyle w:val="Odstavecsmlouvy"/>
      </w:pPr>
      <w:r w:rsidRPr="00257643">
        <w:rPr>
          <w:color w:val="000000"/>
        </w:rPr>
        <w:t xml:space="preserve">Pokud </w:t>
      </w:r>
      <w:r>
        <w:t>Kupující</w:t>
      </w:r>
      <w:r w:rsidRPr="00257643">
        <w:rPr>
          <w:color w:val="000000"/>
        </w:rPr>
        <w:t xml:space="preserve"> uhradí částku ve výši DPH na účet správce daně </w:t>
      </w:r>
      <w:r>
        <w:t>Prodávajícího</w:t>
      </w:r>
      <w:r w:rsidRPr="00257643">
        <w:rPr>
          <w:color w:val="000000"/>
        </w:rPr>
        <w:t xml:space="preserve"> a zbývající částku sjednané </w:t>
      </w:r>
      <w:r>
        <w:rPr>
          <w:color w:val="000000"/>
        </w:rPr>
        <w:t xml:space="preserve">ceny </w:t>
      </w:r>
      <w:r w:rsidRPr="00257643">
        <w:rPr>
          <w:color w:val="000000"/>
        </w:rPr>
        <w:t xml:space="preserve">(tj. relevantní část bez DPH) </w:t>
      </w:r>
      <w:r>
        <w:t>Prodávajícímu</w:t>
      </w:r>
      <w:r w:rsidRPr="00257643">
        <w:rPr>
          <w:color w:val="000000"/>
        </w:rPr>
        <w:t xml:space="preserve">, považuje se jeho závazek uhradit sjednanou </w:t>
      </w:r>
      <w:r>
        <w:rPr>
          <w:color w:val="000000"/>
        </w:rPr>
        <w:t xml:space="preserve">cenu </w:t>
      </w:r>
      <w:r w:rsidRPr="000F5D02">
        <w:rPr>
          <w:color w:val="000000"/>
        </w:rPr>
        <w:t xml:space="preserve">za splněný. </w:t>
      </w:r>
    </w:p>
    <w:p w14:paraId="47BF82AB" w14:textId="77777777" w:rsidR="0071202D" w:rsidRPr="001B5F9C" w:rsidRDefault="0071202D" w:rsidP="0071202D">
      <w:pPr>
        <w:pStyle w:val="Odstavecsmlouvy"/>
        <w:numPr>
          <w:ilvl w:val="0"/>
          <w:numId w:val="0"/>
        </w:numPr>
        <w:ind w:left="567"/>
      </w:pPr>
    </w:p>
    <w:p w14:paraId="1904B3F6" w14:textId="77777777" w:rsidR="0071202D" w:rsidRPr="001B5F9C" w:rsidRDefault="0071202D" w:rsidP="0071202D">
      <w:pPr>
        <w:pStyle w:val="Odstavecsmlouvy"/>
      </w:pPr>
      <w:r>
        <w:t>Prodávající</w:t>
      </w:r>
      <w:r w:rsidRPr="001B5F9C">
        <w:rPr>
          <w:color w:val="000000"/>
        </w:rPr>
        <w:t xml:space="preserve"> je oprávněn postoupit své peněžité pohledávky za </w:t>
      </w:r>
      <w:r>
        <w:t>Kupujícím</w:t>
      </w:r>
      <w:r w:rsidRPr="001B5F9C">
        <w:rPr>
          <w:color w:val="000000"/>
        </w:rPr>
        <w:t xml:space="preserve"> výhradně po předchozím písemném souhlasu </w:t>
      </w:r>
      <w:r>
        <w:t>Kupujícího</w:t>
      </w:r>
      <w:r w:rsidRPr="001B5F9C">
        <w:rPr>
          <w:color w:val="000000"/>
        </w:rPr>
        <w:t xml:space="preserve">, jinak je postoupení vůči </w:t>
      </w:r>
      <w:r>
        <w:t>Kupujícímu</w:t>
      </w:r>
      <w:r w:rsidRPr="001B5F9C">
        <w:rPr>
          <w:color w:val="000000"/>
        </w:rPr>
        <w:t xml:space="preserve"> neúčinné. </w:t>
      </w:r>
      <w:r>
        <w:t>Prodávající</w:t>
      </w:r>
      <w:r w:rsidRPr="001B5F9C">
        <w:rPr>
          <w:color w:val="000000"/>
        </w:rPr>
        <w:t xml:space="preserve"> je oprávněn započítat své peněžité pohledávky za </w:t>
      </w:r>
      <w:r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478B60A" w14:textId="77777777" w:rsidR="00EE6269" w:rsidRPr="002B77A6" w:rsidRDefault="00EE6269" w:rsidP="000C1FD1">
      <w:pPr>
        <w:rPr>
          <w:b/>
          <w:bCs/>
        </w:rPr>
      </w:pPr>
    </w:p>
    <w:bookmarkEnd w:id="0"/>
    <w:p w14:paraId="05EC7707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5B9EEF67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7B533488" w14:textId="77777777" w:rsidR="0070760F" w:rsidRDefault="0070760F" w:rsidP="00B927D9">
      <w:pPr>
        <w:pStyle w:val="Odstavecsmlouvy"/>
      </w:pPr>
      <w:r w:rsidRPr="00B927D9">
        <w:t>Prodávající</w:t>
      </w:r>
      <w:r w:rsidRPr="00512AB9">
        <w:t xml:space="preserve">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jakosti a pro</w:t>
      </w:r>
      <w:r>
        <w:t xml:space="preserve">vedení podle této smlouvy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421337BF" w14:textId="77777777" w:rsidR="00B927D9" w:rsidRDefault="00B927D9" w:rsidP="00A57CF4">
      <w:pPr>
        <w:pStyle w:val="Odstavecsmlouvy"/>
        <w:numPr>
          <w:ilvl w:val="0"/>
          <w:numId w:val="0"/>
        </w:numPr>
        <w:ind w:left="567"/>
      </w:pPr>
    </w:p>
    <w:p w14:paraId="764E7B6A" w14:textId="313511BF" w:rsidR="0071202D" w:rsidRDefault="0071202D" w:rsidP="0071202D">
      <w:pPr>
        <w:pStyle w:val="Odstavecsmlouvy"/>
      </w:pPr>
      <w:r>
        <w:t>Prodávající prohlašuje, že Zboží zcela odpovídá podmínkám stanoveným v</w:t>
      </w:r>
      <w:r w:rsidR="009A12F5">
        <w:t xml:space="preserve"> této smlouvě, </w:t>
      </w:r>
      <w:r w:rsidR="009A12F5" w:rsidRPr="00512AB9">
        <w:t xml:space="preserve">je způsobilé k užití v souladu s jeho </w:t>
      </w:r>
      <w:r w:rsidR="009A12F5">
        <w:t xml:space="preserve">účelovým </w:t>
      </w:r>
      <w:r w:rsidR="009A12F5" w:rsidRPr="00512AB9">
        <w:t>určením</w:t>
      </w:r>
      <w:r w:rsidR="009A12F5">
        <w:t xml:space="preserve"> a</w:t>
      </w:r>
      <w:r w:rsidR="009A12F5" w:rsidRPr="00512AB9">
        <w:t xml:space="preserve"> je </w:t>
      </w:r>
      <w:r w:rsidR="009A12F5">
        <w:t xml:space="preserve">prosto </w:t>
      </w:r>
      <w:r w:rsidR="009A12F5" w:rsidRPr="00512AB9">
        <w:t>vad faktických i právních</w:t>
      </w:r>
      <w:r>
        <w:t xml:space="preserve">. </w:t>
      </w:r>
      <w:r w:rsidR="00E8510B">
        <w:t xml:space="preserve">Za právní vadu Zboží se považuje i skutečnost, že nebyl udělen souhlas s postoupením Smlouvy o poskytování Služeb dle odst. </w:t>
      </w:r>
      <w:r w:rsidR="00E8510B">
        <w:fldChar w:fldCharType="begin"/>
      </w:r>
      <w:r w:rsidR="00E8510B">
        <w:instrText xml:space="preserve"> REF _Ref120025890 \n \h </w:instrText>
      </w:r>
      <w:r w:rsidR="00E8510B">
        <w:fldChar w:fldCharType="separate"/>
      </w:r>
      <w:proofErr w:type="gramStart"/>
      <w:r w:rsidR="00E8510B">
        <w:t>II.3</w:t>
      </w:r>
      <w:r w:rsidR="00E8510B">
        <w:fldChar w:fldCharType="end"/>
      </w:r>
      <w:r w:rsidR="00E8510B">
        <w:t xml:space="preserve"> této</w:t>
      </w:r>
      <w:proofErr w:type="gramEnd"/>
      <w:r w:rsidR="00E8510B">
        <w:t xml:space="preserve"> smlouvy. </w:t>
      </w:r>
      <w:r>
        <w:t xml:space="preserve">Prodávající se zavazuje, že v okamžiku převodu vlastnického práva ke Zboží nebudou na Zboží váznout žádná práva třetích osob, a to zejména žádné předkupní právo, zástavní právo </w:t>
      </w:r>
      <w:r w:rsidR="002F42AF">
        <w:t>ani</w:t>
      </w:r>
      <w:r>
        <w:t xml:space="preserve"> právo nájmu.</w:t>
      </w:r>
    </w:p>
    <w:p w14:paraId="3BE19A54" w14:textId="77777777" w:rsidR="0071202D" w:rsidRDefault="0071202D" w:rsidP="0071202D">
      <w:pPr>
        <w:pStyle w:val="Odstavecsmlouvy"/>
        <w:numPr>
          <w:ilvl w:val="0"/>
          <w:numId w:val="0"/>
        </w:numPr>
        <w:ind w:left="567"/>
      </w:pPr>
    </w:p>
    <w:p w14:paraId="58EA5611" w14:textId="41C3CE79" w:rsidR="0071202D" w:rsidRPr="00512AB9" w:rsidRDefault="00B927D9" w:rsidP="0071202D">
      <w:pPr>
        <w:pStyle w:val="Odstavecsmlouvy"/>
      </w:pPr>
      <w:bookmarkStart w:id="4" w:name="_Ref108781654"/>
      <w:r>
        <w:t xml:space="preserve">Nepřevede-li Prodávající na Kupujícího za podmínek této smlouvy řádně veškerá práva nezbytná k tomu, aby Kupující byl oprávněn čerpat záruku </w:t>
      </w:r>
      <w:r w:rsidR="00E8510B">
        <w:t xml:space="preserve">a další Služby </w:t>
      </w:r>
      <w:r>
        <w:t xml:space="preserve">uvedené v příloze č. 1 této smlouvy, má se za to, že </w:t>
      </w:r>
      <w:r w:rsidR="0071202D" w:rsidRPr="00512AB9">
        <w:t xml:space="preserve">Prodávající </w:t>
      </w:r>
      <w:r>
        <w:t xml:space="preserve">poskytuje </w:t>
      </w:r>
      <w:r w:rsidR="0071202D" w:rsidRPr="00512AB9">
        <w:t xml:space="preserve">záruku za jakost </w:t>
      </w:r>
      <w:r w:rsidR="0071202D">
        <w:t>Z</w:t>
      </w:r>
      <w:r w:rsidR="0071202D" w:rsidRPr="00512AB9">
        <w:t xml:space="preserve">boží po dobu </w:t>
      </w:r>
      <w:r w:rsidR="00BE6AAA">
        <w:t xml:space="preserve">36 </w:t>
      </w:r>
      <w:r w:rsidR="0071202D">
        <w:t>měsíců od okamžiku přechodu nebezpečí škody na Zboží na Kupujícího</w:t>
      </w:r>
      <w:r w:rsidR="00762F5F">
        <w:t>, nejdéle však</w:t>
      </w:r>
      <w:r w:rsidR="0071202D">
        <w:t xml:space="preserve"> </w:t>
      </w:r>
      <w:r>
        <w:t xml:space="preserve">do </w:t>
      </w:r>
      <w:r w:rsidR="00762F5F">
        <w:t>31. 3. 2025</w:t>
      </w:r>
      <w:r>
        <w:t xml:space="preserve"> </w:t>
      </w:r>
      <w:r w:rsidR="0071202D" w:rsidRPr="005452F8">
        <w:t>(</w:t>
      </w:r>
      <w:r w:rsidR="0071202D">
        <w:t xml:space="preserve">tato doba </w:t>
      </w:r>
      <w:r w:rsidR="0071202D" w:rsidRPr="005452F8">
        <w:t xml:space="preserve">dále </w:t>
      </w:r>
      <w:r w:rsidR="002F42AF">
        <w:t xml:space="preserve">a výše </w:t>
      </w:r>
      <w:r w:rsidR="0071202D">
        <w:t xml:space="preserve">též </w:t>
      </w:r>
      <w:r w:rsidR="0071202D" w:rsidRPr="005452F8">
        <w:t>jen „</w:t>
      </w:r>
      <w:r w:rsidR="0071202D" w:rsidRPr="005452F8">
        <w:rPr>
          <w:b/>
        </w:rPr>
        <w:t>Záruční doba</w:t>
      </w:r>
      <w:r w:rsidR="0071202D" w:rsidRPr="005452F8">
        <w:t>“)</w:t>
      </w:r>
      <w:r w:rsidR="0071202D">
        <w:t xml:space="preserve">. </w:t>
      </w:r>
      <w:r>
        <w:t xml:space="preserve">V takovém případě se </w:t>
      </w:r>
      <w:r w:rsidR="0071202D">
        <w:t>Prodávající v rámci této záruky zavazuje, že Zboží bude po celou Záruční dobu způsobilé pro obvyklý účel a že si zachová vlastnosti</w:t>
      </w:r>
      <w:r w:rsidR="009A12F5" w:rsidRPr="009A12F5">
        <w:t xml:space="preserve"> </w:t>
      </w:r>
      <w:r w:rsidR="009A12F5">
        <w:t>v souladu s touto smlouvou a Zadávací dokumentací</w:t>
      </w:r>
      <w:r>
        <w:t>.</w:t>
      </w:r>
      <w:bookmarkEnd w:id="4"/>
    </w:p>
    <w:p w14:paraId="30F4A3F1" w14:textId="77777777" w:rsidR="0071202D" w:rsidRDefault="0071202D" w:rsidP="009A12F5">
      <w:pPr>
        <w:pStyle w:val="Odstavecsmlouvy"/>
        <w:numPr>
          <w:ilvl w:val="0"/>
          <w:numId w:val="0"/>
        </w:numPr>
        <w:ind w:left="567"/>
      </w:pPr>
    </w:p>
    <w:p w14:paraId="34421F41" w14:textId="3FCC0266" w:rsidR="0070760F" w:rsidRPr="00512AB9" w:rsidRDefault="00762F5F" w:rsidP="0070760F">
      <w:pPr>
        <w:pStyle w:val="Odstavecsmlouvy"/>
      </w:pPr>
      <w:r>
        <w:t>V rozsahu, ve kterém p</w:t>
      </w:r>
      <w:r w:rsidR="00B927D9">
        <w:t xml:space="preserve">oskytuje záruku dle </w:t>
      </w:r>
      <w:r w:rsidR="00BE6AAA">
        <w:t xml:space="preserve">této smlouvy </w:t>
      </w:r>
      <w:r w:rsidR="00B927D9">
        <w:t xml:space="preserve">přímo Prodávající, </w:t>
      </w:r>
      <w:r w:rsidR="00BE6AAA">
        <w:t xml:space="preserve">tj. v rozsahu, ve kterém není záruka ke Zboží poskytována na základě Smlouvy o poskytování Služeb, </w:t>
      </w:r>
      <w:r w:rsidR="00B927D9">
        <w:t xml:space="preserve">je </w:t>
      </w:r>
      <w:r w:rsidR="0070760F" w:rsidRPr="00512AB9">
        <w:t xml:space="preserve">Kupující </w:t>
      </w:r>
      <w:r w:rsidR="009A12F5">
        <w:t xml:space="preserve">během Záruční doby </w:t>
      </w:r>
      <w:r w:rsidR="0070760F" w:rsidRPr="00512AB9">
        <w:t xml:space="preserve">povinen případné vady </w:t>
      </w:r>
      <w:r w:rsidR="00CD098E">
        <w:t>Z</w:t>
      </w:r>
      <w:r w:rsidR="0070760F" w:rsidRPr="00512AB9">
        <w:t xml:space="preserve">boží písemně oznámit </w:t>
      </w:r>
      <w:r w:rsidR="00CD098E">
        <w:t>P</w:t>
      </w:r>
      <w:r w:rsidR="0070760F" w:rsidRPr="00512AB9">
        <w:t>rodávajícímu bez zbytečného odkladu po jejich zjištění.</w:t>
      </w:r>
      <w:r w:rsidR="005E6464" w:rsidRPr="000744CF">
        <w:t xml:space="preserve"> Prodávající se zavazuje zahájit práce na odstranění </w:t>
      </w:r>
      <w:r>
        <w:t xml:space="preserve">takových </w:t>
      </w:r>
      <w:r w:rsidR="005E6464" w:rsidRPr="000744CF">
        <w:t xml:space="preserve">vad Zboží </w:t>
      </w:r>
      <w:r w:rsidR="009A12F5">
        <w:t xml:space="preserve">oznámených </w:t>
      </w:r>
      <w:r w:rsidR="002F42AF">
        <w:t xml:space="preserve">Kupujícím </w:t>
      </w:r>
      <w:r w:rsidR="009A12F5">
        <w:t xml:space="preserve">Prodávajícímu během Záruční doby </w:t>
      </w:r>
      <w:r w:rsidR="005E6464" w:rsidRPr="000744CF">
        <w:t>do 1 pracovního dne od </w:t>
      </w:r>
      <w:r w:rsidR="009A12F5">
        <w:t xml:space="preserve">takového </w:t>
      </w:r>
      <w:r w:rsidR="005E6464" w:rsidRPr="000744CF">
        <w:t xml:space="preserve">oznámení a ve lhůtě do 3 pracovních dnů od </w:t>
      </w:r>
      <w:r w:rsidR="009A12F5">
        <w:t xml:space="preserve">takového </w:t>
      </w:r>
      <w:r w:rsidR="005E6464" w:rsidRPr="000744CF">
        <w:t xml:space="preserve">oznámení uvést Zboží opět do bezvadného </w:t>
      </w:r>
      <w:r w:rsidR="005E6464" w:rsidRPr="000744CF">
        <w:lastRenderedPageBreak/>
        <w:t xml:space="preserve">stavu, </w:t>
      </w:r>
      <w:r w:rsidR="009A12F5">
        <w:t xml:space="preserve">ledaže si smluvní strany </w:t>
      </w:r>
      <w:r w:rsidR="005E6464" w:rsidRPr="000744CF">
        <w:t>s ohledem na char</w:t>
      </w:r>
      <w:r w:rsidR="009A12F5">
        <w:t>akter a závažnost vady dohodnou lhůty jiné</w:t>
      </w:r>
      <w:r w:rsidR="005E6464" w:rsidRPr="000744CF">
        <w:t>.</w:t>
      </w:r>
      <w:r w:rsidR="00BE6AAA">
        <w:t xml:space="preserve"> Odstraňování ostatních vad se řídí Smlouvou o poskytování Služeb, přičemž nevyplývá</w:t>
      </w:r>
      <w:r w:rsidR="00BE6AAA">
        <w:noBreakHyphen/>
        <w:t xml:space="preserve">li ze Smlouvy o poskytování Služeb něco jiného, </w:t>
      </w:r>
      <w:r w:rsidR="00C12BEF">
        <w:t>oznamují se takové vady Prodávajícímu, který za podmínek Smlouvy o poskytování Služeb zajistí jejich odstranění.</w:t>
      </w:r>
    </w:p>
    <w:p w14:paraId="67B5DE1F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47173F7A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1EAFA98" w14:textId="77777777" w:rsidR="00726B26" w:rsidRPr="002B77A6" w:rsidRDefault="00726B26" w:rsidP="00726B26">
      <w:pPr>
        <w:jc w:val="center"/>
        <w:rPr>
          <w:b/>
          <w:bCs/>
        </w:rPr>
      </w:pPr>
    </w:p>
    <w:p w14:paraId="0E9C79CE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23F98C7C" w14:textId="77777777" w:rsidR="00726B26" w:rsidRPr="002B77A6" w:rsidRDefault="00726B26" w:rsidP="00726B26">
      <w:pPr>
        <w:jc w:val="center"/>
        <w:rPr>
          <w:b/>
          <w:bCs/>
        </w:rPr>
      </w:pPr>
    </w:p>
    <w:p w14:paraId="378F30D0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</w:t>
      </w:r>
      <w:r w:rsidR="009A12F5">
        <w:t>, Dokladů</w:t>
      </w:r>
      <w:r>
        <w:t xml:space="preserve"> nebo kterékoli </w:t>
      </w:r>
      <w:r w:rsidR="009A12F5">
        <w:t xml:space="preserve">jejich </w:t>
      </w:r>
      <w:r>
        <w:t>části</w:t>
      </w:r>
      <w:r w:rsidRPr="00557002">
        <w:t>.</w:t>
      </w:r>
    </w:p>
    <w:p w14:paraId="0B506525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2644FE28" w14:textId="1B9A6E6E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</w:t>
      </w:r>
      <w:r w:rsidR="00C12BEF">
        <w:t>předáním</w:t>
      </w:r>
      <w:r w:rsidR="00C12BEF"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9A12F5">
        <w:t>10</w:t>
      </w:r>
      <w:r w:rsidR="00B20895">
        <w:t xml:space="preserve">00,- Kč (slovy: </w:t>
      </w:r>
      <w:r w:rsidR="009A12F5">
        <w:t>tisíc</w:t>
      </w:r>
      <w:r w:rsidR="00B20895">
        <w:t xml:space="preserve"> korun českých)</w:t>
      </w:r>
      <w:r>
        <w:t>, a to</w:t>
      </w:r>
      <w:r w:rsidRPr="00512AB9">
        <w:t xml:space="preserve"> za </w:t>
      </w:r>
      <w:r w:rsidR="00B20895">
        <w:t xml:space="preserve">každý </w:t>
      </w:r>
      <w:r w:rsidRPr="00512AB9">
        <w:t xml:space="preserve">započatý den prodlení. </w:t>
      </w:r>
    </w:p>
    <w:p w14:paraId="3FD70379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36AD029D" w14:textId="1CB69CC8" w:rsidR="005E6464" w:rsidRDefault="00C12BEF" w:rsidP="005E6464">
      <w:pPr>
        <w:pStyle w:val="Odstavecsmlouvy"/>
      </w:pPr>
      <w:r>
        <w:t xml:space="preserve">Nejedná-li se o vadu Zboží, na kterou dopadá Smlouva o poskytování Služeb, je </w:t>
      </w:r>
      <w:r w:rsidR="005E6464" w:rsidRPr="005E6464">
        <w:t>Prodávající pro případ prodlení se zahájením pr</w:t>
      </w:r>
      <w:r w:rsidR="00AB52FC">
        <w:t>a</w:t>
      </w:r>
      <w:r w:rsidR="005E6464" w:rsidRPr="005E6464">
        <w:t>c</w:t>
      </w:r>
      <w:r>
        <w:t>í</w:t>
      </w:r>
      <w:r w:rsidR="005E6464" w:rsidRPr="005E6464">
        <w:t xml:space="preserve"> na odstranění </w:t>
      </w:r>
      <w:r>
        <w:t xml:space="preserve">takové </w:t>
      </w:r>
      <w:r w:rsidR="005E6464" w:rsidRPr="005E6464">
        <w:t>vad</w:t>
      </w:r>
      <w:r>
        <w:t>y</w:t>
      </w:r>
      <w:r w:rsidR="005E6464" w:rsidRPr="005E6464">
        <w:t xml:space="preserve"> Zboží nebo v případě prodlení s</w:t>
      </w:r>
      <w:r>
        <w:t xml:space="preserve"> odstraněním takové vady Zboží povinen </w:t>
      </w:r>
      <w:r w:rsidR="005E6464" w:rsidRPr="005E6464">
        <w:t xml:space="preserve">uhradit Kupujícímu smluvní pokutu ve výši </w:t>
      </w:r>
      <w:r w:rsidR="009A12F5">
        <w:t>10</w:t>
      </w:r>
      <w:r w:rsidR="005E6464">
        <w:t xml:space="preserve">00,- Kč (slovy: </w:t>
      </w:r>
      <w:r w:rsidR="009A12F5">
        <w:t xml:space="preserve">tisíc </w:t>
      </w:r>
      <w:r w:rsidR="005E6464">
        <w:t xml:space="preserve">korun českých), a to za každý takový případ a </w:t>
      </w:r>
      <w:r w:rsidR="005E6464" w:rsidRPr="005E6464">
        <w:t xml:space="preserve">za každý den prodlení. </w:t>
      </w:r>
    </w:p>
    <w:p w14:paraId="264A09B8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016392AB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3FE4DC9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2DFB038B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11C3C38A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1E314905" w14:textId="77777777" w:rsidR="00B945BB" w:rsidRDefault="00C92C8B" w:rsidP="009A12F5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  <w:r w:rsidR="009A12F5" w:rsidRPr="009A12F5">
        <w:t xml:space="preserve"> </w:t>
      </w:r>
    </w:p>
    <w:p w14:paraId="63CB0E05" w14:textId="77777777" w:rsidR="00EE6269" w:rsidRPr="002B77A6" w:rsidRDefault="00EE6269" w:rsidP="00726B26">
      <w:pPr>
        <w:jc w:val="center"/>
        <w:rPr>
          <w:b/>
          <w:bCs/>
        </w:rPr>
      </w:pPr>
    </w:p>
    <w:p w14:paraId="7FE5C169" w14:textId="77777777" w:rsidR="00726B26" w:rsidRDefault="00726B26" w:rsidP="00C92C8B">
      <w:pPr>
        <w:pStyle w:val="Nadpis1"/>
      </w:pPr>
      <w:r w:rsidRPr="002B77A6">
        <w:t>Závěrečná ujednání</w:t>
      </w:r>
    </w:p>
    <w:p w14:paraId="2C39D30E" w14:textId="77777777" w:rsidR="00726B26" w:rsidRPr="002B77A6" w:rsidRDefault="00726B26" w:rsidP="00726B26">
      <w:pPr>
        <w:jc w:val="center"/>
        <w:rPr>
          <w:b/>
          <w:bCs/>
        </w:rPr>
      </w:pPr>
    </w:p>
    <w:p w14:paraId="416287F1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7C0609CE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0EB31B33" w14:textId="77777777" w:rsidR="009F5A2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7D6EAF">
        <w:rPr>
          <w:b/>
        </w:rPr>
        <w:t>dnem</w:t>
      </w:r>
      <w:r w:rsidR="001B1B66" w:rsidRPr="001B1B66">
        <w:rPr>
          <w:b/>
        </w:rPr>
        <w:t xml:space="preserve"> </w:t>
      </w:r>
      <w:r w:rsidR="00575F84" w:rsidRPr="001B1B66">
        <w:rPr>
          <w:b/>
        </w:rPr>
        <w:t>uveřejnění</w:t>
      </w:r>
      <w:r w:rsidR="00575F84">
        <w:t xml:space="preserve"> v</w:t>
      </w:r>
      <w:r w:rsidR="009A12F5">
        <w:t> </w:t>
      </w:r>
      <w:r w:rsidR="00575F84">
        <w:t>registru</w:t>
      </w:r>
      <w:r w:rsidR="009A12F5">
        <w:t xml:space="preserve"> smluv</w:t>
      </w:r>
      <w:r w:rsidRPr="009F5A27">
        <w:t>.</w:t>
      </w:r>
    </w:p>
    <w:p w14:paraId="082734A5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1F7DCB87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37F5AAAC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6A15DE7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579C437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20D49F7F" w14:textId="77777777" w:rsidR="00C92C8B" w:rsidRDefault="00726B26" w:rsidP="00C92C8B">
      <w:pPr>
        <w:pStyle w:val="Odstavecsmlouvy"/>
      </w:pPr>
      <w:r w:rsidRPr="002B77A6">
        <w:lastRenderedPageBreak/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17F78343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0D7356B1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1CD1845E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2CCFC93D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3A6800C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2F1AC8D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4C757F27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29BE484" w14:textId="77777777" w:rsidR="001D71E3" w:rsidRPr="007E416F" w:rsidRDefault="00726B26" w:rsidP="001D71E3">
      <w:pPr>
        <w:pStyle w:val="Odstavecsmlouvy"/>
      </w:pPr>
      <w:r w:rsidRPr="001D71E3">
        <w:rPr>
          <w:snapToGrid w:val="0"/>
        </w:rPr>
        <w:t xml:space="preserve">Tato </w:t>
      </w:r>
      <w:r w:rsidR="00825B3C"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B927D9">
        <w:rPr>
          <w:snapToGrid w:val="0"/>
        </w:rPr>
        <w:t xml:space="preserve">dvou </w:t>
      </w:r>
      <w:r w:rsidRPr="00684BFA">
        <w:rPr>
          <w:snapToGrid w:val="0"/>
        </w:rPr>
        <w:t xml:space="preserve">vyhotoveních stejné platnosti a závaznosti, přičemž </w:t>
      </w:r>
      <w:r w:rsidR="00451B43">
        <w:rPr>
          <w:snapToGrid w:val="0"/>
        </w:rPr>
        <w:t xml:space="preserve">Prodávající obdrží jedno vyhotovení a Kupující obdrží </w:t>
      </w:r>
      <w:r w:rsidR="00B927D9">
        <w:rPr>
          <w:snapToGrid w:val="0"/>
        </w:rPr>
        <w:t>jedno</w:t>
      </w:r>
      <w:r w:rsidR="00451B43">
        <w:rPr>
          <w:snapToGrid w:val="0"/>
        </w:rPr>
        <w:t xml:space="preserve"> vyhotovení</w:t>
      </w:r>
      <w:r w:rsidR="00023008">
        <w:rPr>
          <w:snapToGrid w:val="0"/>
        </w:rPr>
        <w:t>.</w:t>
      </w:r>
    </w:p>
    <w:p w14:paraId="419A84A1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5FDEE4C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04FCCE9E" w14:textId="79FCCBC3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9A12F5">
        <w:t>Specifikace Zboží</w:t>
      </w:r>
      <w:r w:rsidR="004C14BC">
        <w:t xml:space="preserve"> a Služeb</w:t>
      </w:r>
      <w:r w:rsidR="000A5B93">
        <w:t>.</w:t>
      </w:r>
    </w:p>
    <w:p w14:paraId="718F28B6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1C19B97E" w14:textId="77777777" w:rsidR="00726B26" w:rsidRPr="001D71E3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21EDD57E" w14:textId="77777777" w:rsidR="004A45B0" w:rsidRPr="00D722DC" w:rsidRDefault="004A45B0" w:rsidP="00E95CCB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536"/>
        <w:gridCol w:w="426"/>
        <w:gridCol w:w="4461"/>
      </w:tblGrid>
      <w:tr w:rsidR="004A45B0" w:rsidRPr="00D722DC" w14:paraId="4A145E4C" w14:textId="77777777" w:rsidTr="00E95CCB">
        <w:tc>
          <w:tcPr>
            <w:tcW w:w="4536" w:type="dxa"/>
            <w:shd w:val="clear" w:color="auto" w:fill="auto"/>
          </w:tcPr>
          <w:p w14:paraId="3C23F786" w14:textId="77777777" w:rsidR="004A45B0" w:rsidRPr="00D722DC" w:rsidRDefault="004A45B0" w:rsidP="00E95CC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E95CCB">
              <w:rPr>
                <w:sz w:val="22"/>
                <w:szCs w:val="22"/>
              </w:rPr>
              <w:t>Brně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426" w:type="dxa"/>
            <w:shd w:val="clear" w:color="auto" w:fill="auto"/>
          </w:tcPr>
          <w:p w14:paraId="4ADBA4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461" w:type="dxa"/>
            <w:shd w:val="clear" w:color="auto" w:fill="auto"/>
          </w:tcPr>
          <w:p w14:paraId="674B2D4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3A8AF431" w14:textId="77777777" w:rsidTr="00E95CCB"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0A72663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1C85FAA" w14:textId="77777777" w:rsidR="00CD098E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F0AD71F" w14:textId="115011FE" w:rsidR="00E95CCB" w:rsidRDefault="00E95CCB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7CEEF40" w14:textId="68BD4A02" w:rsidR="00B849C4" w:rsidRDefault="00B849C4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0CD0DD0" w14:textId="77777777" w:rsidR="00B849C4" w:rsidRPr="00D722DC" w:rsidRDefault="00B849C4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DEB9C5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12D9E53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461" w:type="dxa"/>
            <w:tcBorders>
              <w:bottom w:val="single" w:sz="4" w:space="0" w:color="auto"/>
            </w:tcBorders>
            <w:shd w:val="clear" w:color="auto" w:fill="auto"/>
          </w:tcPr>
          <w:p w14:paraId="4C3C260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7E07F9A1" w14:textId="77777777" w:rsidTr="00E95CCB"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6874EF91" w14:textId="77777777" w:rsidR="00E8510B" w:rsidRPr="00301F37" w:rsidRDefault="00E8510B" w:rsidP="00E8510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2"/>
              </w:rPr>
              <w:t>UNIS COMPUTERS, a. s.</w:t>
            </w:r>
          </w:p>
          <w:p w14:paraId="69177573" w14:textId="77777777" w:rsidR="00E8510B" w:rsidRDefault="00E8510B" w:rsidP="00E8510B">
            <w:pPr>
              <w:pStyle w:val="slovn"/>
              <w:numPr>
                <w:ilvl w:val="0"/>
                <w:numId w:val="0"/>
              </w:numPr>
              <w:spacing w:after="0" w:line="28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Ing. Vítězslav Mach</w:t>
            </w:r>
          </w:p>
          <w:p w14:paraId="094C8E46" w14:textId="4401AC92" w:rsidR="004A45B0" w:rsidRPr="00E95CCB" w:rsidRDefault="00E8510B" w:rsidP="00E8510B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člen představenstva</w:t>
            </w:r>
          </w:p>
        </w:tc>
        <w:tc>
          <w:tcPr>
            <w:tcW w:w="426" w:type="dxa"/>
            <w:shd w:val="clear" w:color="auto" w:fill="auto"/>
          </w:tcPr>
          <w:p w14:paraId="58FAB96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461" w:type="dxa"/>
            <w:tcBorders>
              <w:top w:val="single" w:sz="4" w:space="0" w:color="auto"/>
            </w:tcBorders>
            <w:shd w:val="clear" w:color="auto" w:fill="auto"/>
          </w:tcPr>
          <w:p w14:paraId="25A81B3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2A7B72F6" w14:textId="77777777" w:rsidR="00A93940" w:rsidRDefault="002003F2" w:rsidP="00B927D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2003F2">
              <w:rPr>
                <w:sz w:val="22"/>
                <w:szCs w:val="22"/>
              </w:rPr>
              <w:t xml:space="preserve">MUDr. </w:t>
            </w:r>
            <w:r w:rsidR="00B927D9">
              <w:rPr>
                <w:sz w:val="22"/>
                <w:szCs w:val="22"/>
              </w:rPr>
              <w:t>Ivo Rovný</w:t>
            </w:r>
            <w:r w:rsidRPr="002003F2">
              <w:rPr>
                <w:sz w:val="22"/>
                <w:szCs w:val="22"/>
              </w:rPr>
              <w:t xml:space="preserve">, </w:t>
            </w:r>
            <w:r w:rsidR="00B927D9">
              <w:rPr>
                <w:sz w:val="22"/>
                <w:szCs w:val="22"/>
              </w:rPr>
              <w:t>MBA</w:t>
            </w:r>
          </w:p>
          <w:p w14:paraId="3D298CB6" w14:textId="676AD6AF" w:rsidR="004A45B0" w:rsidRPr="00D722DC" w:rsidRDefault="004A45B0" w:rsidP="00B927D9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ředitel</w:t>
            </w:r>
          </w:p>
        </w:tc>
      </w:tr>
    </w:tbl>
    <w:p w14:paraId="765A62B4" w14:textId="77777777" w:rsidR="007E416F" w:rsidRPr="000729CF" w:rsidRDefault="000729CF" w:rsidP="007E416F">
      <w:pPr>
        <w:jc w:val="center"/>
        <w:rPr>
          <w:b/>
        </w:rPr>
      </w:pPr>
      <w:r>
        <w:br w:type="page"/>
      </w:r>
      <w:r w:rsidR="00575F84"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04898307" w14:textId="77777777" w:rsidR="007E416F" w:rsidRPr="000729CF" w:rsidRDefault="007E416F" w:rsidP="007E416F">
      <w:pPr>
        <w:jc w:val="center"/>
        <w:rPr>
          <w:b/>
        </w:rPr>
      </w:pPr>
    </w:p>
    <w:p w14:paraId="2A74609C" w14:textId="37FBD973" w:rsidR="007E416F" w:rsidRPr="000729CF" w:rsidRDefault="00B927D9" w:rsidP="007E416F">
      <w:pPr>
        <w:jc w:val="center"/>
        <w:rPr>
          <w:b/>
        </w:rPr>
      </w:pPr>
      <w:r>
        <w:rPr>
          <w:b/>
        </w:rPr>
        <w:t>Specifikace Zboží</w:t>
      </w:r>
      <w:r w:rsidR="004C14BC">
        <w:rPr>
          <w:b/>
        </w:rPr>
        <w:t xml:space="preserve"> a Služeb</w:t>
      </w:r>
    </w:p>
    <w:p w14:paraId="08D42C05" w14:textId="381DA7CC" w:rsidR="00B849C4" w:rsidRDefault="00B849C4" w:rsidP="00E8510B">
      <w:pPr>
        <w:autoSpaceDE w:val="0"/>
        <w:autoSpaceDN w:val="0"/>
        <w:adjustRightInd w:val="0"/>
        <w:spacing w:line="276" w:lineRule="auto"/>
      </w:pPr>
    </w:p>
    <w:p w14:paraId="64BB014B" w14:textId="72902B2E" w:rsidR="004C14BC" w:rsidRPr="004C14BC" w:rsidRDefault="004C14BC" w:rsidP="00E8510B">
      <w:pPr>
        <w:autoSpaceDE w:val="0"/>
        <w:autoSpaceDN w:val="0"/>
        <w:adjustRightInd w:val="0"/>
        <w:spacing w:line="276" w:lineRule="auto"/>
        <w:rPr>
          <w:u w:val="single"/>
        </w:rPr>
      </w:pPr>
      <w:r w:rsidRPr="004C14BC">
        <w:rPr>
          <w:u w:val="single"/>
        </w:rPr>
        <w:t>Zboží:</w:t>
      </w:r>
    </w:p>
    <w:p w14:paraId="44758644" w14:textId="5F031830" w:rsidR="004C14BC" w:rsidRDefault="004C14BC" w:rsidP="00E8510B">
      <w:pPr>
        <w:autoSpaceDE w:val="0"/>
        <w:autoSpaceDN w:val="0"/>
        <w:adjustRightInd w:val="0"/>
        <w:spacing w:line="276" w:lineRule="auto"/>
      </w:pPr>
    </w:p>
    <w:p w14:paraId="4EA519A0" w14:textId="27B4D9BF" w:rsidR="00734DC7" w:rsidRDefault="00827574" w:rsidP="00E8510B">
      <w:pPr>
        <w:autoSpaceDE w:val="0"/>
        <w:autoSpaceDN w:val="0"/>
        <w:adjustRightInd w:val="0"/>
        <w:spacing w:line="276" w:lineRule="auto"/>
      </w:pPr>
      <w:r>
        <w:rPr>
          <w:noProof/>
        </w:rPr>
        <w:drawing>
          <wp:inline distT="0" distB="0" distL="0" distR="0" wp14:anchorId="06C17188" wp14:editId="193BD707">
            <wp:extent cx="6400800" cy="4742815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74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" w:name="_GoBack"/>
      <w:bookmarkEnd w:id="5"/>
    </w:p>
    <w:p w14:paraId="10D7AC5D" w14:textId="77777777" w:rsidR="004C14BC" w:rsidRDefault="004C14BC" w:rsidP="00E8510B">
      <w:pPr>
        <w:autoSpaceDE w:val="0"/>
        <w:autoSpaceDN w:val="0"/>
        <w:adjustRightInd w:val="0"/>
        <w:spacing w:line="276" w:lineRule="auto"/>
      </w:pPr>
    </w:p>
    <w:p w14:paraId="2009C7FB" w14:textId="1708CEE9" w:rsidR="004C14BC" w:rsidRPr="004C14BC" w:rsidRDefault="004C14BC" w:rsidP="00E8510B">
      <w:pPr>
        <w:autoSpaceDE w:val="0"/>
        <w:autoSpaceDN w:val="0"/>
        <w:adjustRightInd w:val="0"/>
        <w:spacing w:line="276" w:lineRule="auto"/>
        <w:rPr>
          <w:u w:val="single"/>
        </w:rPr>
      </w:pPr>
      <w:r w:rsidRPr="004C14BC">
        <w:rPr>
          <w:u w:val="single"/>
        </w:rPr>
        <w:t xml:space="preserve">Služba: </w:t>
      </w:r>
    </w:p>
    <w:p w14:paraId="47F68009" w14:textId="50C67F81" w:rsidR="004C14BC" w:rsidRDefault="004C14BC" w:rsidP="00E8510B">
      <w:pPr>
        <w:autoSpaceDE w:val="0"/>
        <w:autoSpaceDN w:val="0"/>
        <w:adjustRightInd w:val="0"/>
        <w:spacing w:line="276" w:lineRule="auto"/>
      </w:pPr>
    </w:p>
    <w:p w14:paraId="02FFAEF0" w14:textId="1715728B" w:rsidR="004C14BC" w:rsidRDefault="004C14BC" w:rsidP="004C14BC">
      <w:pPr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Podpora „</w:t>
      </w:r>
      <w:r w:rsidR="001F6AB7">
        <w:rPr>
          <w:color w:val="000000"/>
          <w:sz w:val="24"/>
          <w:szCs w:val="24"/>
        </w:rPr>
        <w:t>Standard</w:t>
      </w:r>
      <w:r>
        <w:rPr>
          <w:color w:val="000000"/>
          <w:sz w:val="24"/>
          <w:szCs w:val="24"/>
        </w:rPr>
        <w:t xml:space="preserve"> support 1y: IFP- 20000-SFP+“, množství 5 = podpora je tedy na 5let, tzn. aktualizace SW i záruka 5let na HW</w:t>
      </w:r>
      <w:r w:rsidR="002A643E">
        <w:rPr>
          <w:color w:val="000000"/>
          <w:sz w:val="24"/>
          <w:szCs w:val="24"/>
        </w:rPr>
        <w:t xml:space="preserve"> počínaje březnem 2020. Tato podpora je poskytována do 31. 3. 2025</w:t>
      </w:r>
      <w:r>
        <w:rPr>
          <w:color w:val="000000"/>
          <w:sz w:val="24"/>
          <w:szCs w:val="24"/>
        </w:rPr>
        <w:t>.</w:t>
      </w:r>
    </w:p>
    <w:p w14:paraId="25E6EB15" w14:textId="77777777" w:rsidR="004C14BC" w:rsidRDefault="004C14BC" w:rsidP="004C14BC">
      <w:pPr>
        <w:rPr>
          <w:color w:val="000000"/>
        </w:rPr>
      </w:pPr>
      <w:r>
        <w:rPr>
          <w:color w:val="000000"/>
          <w:sz w:val="24"/>
          <w:szCs w:val="24"/>
        </w:rPr>
        <w:t> </w:t>
      </w:r>
    </w:p>
    <w:p w14:paraId="26D53975" w14:textId="7DF64E0A" w:rsidR="004C14BC" w:rsidRDefault="00734DC7" w:rsidP="004C14BC">
      <w:pPr>
        <w:rPr>
          <w:color w:val="000000"/>
        </w:rPr>
      </w:pPr>
      <w:r>
        <w:rPr>
          <w:color w:val="000000"/>
          <w:sz w:val="24"/>
          <w:szCs w:val="24"/>
        </w:rPr>
        <w:t xml:space="preserve">Standard </w:t>
      </w:r>
      <w:r w:rsidR="004C14BC">
        <w:rPr>
          <w:color w:val="000000"/>
          <w:sz w:val="24"/>
          <w:szCs w:val="24"/>
        </w:rPr>
        <w:t>support - </w:t>
      </w:r>
      <w:r w:rsidRPr="00734DC7">
        <w:rPr>
          <w:color w:val="000000"/>
          <w:sz w:val="24"/>
          <w:szCs w:val="24"/>
        </w:rPr>
        <w:t>https://www.flowmon.com/cs/products/standard-extended-support</w:t>
      </w:r>
    </w:p>
    <w:p w14:paraId="6A164E41" w14:textId="77777777" w:rsidR="004C14BC" w:rsidRPr="00F743BE" w:rsidRDefault="004C14BC" w:rsidP="00E8510B">
      <w:pPr>
        <w:autoSpaceDE w:val="0"/>
        <w:autoSpaceDN w:val="0"/>
        <w:adjustRightInd w:val="0"/>
        <w:spacing w:line="276" w:lineRule="auto"/>
      </w:pPr>
    </w:p>
    <w:sectPr w:rsidR="004C14BC" w:rsidRPr="00F743BE" w:rsidSect="00D930BD">
      <w:footerReference w:type="default" r:id="rId14"/>
      <w:footerReference w:type="first" r:id="rId15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72320" w14:textId="77777777" w:rsidR="00001A5C" w:rsidRDefault="00001A5C" w:rsidP="006337DC">
      <w:r>
        <w:separator/>
      </w:r>
    </w:p>
  </w:endnote>
  <w:endnote w:type="continuationSeparator" w:id="0">
    <w:p w14:paraId="20823B5E" w14:textId="77777777" w:rsidR="00001A5C" w:rsidRDefault="00001A5C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9DCAA" w14:textId="1C513023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827574">
      <w:rPr>
        <w:noProof/>
        <w:sz w:val="20"/>
        <w:szCs w:val="20"/>
      </w:rPr>
      <w:t>7</w:t>
    </w:r>
    <w:r w:rsidRPr="00150F89">
      <w:rPr>
        <w:sz w:val="20"/>
        <w:szCs w:val="20"/>
      </w:rPr>
      <w:fldChar w:fldCharType="end"/>
    </w:r>
  </w:p>
  <w:p w14:paraId="65A32286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3F36C" w14:textId="0C24A19A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27574">
      <w:rPr>
        <w:noProof/>
      </w:rPr>
      <w:t>1</w:t>
    </w:r>
    <w:r>
      <w:fldChar w:fldCharType="end"/>
    </w:r>
  </w:p>
  <w:p w14:paraId="737E72EA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88952" w14:textId="77777777" w:rsidR="00001A5C" w:rsidRDefault="00001A5C" w:rsidP="006337DC">
      <w:r>
        <w:separator/>
      </w:r>
    </w:p>
  </w:footnote>
  <w:footnote w:type="continuationSeparator" w:id="0">
    <w:p w14:paraId="02330AA6" w14:textId="77777777" w:rsidR="00001A5C" w:rsidRDefault="00001A5C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6"/>
  </w:num>
  <w:num w:numId="12">
    <w:abstractNumId w:val="2"/>
  </w:num>
  <w:num w:numId="13">
    <w:abstractNumId w:val="11"/>
  </w:num>
  <w:num w:numId="14">
    <w:abstractNumId w:val="1"/>
  </w:num>
  <w:num w:numId="15">
    <w:abstractNumId w:val="13"/>
  </w:num>
  <w:num w:numId="16">
    <w:abstractNumId w:val="4"/>
  </w:num>
  <w:num w:numId="17">
    <w:abstractNumId w:val="10"/>
  </w:num>
  <w:num w:numId="1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1A5C"/>
    <w:rsid w:val="000056DF"/>
    <w:rsid w:val="00011DB1"/>
    <w:rsid w:val="00011F43"/>
    <w:rsid w:val="00012084"/>
    <w:rsid w:val="00012814"/>
    <w:rsid w:val="00014CFB"/>
    <w:rsid w:val="00014D27"/>
    <w:rsid w:val="00020A2F"/>
    <w:rsid w:val="00023008"/>
    <w:rsid w:val="00023AFC"/>
    <w:rsid w:val="00024928"/>
    <w:rsid w:val="00027592"/>
    <w:rsid w:val="00030B09"/>
    <w:rsid w:val="0003714D"/>
    <w:rsid w:val="00061455"/>
    <w:rsid w:val="00064A2C"/>
    <w:rsid w:val="000729CF"/>
    <w:rsid w:val="00072AB4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76B"/>
    <w:rsid w:val="00150F89"/>
    <w:rsid w:val="0015378B"/>
    <w:rsid w:val="00154976"/>
    <w:rsid w:val="00154ACA"/>
    <w:rsid w:val="001604EA"/>
    <w:rsid w:val="00161984"/>
    <w:rsid w:val="001673D6"/>
    <w:rsid w:val="00183B7C"/>
    <w:rsid w:val="00195882"/>
    <w:rsid w:val="001976E5"/>
    <w:rsid w:val="001A2FBC"/>
    <w:rsid w:val="001A3AA2"/>
    <w:rsid w:val="001B0682"/>
    <w:rsid w:val="001B1B66"/>
    <w:rsid w:val="001B5F9C"/>
    <w:rsid w:val="001C0E26"/>
    <w:rsid w:val="001C1844"/>
    <w:rsid w:val="001C5BFF"/>
    <w:rsid w:val="001C6D46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6AB7"/>
    <w:rsid w:val="002003F2"/>
    <w:rsid w:val="00201DB5"/>
    <w:rsid w:val="00205191"/>
    <w:rsid w:val="00211633"/>
    <w:rsid w:val="00217B9D"/>
    <w:rsid w:val="0022148A"/>
    <w:rsid w:val="00232C9C"/>
    <w:rsid w:val="0023578D"/>
    <w:rsid w:val="00236D62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80C86"/>
    <w:rsid w:val="00286EBA"/>
    <w:rsid w:val="00286F30"/>
    <w:rsid w:val="0029236A"/>
    <w:rsid w:val="002959B0"/>
    <w:rsid w:val="00297F3A"/>
    <w:rsid w:val="002A18AD"/>
    <w:rsid w:val="002A5831"/>
    <w:rsid w:val="002A643E"/>
    <w:rsid w:val="002B1098"/>
    <w:rsid w:val="002B1D72"/>
    <w:rsid w:val="002B20A8"/>
    <w:rsid w:val="002B68E8"/>
    <w:rsid w:val="002C0743"/>
    <w:rsid w:val="002C243A"/>
    <w:rsid w:val="002C69B1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2AF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1019"/>
    <w:rsid w:val="004C14BC"/>
    <w:rsid w:val="004C2C98"/>
    <w:rsid w:val="004C62D3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237DF"/>
    <w:rsid w:val="0052509C"/>
    <w:rsid w:val="00525505"/>
    <w:rsid w:val="005255AE"/>
    <w:rsid w:val="00530753"/>
    <w:rsid w:val="00531121"/>
    <w:rsid w:val="005337E0"/>
    <w:rsid w:val="00535F96"/>
    <w:rsid w:val="00537A86"/>
    <w:rsid w:val="00542C4D"/>
    <w:rsid w:val="00544555"/>
    <w:rsid w:val="00544FA6"/>
    <w:rsid w:val="005452F8"/>
    <w:rsid w:val="0055025A"/>
    <w:rsid w:val="00557002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E6464"/>
    <w:rsid w:val="005F315A"/>
    <w:rsid w:val="005F47C4"/>
    <w:rsid w:val="005F606A"/>
    <w:rsid w:val="0060020F"/>
    <w:rsid w:val="00601886"/>
    <w:rsid w:val="0060495E"/>
    <w:rsid w:val="006130D0"/>
    <w:rsid w:val="0062650E"/>
    <w:rsid w:val="0062677D"/>
    <w:rsid w:val="006337DC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3446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7214"/>
    <w:rsid w:val="006D7971"/>
    <w:rsid w:val="006E1936"/>
    <w:rsid w:val="006E1ACB"/>
    <w:rsid w:val="006E2DA5"/>
    <w:rsid w:val="006E4E2A"/>
    <w:rsid w:val="006F5E44"/>
    <w:rsid w:val="006F6220"/>
    <w:rsid w:val="00706E7C"/>
    <w:rsid w:val="0070760F"/>
    <w:rsid w:val="00711929"/>
    <w:rsid w:val="0071202D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34DC7"/>
    <w:rsid w:val="00735A8F"/>
    <w:rsid w:val="007408D2"/>
    <w:rsid w:val="007427EC"/>
    <w:rsid w:val="00744F95"/>
    <w:rsid w:val="0075495D"/>
    <w:rsid w:val="00754D50"/>
    <w:rsid w:val="00762F5F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416F"/>
    <w:rsid w:val="007F0866"/>
    <w:rsid w:val="007F157D"/>
    <w:rsid w:val="007F216E"/>
    <w:rsid w:val="007F2D01"/>
    <w:rsid w:val="00800E75"/>
    <w:rsid w:val="00801C57"/>
    <w:rsid w:val="00803984"/>
    <w:rsid w:val="00806564"/>
    <w:rsid w:val="008111D1"/>
    <w:rsid w:val="00812EA1"/>
    <w:rsid w:val="00817EEC"/>
    <w:rsid w:val="00825B3C"/>
    <w:rsid w:val="00826135"/>
    <w:rsid w:val="00827574"/>
    <w:rsid w:val="008316A7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192C"/>
    <w:rsid w:val="008A57E9"/>
    <w:rsid w:val="008B2B91"/>
    <w:rsid w:val="008B5825"/>
    <w:rsid w:val="008B732B"/>
    <w:rsid w:val="008C06CE"/>
    <w:rsid w:val="008C3784"/>
    <w:rsid w:val="008C6BA0"/>
    <w:rsid w:val="008D185D"/>
    <w:rsid w:val="008E2137"/>
    <w:rsid w:val="008F06D4"/>
    <w:rsid w:val="008F3B32"/>
    <w:rsid w:val="008F5E25"/>
    <w:rsid w:val="008F658D"/>
    <w:rsid w:val="00903DE4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12F5"/>
    <w:rsid w:val="009A4267"/>
    <w:rsid w:val="009B0178"/>
    <w:rsid w:val="009B5A6C"/>
    <w:rsid w:val="009C3B3B"/>
    <w:rsid w:val="009C4E09"/>
    <w:rsid w:val="009C75CE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40"/>
    <w:rsid w:val="00A9396A"/>
    <w:rsid w:val="00A93C3D"/>
    <w:rsid w:val="00A966E9"/>
    <w:rsid w:val="00AA34DF"/>
    <w:rsid w:val="00AB516B"/>
    <w:rsid w:val="00AB52FC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49C4"/>
    <w:rsid w:val="00B86A07"/>
    <w:rsid w:val="00B927D9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B6F"/>
    <w:rsid w:val="00BD1838"/>
    <w:rsid w:val="00BD3BCD"/>
    <w:rsid w:val="00BD3F1A"/>
    <w:rsid w:val="00BD5F03"/>
    <w:rsid w:val="00BE02E4"/>
    <w:rsid w:val="00BE1529"/>
    <w:rsid w:val="00BE451F"/>
    <w:rsid w:val="00BE4FE7"/>
    <w:rsid w:val="00BE50CA"/>
    <w:rsid w:val="00BE6AAA"/>
    <w:rsid w:val="00BE6F07"/>
    <w:rsid w:val="00BF2F20"/>
    <w:rsid w:val="00BF5954"/>
    <w:rsid w:val="00C0348B"/>
    <w:rsid w:val="00C07977"/>
    <w:rsid w:val="00C10B58"/>
    <w:rsid w:val="00C12BEF"/>
    <w:rsid w:val="00C143C2"/>
    <w:rsid w:val="00C14A69"/>
    <w:rsid w:val="00C14FCD"/>
    <w:rsid w:val="00C17096"/>
    <w:rsid w:val="00C20145"/>
    <w:rsid w:val="00C236C0"/>
    <w:rsid w:val="00C24462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4B7C"/>
    <w:rsid w:val="00CD7A9E"/>
    <w:rsid w:val="00CE13E1"/>
    <w:rsid w:val="00CE378C"/>
    <w:rsid w:val="00CE3F06"/>
    <w:rsid w:val="00CF0C56"/>
    <w:rsid w:val="00CF1BA2"/>
    <w:rsid w:val="00CF6796"/>
    <w:rsid w:val="00D029A4"/>
    <w:rsid w:val="00D04AD5"/>
    <w:rsid w:val="00D050E6"/>
    <w:rsid w:val="00D05956"/>
    <w:rsid w:val="00D0617B"/>
    <w:rsid w:val="00D064ED"/>
    <w:rsid w:val="00D14C81"/>
    <w:rsid w:val="00D15E7A"/>
    <w:rsid w:val="00D20310"/>
    <w:rsid w:val="00D221A4"/>
    <w:rsid w:val="00D3341B"/>
    <w:rsid w:val="00D33510"/>
    <w:rsid w:val="00D35BC3"/>
    <w:rsid w:val="00D35D83"/>
    <w:rsid w:val="00D4239D"/>
    <w:rsid w:val="00D441FB"/>
    <w:rsid w:val="00D52C27"/>
    <w:rsid w:val="00D54237"/>
    <w:rsid w:val="00D56CD6"/>
    <w:rsid w:val="00D625CC"/>
    <w:rsid w:val="00D62D3A"/>
    <w:rsid w:val="00D645E9"/>
    <w:rsid w:val="00D649B4"/>
    <w:rsid w:val="00D669F9"/>
    <w:rsid w:val="00D720C7"/>
    <w:rsid w:val="00D722DC"/>
    <w:rsid w:val="00D72755"/>
    <w:rsid w:val="00D765F0"/>
    <w:rsid w:val="00D80EA0"/>
    <w:rsid w:val="00D832C2"/>
    <w:rsid w:val="00D87E3E"/>
    <w:rsid w:val="00D90176"/>
    <w:rsid w:val="00D930BD"/>
    <w:rsid w:val="00D97809"/>
    <w:rsid w:val="00DA20CD"/>
    <w:rsid w:val="00DA5C0E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2379"/>
    <w:rsid w:val="00E034D5"/>
    <w:rsid w:val="00E03F8C"/>
    <w:rsid w:val="00E04FEC"/>
    <w:rsid w:val="00E052D0"/>
    <w:rsid w:val="00E15A00"/>
    <w:rsid w:val="00E267C5"/>
    <w:rsid w:val="00E26944"/>
    <w:rsid w:val="00E31722"/>
    <w:rsid w:val="00E318C7"/>
    <w:rsid w:val="00E324C1"/>
    <w:rsid w:val="00E35862"/>
    <w:rsid w:val="00E367C0"/>
    <w:rsid w:val="00E4123D"/>
    <w:rsid w:val="00E51072"/>
    <w:rsid w:val="00E51AA5"/>
    <w:rsid w:val="00E54C4A"/>
    <w:rsid w:val="00E5651F"/>
    <w:rsid w:val="00E60B3E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510B"/>
    <w:rsid w:val="00E9583A"/>
    <w:rsid w:val="00E95CCB"/>
    <w:rsid w:val="00EA0296"/>
    <w:rsid w:val="00EA1909"/>
    <w:rsid w:val="00EA1A12"/>
    <w:rsid w:val="00EA2854"/>
    <w:rsid w:val="00EA4C8B"/>
    <w:rsid w:val="00EB2D15"/>
    <w:rsid w:val="00EB3860"/>
    <w:rsid w:val="00EC32A0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2F2"/>
    <w:rsid w:val="00F30651"/>
    <w:rsid w:val="00F43EC4"/>
    <w:rsid w:val="00F45871"/>
    <w:rsid w:val="00F45BDE"/>
    <w:rsid w:val="00F51C8E"/>
    <w:rsid w:val="00F55E3B"/>
    <w:rsid w:val="00F6327E"/>
    <w:rsid w:val="00F6762B"/>
    <w:rsid w:val="00F7071B"/>
    <w:rsid w:val="00F70BA0"/>
    <w:rsid w:val="00F72C37"/>
    <w:rsid w:val="00F743BE"/>
    <w:rsid w:val="00F74B4F"/>
    <w:rsid w:val="00F870CA"/>
    <w:rsid w:val="00F87864"/>
    <w:rsid w:val="00F87AD3"/>
    <w:rsid w:val="00F91396"/>
    <w:rsid w:val="00F921A1"/>
    <w:rsid w:val="00F93A20"/>
    <w:rsid w:val="00F96E4D"/>
    <w:rsid w:val="00FA41D0"/>
    <w:rsid w:val="00FA78DA"/>
    <w:rsid w:val="00FB23A7"/>
    <w:rsid w:val="00FB4FC8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8F8EFB0"/>
  <w15:docId w15:val="{22A69631-CFC5-4C89-87DF-5EF07BD4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  <w:ind w:left="1418" w:firstLine="0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2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AA5F335BE9641A51D1C4B7CC570D5" ma:contentTypeVersion="3" ma:contentTypeDescription="Vytvoří nový dokument" ma:contentTypeScope="" ma:versionID="ae67b0e4f8ae03672e6b0c1a8561a09e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77CC2B-90DC-4122-9D23-EFEF7F6A8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058C59-4A9C-450B-B24E-87DF949070D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648BE327-1183-4B38-A259-8165EF6B8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2567</Words>
  <Characters>14606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17139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Kotzian Robert</cp:lastModifiedBy>
  <cp:revision>16</cp:revision>
  <cp:lastPrinted>2022-09-05T12:31:00Z</cp:lastPrinted>
  <dcterms:created xsi:type="dcterms:W3CDTF">2022-10-24T12:11:00Z</dcterms:created>
  <dcterms:modified xsi:type="dcterms:W3CDTF">2023-01-30T12:04:00Z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0x010100517AA5F335BE9641A51D1C4B7CC570D5</vt:lpwstr>
  </property>
</Properties>
</file>