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Hlavnička Martin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martin.hlavnicka@czechtrade.cz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CN Invest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04312945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Pařížská 130/26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11000 Praha Josefov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INOB201701191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Průvodce výstavou EXPO ASTANA 2017 v aj a rj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Samostatný speciál v podobě nekomerčního průvodce výstavou v dvojjazyčném provedení angličtina - ruština: / Guide / Путеводитель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Speciál E15, který spojuje průvodce - představení české účasti, profily firem, co je kde k vidění v české expozici. Zároveň provází možnostmi „nové“, zelené energetiky a bezemisních zdrojů Česka. Obecné shrnutí možností českého dodavatelského řetězce v obnovitelné a bezemisní energetice. Vycházíme z předpokladu, že se na výstavě sejde světová energetická špička a v oborovým průvodci, chceme maximálně prezentovat možnosti České republiky v oboru. Materiál má sloužit jak pro potřeby kanceláře komisaře místě, tak pro potřeby vystavujících firem jako jejich reference v Astaně.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98 000,00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Gorazdova 24 ,  Praha,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