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ED4A2" w14:textId="3E0EB349" w:rsidR="00673D4C" w:rsidRDefault="00673D4C" w:rsidP="00673D4C">
      <w:pPr>
        <w:jc w:val="center"/>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p>
    <w:p w14:paraId="1B253013" w14:textId="77777777" w:rsidR="00673D4C" w:rsidRPr="00673D4C" w:rsidRDefault="00673D4C" w:rsidP="00673D4C">
      <w:pPr>
        <w:jc w:val="center"/>
        <w:rPr>
          <w:i/>
          <w:szCs w:val="24"/>
        </w:rPr>
      </w:pPr>
    </w:p>
    <w:p w14:paraId="287FEADF" w14:textId="47A126AF" w:rsidR="00567BC5" w:rsidRPr="00B500A5" w:rsidRDefault="00567BC5" w:rsidP="00567BC5">
      <w:pPr>
        <w:jc w:val="center"/>
        <w:rPr>
          <w:b/>
          <w:szCs w:val="24"/>
        </w:rPr>
      </w:pPr>
      <w:r w:rsidRPr="00B500A5">
        <w:rPr>
          <w:b/>
          <w:szCs w:val="24"/>
        </w:rPr>
        <w:t xml:space="preserve">DODATEK č. </w:t>
      </w:r>
      <w:r w:rsidR="007C6DBD" w:rsidRPr="00B500A5">
        <w:rPr>
          <w:b/>
          <w:szCs w:val="24"/>
        </w:rPr>
        <w:t>18</w:t>
      </w:r>
    </w:p>
    <w:p w14:paraId="4E624700" w14:textId="77777777" w:rsidR="00567BC5" w:rsidRPr="00B500A5" w:rsidRDefault="00567BC5" w:rsidP="00567BC5">
      <w:pPr>
        <w:jc w:val="center"/>
        <w:rPr>
          <w:b/>
          <w:szCs w:val="24"/>
        </w:rPr>
      </w:pPr>
      <w:r w:rsidRPr="00B500A5">
        <w:rPr>
          <w:b/>
          <w:szCs w:val="24"/>
        </w:rPr>
        <w:t xml:space="preserve">ke Smlouvě o nájmu ze dne </w:t>
      </w:r>
      <w:proofErr w:type="gramStart"/>
      <w:r w:rsidRPr="00B500A5">
        <w:rPr>
          <w:b/>
          <w:szCs w:val="24"/>
        </w:rPr>
        <w:t>25.10.1999</w:t>
      </w:r>
      <w:proofErr w:type="gramEnd"/>
      <w:r w:rsidRPr="00B500A5">
        <w:rPr>
          <w:b/>
          <w:szCs w:val="24"/>
        </w:rPr>
        <w:t xml:space="preserve"> v platném znění</w:t>
      </w:r>
    </w:p>
    <w:p w14:paraId="2B4AAA9C" w14:textId="77777777" w:rsidR="00567BC5" w:rsidRPr="00B500A5" w:rsidRDefault="00567BC5" w:rsidP="00567BC5">
      <w:pPr>
        <w:jc w:val="center"/>
        <w:rPr>
          <w:szCs w:val="24"/>
        </w:rPr>
      </w:pPr>
    </w:p>
    <w:p w14:paraId="6A7FF3D1" w14:textId="77777777" w:rsidR="00567BC5" w:rsidRPr="00B500A5" w:rsidRDefault="00567BC5" w:rsidP="00567BC5">
      <w:pPr>
        <w:rPr>
          <w:b/>
          <w:szCs w:val="24"/>
        </w:rPr>
      </w:pPr>
    </w:p>
    <w:p w14:paraId="49B98E43" w14:textId="77777777" w:rsidR="00567BC5" w:rsidRPr="00B500A5" w:rsidRDefault="00567BC5" w:rsidP="00567BC5">
      <w:pPr>
        <w:rPr>
          <w:b/>
          <w:szCs w:val="24"/>
        </w:rPr>
      </w:pPr>
      <w:r w:rsidRPr="00B500A5">
        <w:rPr>
          <w:b/>
          <w:szCs w:val="24"/>
        </w:rPr>
        <w:t>Město Český Těšín</w:t>
      </w:r>
    </w:p>
    <w:p w14:paraId="6E938B69" w14:textId="77777777" w:rsidR="00567BC5" w:rsidRPr="00B500A5" w:rsidRDefault="00567BC5" w:rsidP="00567BC5">
      <w:pPr>
        <w:rPr>
          <w:szCs w:val="24"/>
        </w:rPr>
      </w:pPr>
      <w:r w:rsidRPr="00B500A5">
        <w:rPr>
          <w:szCs w:val="24"/>
        </w:rPr>
        <w:t>sídlo Český Těšín, náměstí ČSA 1/1</w:t>
      </w:r>
    </w:p>
    <w:p w14:paraId="2D582AA4" w14:textId="3506AAA3" w:rsidR="00567BC5" w:rsidRPr="00B500A5" w:rsidRDefault="00567BC5" w:rsidP="00567BC5">
      <w:pPr>
        <w:rPr>
          <w:szCs w:val="24"/>
        </w:rPr>
      </w:pPr>
      <w:r w:rsidRPr="00B500A5">
        <w:rPr>
          <w:szCs w:val="24"/>
        </w:rPr>
        <w:t>zastoupené</w:t>
      </w:r>
      <w:r w:rsidR="00B500A5">
        <w:rPr>
          <w:szCs w:val="24"/>
        </w:rPr>
        <w:t xml:space="preserve"> starostou města Ing. Vítem Slováčkem</w:t>
      </w:r>
    </w:p>
    <w:p w14:paraId="2A6893D8" w14:textId="5BCD02C2" w:rsidR="00567BC5" w:rsidRPr="00B500A5" w:rsidRDefault="00567BC5" w:rsidP="00567BC5">
      <w:pPr>
        <w:rPr>
          <w:szCs w:val="24"/>
        </w:rPr>
      </w:pPr>
      <w:r w:rsidRPr="00B500A5">
        <w:rPr>
          <w:szCs w:val="24"/>
        </w:rPr>
        <w:t>bank.</w:t>
      </w:r>
      <w:r w:rsidR="00B500A5">
        <w:rPr>
          <w:szCs w:val="24"/>
        </w:rPr>
        <w:t xml:space="preserve"> </w:t>
      </w:r>
      <w:proofErr w:type="gramStart"/>
      <w:r w:rsidRPr="00B500A5">
        <w:rPr>
          <w:szCs w:val="24"/>
        </w:rPr>
        <w:t>spojení</w:t>
      </w:r>
      <w:proofErr w:type="gramEnd"/>
      <w:r w:rsidRPr="00B500A5">
        <w:rPr>
          <w:szCs w:val="24"/>
        </w:rPr>
        <w:t xml:space="preserve"> KB, a.s. </w:t>
      </w:r>
      <w:proofErr w:type="spellStart"/>
      <w:r w:rsidRPr="00B500A5">
        <w:rPr>
          <w:szCs w:val="24"/>
        </w:rPr>
        <w:t>exp</w:t>
      </w:r>
      <w:proofErr w:type="spellEnd"/>
      <w:r w:rsidRPr="00B500A5">
        <w:rPr>
          <w:szCs w:val="24"/>
        </w:rPr>
        <w:t xml:space="preserve">. Český Těšín </w:t>
      </w:r>
    </w:p>
    <w:p w14:paraId="08FC9D23" w14:textId="60C9AAD3" w:rsidR="00567BC5" w:rsidRPr="00B500A5" w:rsidRDefault="00B500A5" w:rsidP="00567BC5">
      <w:pPr>
        <w:rPr>
          <w:szCs w:val="24"/>
        </w:rPr>
      </w:pPr>
      <w:proofErr w:type="spellStart"/>
      <w:proofErr w:type="gramStart"/>
      <w:r>
        <w:rPr>
          <w:szCs w:val="24"/>
        </w:rPr>
        <w:t>č.ú</w:t>
      </w:r>
      <w:proofErr w:type="spellEnd"/>
      <w:r>
        <w:rPr>
          <w:szCs w:val="24"/>
        </w:rPr>
        <w:t xml:space="preserve">.: </w:t>
      </w:r>
      <w:r w:rsidR="00567BC5" w:rsidRPr="00B500A5">
        <w:rPr>
          <w:szCs w:val="24"/>
        </w:rPr>
        <w:t>86</w:t>
      </w:r>
      <w:proofErr w:type="gramEnd"/>
      <w:r w:rsidR="00567BC5" w:rsidRPr="00B500A5">
        <w:rPr>
          <w:szCs w:val="24"/>
        </w:rPr>
        <w:t>-6000360257/0100</w:t>
      </w:r>
    </w:p>
    <w:p w14:paraId="5E250F1F" w14:textId="28CB1711" w:rsidR="00567BC5" w:rsidRPr="00B500A5" w:rsidRDefault="00B500A5" w:rsidP="00567BC5">
      <w:pPr>
        <w:rPr>
          <w:b/>
          <w:szCs w:val="24"/>
        </w:rPr>
      </w:pPr>
      <w:r>
        <w:rPr>
          <w:szCs w:val="24"/>
        </w:rPr>
        <w:t xml:space="preserve">IČO: </w:t>
      </w:r>
      <w:r w:rsidR="00567BC5" w:rsidRPr="00B500A5">
        <w:rPr>
          <w:szCs w:val="24"/>
        </w:rPr>
        <w:t>00297437</w:t>
      </w:r>
      <w:r w:rsidR="00567BC5" w:rsidRPr="00B500A5">
        <w:rPr>
          <w:b/>
          <w:szCs w:val="24"/>
        </w:rPr>
        <w:t xml:space="preserve"> </w:t>
      </w:r>
    </w:p>
    <w:p w14:paraId="4EC1F612" w14:textId="77777777" w:rsidR="00567BC5" w:rsidRPr="00B500A5" w:rsidRDefault="00567BC5" w:rsidP="00567BC5">
      <w:pPr>
        <w:rPr>
          <w:szCs w:val="24"/>
        </w:rPr>
      </w:pPr>
      <w:r w:rsidRPr="00B500A5">
        <w:rPr>
          <w:szCs w:val="24"/>
        </w:rPr>
        <w:t>DIČ: CZ00297437</w:t>
      </w:r>
    </w:p>
    <w:p w14:paraId="0209FA44" w14:textId="0378DBA1" w:rsidR="00567BC5" w:rsidRPr="00B500A5" w:rsidRDefault="00567BC5" w:rsidP="00567BC5">
      <w:pPr>
        <w:rPr>
          <w:szCs w:val="24"/>
        </w:rPr>
      </w:pPr>
      <w:r w:rsidRPr="00B500A5">
        <w:rPr>
          <w:szCs w:val="24"/>
        </w:rPr>
        <w:t xml:space="preserve">(dále jen </w:t>
      </w:r>
      <w:r w:rsidR="00837370" w:rsidRPr="00B500A5">
        <w:rPr>
          <w:szCs w:val="24"/>
        </w:rPr>
        <w:t>„</w:t>
      </w:r>
      <w:r w:rsidRPr="00B500A5">
        <w:rPr>
          <w:szCs w:val="24"/>
        </w:rPr>
        <w:t>pronajímatel</w:t>
      </w:r>
      <w:r w:rsidR="00837370" w:rsidRPr="00B500A5">
        <w:rPr>
          <w:szCs w:val="24"/>
        </w:rPr>
        <w:t>“</w:t>
      </w:r>
      <w:r w:rsidRPr="00B500A5">
        <w:rPr>
          <w:szCs w:val="24"/>
        </w:rPr>
        <w:t>)</w:t>
      </w:r>
    </w:p>
    <w:p w14:paraId="53D2C17E" w14:textId="77777777" w:rsidR="00567BC5" w:rsidRPr="00B500A5" w:rsidRDefault="00567BC5" w:rsidP="00567BC5">
      <w:pPr>
        <w:rPr>
          <w:szCs w:val="24"/>
        </w:rPr>
      </w:pPr>
    </w:p>
    <w:p w14:paraId="5755E0DB" w14:textId="77777777" w:rsidR="00567BC5" w:rsidRPr="00B500A5" w:rsidRDefault="00567BC5" w:rsidP="00567BC5">
      <w:pPr>
        <w:rPr>
          <w:szCs w:val="24"/>
        </w:rPr>
      </w:pPr>
      <w:r w:rsidRPr="00B500A5">
        <w:rPr>
          <w:szCs w:val="24"/>
        </w:rPr>
        <w:t xml:space="preserve">a </w:t>
      </w:r>
    </w:p>
    <w:p w14:paraId="14A0197D" w14:textId="77777777" w:rsidR="00567BC5" w:rsidRPr="00B500A5" w:rsidRDefault="00567BC5" w:rsidP="00567BC5">
      <w:pPr>
        <w:rPr>
          <w:b/>
          <w:szCs w:val="24"/>
        </w:rPr>
      </w:pPr>
    </w:p>
    <w:p w14:paraId="5CFE8169" w14:textId="77777777" w:rsidR="00567BC5" w:rsidRPr="00B500A5" w:rsidRDefault="00567BC5" w:rsidP="00567BC5">
      <w:pPr>
        <w:rPr>
          <w:b/>
          <w:szCs w:val="24"/>
        </w:rPr>
      </w:pPr>
      <w:r w:rsidRPr="00B500A5">
        <w:rPr>
          <w:b/>
          <w:szCs w:val="24"/>
        </w:rPr>
        <w:t>Teplo Těšín a.s.</w:t>
      </w:r>
    </w:p>
    <w:p w14:paraId="2AB79168" w14:textId="02AAA334" w:rsidR="00567BC5" w:rsidRPr="00B500A5" w:rsidRDefault="00567BC5" w:rsidP="00567BC5">
      <w:pPr>
        <w:rPr>
          <w:color w:val="FF0000"/>
          <w:szCs w:val="24"/>
        </w:rPr>
      </w:pPr>
      <w:r w:rsidRPr="00B500A5">
        <w:rPr>
          <w:szCs w:val="24"/>
        </w:rPr>
        <w:t>sídlo Český Těšín, Hornická 2070/14, PSČ 737 01</w:t>
      </w:r>
    </w:p>
    <w:p w14:paraId="5F520AB6" w14:textId="05E32BB7" w:rsidR="00567BC5" w:rsidRPr="00B500A5" w:rsidRDefault="00567BC5" w:rsidP="00567BC5">
      <w:pPr>
        <w:rPr>
          <w:szCs w:val="24"/>
        </w:rPr>
      </w:pPr>
      <w:r w:rsidRPr="00B500A5">
        <w:rPr>
          <w:szCs w:val="24"/>
        </w:rPr>
        <w:t xml:space="preserve">zastoupená předsedou představenstva Ing. Dariuszem </w:t>
      </w:r>
      <w:proofErr w:type="spellStart"/>
      <w:r w:rsidRPr="00B500A5">
        <w:rPr>
          <w:szCs w:val="24"/>
        </w:rPr>
        <w:t>Cymerysem</w:t>
      </w:r>
      <w:proofErr w:type="spellEnd"/>
      <w:r w:rsidRPr="00B500A5">
        <w:rPr>
          <w:szCs w:val="24"/>
        </w:rPr>
        <w:t xml:space="preserve"> </w:t>
      </w:r>
    </w:p>
    <w:p w14:paraId="6971D057" w14:textId="287A213E" w:rsidR="00567BC5" w:rsidRPr="00B500A5" w:rsidRDefault="00567BC5" w:rsidP="00567BC5">
      <w:pPr>
        <w:rPr>
          <w:szCs w:val="24"/>
        </w:rPr>
      </w:pPr>
      <w:proofErr w:type="spellStart"/>
      <w:proofErr w:type="gramStart"/>
      <w:r w:rsidRPr="00B500A5">
        <w:rPr>
          <w:szCs w:val="24"/>
        </w:rPr>
        <w:t>bank</w:t>
      </w:r>
      <w:proofErr w:type="gramEnd"/>
      <w:r w:rsidRPr="00B500A5">
        <w:rPr>
          <w:szCs w:val="24"/>
        </w:rPr>
        <w:t>.</w:t>
      </w:r>
      <w:proofErr w:type="gramStart"/>
      <w:r w:rsidRPr="00B500A5">
        <w:rPr>
          <w:szCs w:val="24"/>
        </w:rPr>
        <w:t>spojení</w:t>
      </w:r>
      <w:proofErr w:type="spellEnd"/>
      <w:proofErr w:type="gramEnd"/>
      <w:r w:rsidRPr="00B500A5">
        <w:rPr>
          <w:szCs w:val="24"/>
        </w:rPr>
        <w:t xml:space="preserve"> </w:t>
      </w:r>
      <w:r w:rsidR="009A3B86" w:rsidRPr="00B500A5">
        <w:rPr>
          <w:szCs w:val="24"/>
        </w:rPr>
        <w:t>ČSOB, a.s., pobočka FIB Frýdek – Místek</w:t>
      </w:r>
    </w:p>
    <w:p w14:paraId="4E528CD8" w14:textId="2EC4E82D" w:rsidR="00567BC5" w:rsidRPr="00B500A5" w:rsidRDefault="00B500A5" w:rsidP="00567BC5">
      <w:pPr>
        <w:rPr>
          <w:szCs w:val="24"/>
        </w:rPr>
      </w:pPr>
      <w:proofErr w:type="spellStart"/>
      <w:proofErr w:type="gramStart"/>
      <w:r>
        <w:rPr>
          <w:szCs w:val="24"/>
        </w:rPr>
        <w:t>č.ú</w:t>
      </w:r>
      <w:proofErr w:type="spellEnd"/>
      <w:r>
        <w:rPr>
          <w:szCs w:val="24"/>
        </w:rPr>
        <w:t xml:space="preserve">.: </w:t>
      </w:r>
      <w:r w:rsidR="009A3B86" w:rsidRPr="00B500A5">
        <w:rPr>
          <w:szCs w:val="24"/>
        </w:rPr>
        <w:t>290012738/0300</w:t>
      </w:r>
      <w:proofErr w:type="gramEnd"/>
    </w:p>
    <w:p w14:paraId="4FF2223E" w14:textId="32BBFCE3" w:rsidR="00567BC5" w:rsidRPr="00B500A5" w:rsidRDefault="00B500A5" w:rsidP="00567BC5">
      <w:pPr>
        <w:rPr>
          <w:szCs w:val="24"/>
        </w:rPr>
      </w:pPr>
      <w:r>
        <w:rPr>
          <w:szCs w:val="24"/>
        </w:rPr>
        <w:t>IČ</w:t>
      </w:r>
      <w:r w:rsidR="00727345">
        <w:rPr>
          <w:szCs w:val="24"/>
        </w:rPr>
        <w:t>O</w:t>
      </w:r>
      <w:r>
        <w:rPr>
          <w:szCs w:val="24"/>
        </w:rPr>
        <w:t xml:space="preserve">: </w:t>
      </w:r>
      <w:r w:rsidR="00567BC5" w:rsidRPr="00B500A5">
        <w:rPr>
          <w:szCs w:val="24"/>
        </w:rPr>
        <w:t>25391330</w:t>
      </w:r>
    </w:p>
    <w:p w14:paraId="17189452" w14:textId="0BE13149" w:rsidR="00567BC5" w:rsidRPr="00B500A5" w:rsidRDefault="00B500A5" w:rsidP="00567BC5">
      <w:pPr>
        <w:rPr>
          <w:szCs w:val="24"/>
        </w:rPr>
      </w:pPr>
      <w:r>
        <w:rPr>
          <w:szCs w:val="24"/>
        </w:rPr>
        <w:t xml:space="preserve">DIČ: </w:t>
      </w:r>
      <w:r w:rsidR="00567BC5" w:rsidRPr="00B500A5">
        <w:rPr>
          <w:szCs w:val="24"/>
        </w:rPr>
        <w:t xml:space="preserve">CZ25391330 </w:t>
      </w:r>
    </w:p>
    <w:p w14:paraId="24FEC191" w14:textId="18903CF8" w:rsidR="00567BC5" w:rsidRPr="00B500A5" w:rsidRDefault="00B500A5" w:rsidP="00567BC5">
      <w:pPr>
        <w:rPr>
          <w:szCs w:val="24"/>
        </w:rPr>
      </w:pPr>
      <w:r>
        <w:rPr>
          <w:szCs w:val="24"/>
        </w:rPr>
        <w:t>(</w:t>
      </w:r>
      <w:r w:rsidR="00567BC5" w:rsidRPr="00B500A5">
        <w:rPr>
          <w:szCs w:val="24"/>
        </w:rPr>
        <w:t xml:space="preserve">dále jen </w:t>
      </w:r>
      <w:r w:rsidR="00837370" w:rsidRPr="00B500A5">
        <w:rPr>
          <w:szCs w:val="24"/>
        </w:rPr>
        <w:t>„</w:t>
      </w:r>
      <w:r w:rsidR="00567BC5" w:rsidRPr="00B500A5">
        <w:rPr>
          <w:szCs w:val="24"/>
        </w:rPr>
        <w:t>nájemce</w:t>
      </w:r>
      <w:r w:rsidR="00837370" w:rsidRPr="00B500A5">
        <w:rPr>
          <w:szCs w:val="24"/>
        </w:rPr>
        <w:t>“</w:t>
      </w:r>
      <w:r w:rsidR="00567BC5" w:rsidRPr="00B500A5">
        <w:rPr>
          <w:szCs w:val="24"/>
        </w:rPr>
        <w:t>)</w:t>
      </w:r>
    </w:p>
    <w:p w14:paraId="5C549EDB" w14:textId="77777777" w:rsidR="00567BC5" w:rsidRPr="00B500A5" w:rsidRDefault="00567BC5" w:rsidP="00567BC5">
      <w:pPr>
        <w:rPr>
          <w:b/>
          <w:color w:val="FF0000"/>
          <w:szCs w:val="24"/>
        </w:rPr>
      </w:pPr>
      <w:r w:rsidRPr="00B500A5">
        <w:rPr>
          <w:b/>
          <w:color w:val="FF0000"/>
          <w:szCs w:val="24"/>
        </w:rPr>
        <w:t xml:space="preserve"> </w:t>
      </w:r>
    </w:p>
    <w:p w14:paraId="355F26D4" w14:textId="77777777" w:rsidR="00567BC5" w:rsidRPr="00B500A5" w:rsidRDefault="00567BC5" w:rsidP="00567BC5">
      <w:pPr>
        <w:rPr>
          <w:b/>
          <w:color w:val="FF0000"/>
          <w:szCs w:val="24"/>
        </w:rPr>
      </w:pPr>
    </w:p>
    <w:p w14:paraId="1E6162BE" w14:textId="26C5BAD5" w:rsidR="00567BC5" w:rsidRPr="00B500A5" w:rsidRDefault="00567BC5" w:rsidP="00567BC5">
      <w:pPr>
        <w:jc w:val="both"/>
        <w:rPr>
          <w:szCs w:val="24"/>
        </w:rPr>
      </w:pPr>
      <w:r w:rsidRPr="00B500A5">
        <w:rPr>
          <w:szCs w:val="24"/>
        </w:rPr>
        <w:t xml:space="preserve">Smlouva o nájmu uzavřená mezi uvedenými stranami dne </w:t>
      </w:r>
      <w:proofErr w:type="gramStart"/>
      <w:r w:rsidRPr="00B500A5">
        <w:rPr>
          <w:szCs w:val="24"/>
        </w:rPr>
        <w:t>25.10.1999</w:t>
      </w:r>
      <w:proofErr w:type="gramEnd"/>
      <w:r w:rsidRPr="00B500A5">
        <w:rPr>
          <w:szCs w:val="24"/>
        </w:rPr>
        <w:t xml:space="preserve"> ve znění dodatku č.</w:t>
      </w:r>
      <w:r w:rsidR="00B500A5">
        <w:rPr>
          <w:szCs w:val="24"/>
        </w:rPr>
        <w:t xml:space="preserve"> </w:t>
      </w:r>
      <w:r w:rsidRPr="00B500A5">
        <w:rPr>
          <w:szCs w:val="24"/>
        </w:rPr>
        <w:t>1 ze dne 26.01.2000, dodatku č. 2 ze dne 28.06.2000, dodatku č.</w:t>
      </w:r>
      <w:r w:rsidR="00B500A5">
        <w:rPr>
          <w:szCs w:val="24"/>
        </w:rPr>
        <w:t xml:space="preserve"> </w:t>
      </w:r>
      <w:r w:rsidRPr="00B500A5">
        <w:rPr>
          <w:szCs w:val="24"/>
        </w:rPr>
        <w:t>3 ze dne 17.05.2001, dodatku č.</w:t>
      </w:r>
      <w:r w:rsidR="00B500A5">
        <w:rPr>
          <w:szCs w:val="24"/>
        </w:rPr>
        <w:t xml:space="preserve"> </w:t>
      </w:r>
      <w:r w:rsidRPr="00B500A5">
        <w:rPr>
          <w:szCs w:val="24"/>
        </w:rPr>
        <w:t>4 ze dne 16.01.2002, dodatku č. 5 ze dne 28.05.2007, dodatku č. 6 ze dne 28.04.2009, dodatku č.</w:t>
      </w:r>
      <w:r w:rsidR="00B500A5">
        <w:rPr>
          <w:szCs w:val="24"/>
        </w:rPr>
        <w:t xml:space="preserve"> </w:t>
      </w:r>
      <w:r w:rsidRPr="00B500A5">
        <w:rPr>
          <w:szCs w:val="24"/>
        </w:rPr>
        <w:t>7 ze dne 30.12.2009, dodatku č. 8 ze dne 21.01.2010, dodatku č. 9 ze dne 30.03.2012, dodatku č. 10 ze dne 16.07.2012, dodatku č. 11 ze dne 04.06.2013, dodatku č. 12 ze dne 16.12.2013, dodatku č. 13 ze dne 10.11.2017, dodatku č. 14 ze dne 08.03.2019, dodatku č. 15 ze dne 31.10.2019</w:t>
      </w:r>
      <w:r w:rsidR="007C6DBD" w:rsidRPr="00B500A5">
        <w:rPr>
          <w:szCs w:val="24"/>
        </w:rPr>
        <w:t xml:space="preserve">, </w:t>
      </w:r>
      <w:r w:rsidRPr="00B500A5">
        <w:rPr>
          <w:szCs w:val="24"/>
        </w:rPr>
        <w:t xml:space="preserve">dodatku č. 16 ze dne 28.06.2021 </w:t>
      </w:r>
      <w:r w:rsidR="007C6DBD" w:rsidRPr="00B500A5">
        <w:rPr>
          <w:szCs w:val="24"/>
        </w:rPr>
        <w:t xml:space="preserve">a dodatku č. 17 ze dne </w:t>
      </w:r>
      <w:r w:rsidR="00B500A5">
        <w:rPr>
          <w:szCs w:val="24"/>
        </w:rPr>
        <w:t>27.01.2022</w:t>
      </w:r>
      <w:r w:rsidR="007C6DBD" w:rsidRPr="00B500A5">
        <w:rPr>
          <w:szCs w:val="24"/>
        </w:rPr>
        <w:t xml:space="preserve"> </w:t>
      </w:r>
      <w:r w:rsidRPr="00B500A5">
        <w:rPr>
          <w:szCs w:val="24"/>
        </w:rPr>
        <w:t>se mění takto:</w:t>
      </w:r>
    </w:p>
    <w:p w14:paraId="1915D0B1" w14:textId="77777777" w:rsidR="00567BC5" w:rsidRPr="00B500A5" w:rsidRDefault="00567BC5" w:rsidP="00567BC5">
      <w:pPr>
        <w:rPr>
          <w:szCs w:val="24"/>
        </w:rPr>
      </w:pPr>
    </w:p>
    <w:p w14:paraId="74F3DC95" w14:textId="77777777" w:rsidR="00567BC5" w:rsidRPr="00B500A5" w:rsidRDefault="00567BC5" w:rsidP="00567BC5">
      <w:pPr>
        <w:ind w:left="3900" w:firstLine="348"/>
        <w:rPr>
          <w:b/>
          <w:bCs/>
          <w:szCs w:val="24"/>
        </w:rPr>
      </w:pPr>
      <w:r w:rsidRPr="00B500A5">
        <w:rPr>
          <w:b/>
          <w:bCs/>
          <w:szCs w:val="24"/>
        </w:rPr>
        <w:t>I. Změny</w:t>
      </w:r>
    </w:p>
    <w:p w14:paraId="4A622881" w14:textId="77777777" w:rsidR="00567BC5" w:rsidRPr="00B500A5" w:rsidRDefault="00567BC5" w:rsidP="00567BC5">
      <w:pPr>
        <w:ind w:left="3900" w:firstLine="348"/>
        <w:rPr>
          <w:b/>
          <w:bCs/>
          <w:szCs w:val="24"/>
        </w:rPr>
      </w:pPr>
    </w:p>
    <w:p w14:paraId="3E5EEEDA" w14:textId="268FFDBF" w:rsidR="00DE6093" w:rsidRPr="00B500A5" w:rsidRDefault="00DE6093" w:rsidP="007C6DBD">
      <w:pPr>
        <w:pStyle w:val="Odstavecseseznamem"/>
        <w:numPr>
          <w:ilvl w:val="0"/>
          <w:numId w:val="1"/>
        </w:numPr>
        <w:spacing w:line="276" w:lineRule="auto"/>
        <w:jc w:val="both"/>
        <w:rPr>
          <w:szCs w:val="24"/>
        </w:rPr>
      </w:pPr>
      <w:r w:rsidRPr="00B500A5">
        <w:rPr>
          <w:szCs w:val="24"/>
        </w:rPr>
        <w:t>Do ustanovení čl. IV Oprávnění a povinnosti nájemce se na konec ustanovení odst. 1 vkládá následující ustanovení:</w:t>
      </w:r>
    </w:p>
    <w:p w14:paraId="7D063C9C" w14:textId="73501DA9" w:rsidR="00DE6093" w:rsidRPr="00B500A5" w:rsidRDefault="00DE6093" w:rsidP="00DE6093">
      <w:pPr>
        <w:pStyle w:val="Odstavecseseznamem"/>
        <w:spacing w:line="276" w:lineRule="auto"/>
        <w:jc w:val="both"/>
        <w:rPr>
          <w:szCs w:val="24"/>
        </w:rPr>
      </w:pPr>
    </w:p>
    <w:p w14:paraId="638ED94C" w14:textId="54481906" w:rsidR="00DE6093" w:rsidRPr="00B500A5" w:rsidRDefault="00DE6093" w:rsidP="00DE6093">
      <w:pPr>
        <w:pStyle w:val="Odstavecseseznamem"/>
        <w:spacing w:line="276" w:lineRule="auto"/>
        <w:jc w:val="both"/>
        <w:rPr>
          <w:szCs w:val="24"/>
        </w:rPr>
      </w:pPr>
      <w:r w:rsidRPr="00B500A5">
        <w:rPr>
          <w:szCs w:val="24"/>
        </w:rPr>
        <w:t xml:space="preserve">Pro vyloučení pochybností se stanoví, že provozovatelem Zařízení kotelen je nájemce, který je rovněž odpovědný za provádění údržby, kontroly a revizí Zařízení kotelen. </w:t>
      </w:r>
      <w:r w:rsidR="00014B4D" w:rsidRPr="00B500A5">
        <w:rPr>
          <w:szCs w:val="24"/>
        </w:rPr>
        <w:t xml:space="preserve">Nájemce rovněž vede aktuální provozní dokumentaci k Zařízení kotelen v rozsahu stanoveném právními předpisy; za tím účelem je pronajímatel povinen poskytnout nájemci </w:t>
      </w:r>
      <w:r w:rsidR="0090689C" w:rsidRPr="00B500A5">
        <w:rPr>
          <w:szCs w:val="24"/>
        </w:rPr>
        <w:t>průvodní a</w:t>
      </w:r>
      <w:r w:rsidR="00B53FB0" w:rsidRPr="00B500A5">
        <w:rPr>
          <w:szCs w:val="24"/>
        </w:rPr>
        <w:t xml:space="preserve"> </w:t>
      </w:r>
      <w:r w:rsidR="00014B4D" w:rsidRPr="00B500A5">
        <w:rPr>
          <w:szCs w:val="24"/>
        </w:rPr>
        <w:t>provozní dokumentaci Zařízení kotelen, přičemž současně pronajímatel umožní nájemci na výzvu v potřebném rozsahu vstup do všech prostor v budovách, za účelem plnění povinností nájemce dle tohoto odstavce.</w:t>
      </w:r>
    </w:p>
    <w:p w14:paraId="5B49C8D0" w14:textId="77777777" w:rsidR="00DE6093" w:rsidRPr="00B500A5" w:rsidRDefault="00DE6093" w:rsidP="00DE6093">
      <w:pPr>
        <w:pStyle w:val="Odstavecseseznamem"/>
        <w:spacing w:line="276" w:lineRule="auto"/>
        <w:jc w:val="both"/>
        <w:rPr>
          <w:szCs w:val="24"/>
        </w:rPr>
      </w:pPr>
    </w:p>
    <w:p w14:paraId="2D2FE154" w14:textId="5AFDF26B" w:rsidR="007C6DBD" w:rsidRPr="00B500A5" w:rsidRDefault="007C6DBD" w:rsidP="007C6DBD">
      <w:pPr>
        <w:pStyle w:val="Odstavecseseznamem"/>
        <w:numPr>
          <w:ilvl w:val="0"/>
          <w:numId w:val="1"/>
        </w:numPr>
        <w:spacing w:line="276" w:lineRule="auto"/>
        <w:jc w:val="both"/>
        <w:rPr>
          <w:szCs w:val="24"/>
        </w:rPr>
      </w:pPr>
      <w:r w:rsidRPr="00B500A5">
        <w:rPr>
          <w:szCs w:val="24"/>
        </w:rPr>
        <w:lastRenderedPageBreak/>
        <w:t xml:space="preserve">Dosavadní ustanovení čl. V (Doba nájmu) a čl. VI. (Závěrečná ustanovení) Smlouvy o nájmu se nově označuje jako čl. VI. (Doba nájmu) a VII. (Závěrečná ustanovení) Smlouvy o nájmu. Do Smlouvy o nájmu se vkládá nový článek V. nazvaný </w:t>
      </w:r>
      <w:r w:rsidR="00DE6093" w:rsidRPr="00B500A5">
        <w:rPr>
          <w:szCs w:val="24"/>
        </w:rPr>
        <w:t>Zvláštní ustanovení na úseku b</w:t>
      </w:r>
      <w:r w:rsidRPr="00B500A5">
        <w:rPr>
          <w:szCs w:val="24"/>
        </w:rPr>
        <w:t>ezpečnost</w:t>
      </w:r>
      <w:r w:rsidR="00DE6093" w:rsidRPr="00B500A5">
        <w:rPr>
          <w:szCs w:val="24"/>
        </w:rPr>
        <w:t>i</w:t>
      </w:r>
      <w:r w:rsidRPr="00B500A5">
        <w:rPr>
          <w:szCs w:val="24"/>
        </w:rPr>
        <w:t xml:space="preserve"> práce a požární ochran</w:t>
      </w:r>
      <w:r w:rsidR="00DE6093" w:rsidRPr="00B500A5">
        <w:rPr>
          <w:szCs w:val="24"/>
        </w:rPr>
        <w:t>y</w:t>
      </w:r>
      <w:r w:rsidRPr="00B500A5">
        <w:rPr>
          <w:szCs w:val="24"/>
        </w:rPr>
        <w:t>, jehož znění je následující:</w:t>
      </w:r>
    </w:p>
    <w:p w14:paraId="1C3E8DEA" w14:textId="5CFC5095" w:rsidR="007C6DBD" w:rsidRPr="00B500A5" w:rsidRDefault="007C6DBD" w:rsidP="007C6DBD">
      <w:pPr>
        <w:spacing w:line="276" w:lineRule="auto"/>
        <w:rPr>
          <w:szCs w:val="24"/>
        </w:rPr>
      </w:pPr>
    </w:p>
    <w:p w14:paraId="49BA12AE" w14:textId="0EBEA67D" w:rsidR="001E5DAC" w:rsidRPr="00B500A5" w:rsidRDefault="00014B4D" w:rsidP="001E5DAC">
      <w:pPr>
        <w:pStyle w:val="Odstavecseseznamem"/>
        <w:numPr>
          <w:ilvl w:val="0"/>
          <w:numId w:val="7"/>
        </w:numPr>
        <w:spacing w:line="276" w:lineRule="auto"/>
        <w:jc w:val="both"/>
        <w:rPr>
          <w:szCs w:val="24"/>
        </w:rPr>
      </w:pPr>
      <w:r w:rsidRPr="00B500A5">
        <w:rPr>
          <w:szCs w:val="24"/>
        </w:rPr>
        <w:t>Za organizaci a zajištění požární ochrany a bezpečnosti a ochrany zdraví při práci v souladu s platnými právními předpisy v předmětu nájmu odpovídá nájemce.</w:t>
      </w:r>
      <w:r w:rsidR="001E5DAC" w:rsidRPr="00B500A5">
        <w:rPr>
          <w:szCs w:val="24"/>
        </w:rPr>
        <w:t xml:space="preserve"> To platí rovněž v případě, provozuje-li činnost v předmětu nájmu více právnických osob nebo podnikajících fyzických osob. Osobou odpovědnou za plnění povinností na úseku požární ochrany v předmětu nájmu je vždy nájemce; za plnění povinností na úseku požární ochrany u nájemce odpovídá jeho statutární orgán.</w:t>
      </w:r>
    </w:p>
    <w:p w14:paraId="4305C248" w14:textId="77777777" w:rsidR="001E5DAC" w:rsidRPr="00B500A5" w:rsidRDefault="001E5DAC" w:rsidP="001E5DAC">
      <w:pPr>
        <w:pStyle w:val="Odstavecseseznamem"/>
        <w:spacing w:line="276" w:lineRule="auto"/>
        <w:ind w:left="1068"/>
        <w:jc w:val="both"/>
        <w:rPr>
          <w:szCs w:val="24"/>
        </w:rPr>
      </w:pPr>
    </w:p>
    <w:p w14:paraId="246772F0" w14:textId="77777777" w:rsidR="001E5DAC" w:rsidRPr="00B500A5" w:rsidRDefault="001E5DAC" w:rsidP="001E5DAC">
      <w:pPr>
        <w:pStyle w:val="Odstavecseseznamem"/>
        <w:numPr>
          <w:ilvl w:val="0"/>
          <w:numId w:val="7"/>
        </w:numPr>
        <w:spacing w:line="276" w:lineRule="auto"/>
        <w:jc w:val="both"/>
        <w:rPr>
          <w:szCs w:val="24"/>
        </w:rPr>
      </w:pPr>
      <w:r w:rsidRPr="00B500A5">
        <w:rPr>
          <w:szCs w:val="24"/>
        </w:rPr>
        <w:t>Na úseku požární ochrany zajišťuje nájemce zejména následující úkoly požární ochrany:</w:t>
      </w:r>
    </w:p>
    <w:p w14:paraId="2FB13628" w14:textId="77777777" w:rsidR="001E5DAC" w:rsidRPr="00B500A5" w:rsidRDefault="001E5DAC" w:rsidP="001E5DAC">
      <w:pPr>
        <w:pStyle w:val="Odstavecseseznamem"/>
        <w:rPr>
          <w:szCs w:val="24"/>
        </w:rPr>
      </w:pPr>
    </w:p>
    <w:p w14:paraId="624C0014" w14:textId="77777777" w:rsidR="001E5DAC" w:rsidRPr="00B500A5" w:rsidRDefault="001E5DAC" w:rsidP="001E5DAC">
      <w:pPr>
        <w:pStyle w:val="Odstavecseseznamem"/>
        <w:numPr>
          <w:ilvl w:val="0"/>
          <w:numId w:val="9"/>
        </w:numPr>
        <w:jc w:val="both"/>
        <w:rPr>
          <w:szCs w:val="24"/>
        </w:rPr>
      </w:pPr>
      <w:r w:rsidRPr="00B500A5">
        <w:rPr>
          <w:szCs w:val="24"/>
        </w:rPr>
        <w:t>Začlenění provozovaných činností do kategorií požárního nebezpečí;</w:t>
      </w:r>
    </w:p>
    <w:p w14:paraId="18ABFC53" w14:textId="77777777" w:rsidR="001E5DAC" w:rsidRPr="00B500A5" w:rsidRDefault="001E5DAC" w:rsidP="001E5DAC">
      <w:pPr>
        <w:pStyle w:val="Odstavecseseznamem"/>
        <w:numPr>
          <w:ilvl w:val="0"/>
          <w:numId w:val="9"/>
        </w:numPr>
        <w:spacing w:before="100" w:beforeAutospacing="1" w:after="100" w:afterAutospacing="1"/>
        <w:jc w:val="both"/>
        <w:rPr>
          <w:szCs w:val="24"/>
        </w:rPr>
      </w:pPr>
      <w:r w:rsidRPr="00B500A5">
        <w:rPr>
          <w:szCs w:val="24"/>
        </w:rPr>
        <w:t>Vypracování dokumentace požární ochrany;</w:t>
      </w:r>
    </w:p>
    <w:p w14:paraId="18FBB5B3" w14:textId="77777777" w:rsidR="001E5DAC" w:rsidRPr="00B500A5" w:rsidRDefault="001E5DAC" w:rsidP="001E5DAC">
      <w:pPr>
        <w:pStyle w:val="Odstavecseseznamem"/>
        <w:numPr>
          <w:ilvl w:val="0"/>
          <w:numId w:val="9"/>
        </w:numPr>
        <w:spacing w:before="100" w:beforeAutospacing="1" w:after="100" w:afterAutospacing="1"/>
        <w:jc w:val="both"/>
        <w:rPr>
          <w:szCs w:val="24"/>
        </w:rPr>
      </w:pPr>
      <w:r w:rsidRPr="00B500A5">
        <w:rPr>
          <w:szCs w:val="24"/>
        </w:rPr>
        <w:t>Provádění školení o požární ochraně;</w:t>
      </w:r>
    </w:p>
    <w:p w14:paraId="0B765AB0" w14:textId="77777777" w:rsidR="001E5DAC" w:rsidRPr="00B500A5" w:rsidRDefault="001E5DAC" w:rsidP="001E5DAC">
      <w:pPr>
        <w:pStyle w:val="Odstavecseseznamem"/>
        <w:numPr>
          <w:ilvl w:val="0"/>
          <w:numId w:val="9"/>
        </w:numPr>
        <w:spacing w:before="100" w:beforeAutospacing="1" w:after="100" w:afterAutospacing="1"/>
        <w:jc w:val="both"/>
        <w:rPr>
          <w:szCs w:val="24"/>
        </w:rPr>
      </w:pPr>
      <w:r w:rsidRPr="00B500A5">
        <w:rPr>
          <w:szCs w:val="24"/>
        </w:rPr>
        <w:t>Provádění preventivních požárních prohlídek;</w:t>
      </w:r>
    </w:p>
    <w:p w14:paraId="5681D06D" w14:textId="77777777" w:rsidR="001E5DAC" w:rsidRPr="00B500A5" w:rsidRDefault="001E5DAC" w:rsidP="001E5DAC">
      <w:pPr>
        <w:pStyle w:val="Odstavecseseznamem"/>
        <w:numPr>
          <w:ilvl w:val="0"/>
          <w:numId w:val="9"/>
        </w:numPr>
        <w:spacing w:before="100" w:beforeAutospacing="1" w:after="100" w:afterAutospacing="1"/>
        <w:jc w:val="both"/>
        <w:rPr>
          <w:szCs w:val="24"/>
        </w:rPr>
      </w:pPr>
      <w:r w:rsidRPr="00B500A5">
        <w:rPr>
          <w:szCs w:val="24"/>
        </w:rPr>
        <w:t>Provádění kontroly aktuálnosti dokumentace požární ochrany;</w:t>
      </w:r>
    </w:p>
    <w:p w14:paraId="4D25D22B" w14:textId="151F7F45" w:rsidR="001E5DAC" w:rsidRPr="00B500A5" w:rsidRDefault="001E5DAC" w:rsidP="001E5DAC">
      <w:pPr>
        <w:pStyle w:val="Odstavecseseznamem"/>
        <w:numPr>
          <w:ilvl w:val="0"/>
          <w:numId w:val="9"/>
        </w:numPr>
        <w:jc w:val="both"/>
        <w:rPr>
          <w:szCs w:val="24"/>
        </w:rPr>
      </w:pPr>
      <w:r w:rsidRPr="00B500A5">
        <w:rPr>
          <w:szCs w:val="24"/>
        </w:rPr>
        <w:t>Zajištění provozuschopnosti věcných prostředků požární ochrany a požárně bezpečnostních zařízení</w:t>
      </w:r>
      <w:r w:rsidR="00A33381" w:rsidRPr="00B500A5">
        <w:rPr>
          <w:szCs w:val="24"/>
        </w:rPr>
        <w:t>.</w:t>
      </w:r>
    </w:p>
    <w:p w14:paraId="6DADBBA4" w14:textId="77777777" w:rsidR="001E5DAC" w:rsidRPr="00B500A5" w:rsidRDefault="001E5DAC" w:rsidP="001E5DAC">
      <w:pPr>
        <w:spacing w:line="276" w:lineRule="auto"/>
        <w:jc w:val="both"/>
        <w:rPr>
          <w:szCs w:val="24"/>
        </w:rPr>
      </w:pPr>
    </w:p>
    <w:p w14:paraId="6DB28B6F" w14:textId="20DA3B2E" w:rsidR="007C6DBD" w:rsidRPr="00B500A5" w:rsidRDefault="001E5DAC" w:rsidP="001E5DAC">
      <w:pPr>
        <w:pStyle w:val="Odstavecseseznamem"/>
        <w:numPr>
          <w:ilvl w:val="0"/>
          <w:numId w:val="7"/>
        </w:numPr>
        <w:spacing w:line="276" w:lineRule="auto"/>
        <w:jc w:val="both"/>
        <w:rPr>
          <w:szCs w:val="24"/>
        </w:rPr>
      </w:pPr>
      <w:r w:rsidRPr="00B500A5">
        <w:rPr>
          <w:szCs w:val="24"/>
        </w:rPr>
        <w:t>Pronajímatel poskytne nájemci potřebnou součinnost k plnění úkolů nájemce na úseku požární ochrany a bezpečnosti a ochrany zdraví při práci</w:t>
      </w:r>
      <w:r w:rsidR="00851C8A" w:rsidRPr="00B500A5">
        <w:rPr>
          <w:szCs w:val="24"/>
        </w:rPr>
        <w:t>. Pronajímatel sdělí nájemci účel užívání staveb, v nichž se nachází předmět nájmu, dle příslušných vydaných povolení/kolaudací a aktuální požárně bezpečnostní řešení, jakož i veškeré jejich případné změny.</w:t>
      </w:r>
    </w:p>
    <w:p w14:paraId="6F1D266E" w14:textId="77777777" w:rsidR="00B1688B" w:rsidRPr="00B500A5" w:rsidRDefault="00B1688B" w:rsidP="0090689C">
      <w:pPr>
        <w:pStyle w:val="Odstavecseseznamem"/>
        <w:spacing w:line="276" w:lineRule="auto"/>
        <w:ind w:left="1068"/>
        <w:jc w:val="both"/>
        <w:rPr>
          <w:szCs w:val="24"/>
        </w:rPr>
      </w:pPr>
    </w:p>
    <w:p w14:paraId="72BB34C5" w14:textId="77F6CCA2" w:rsidR="00B1688B" w:rsidRPr="00B500A5" w:rsidRDefault="00B1688B" w:rsidP="001E5DAC">
      <w:pPr>
        <w:pStyle w:val="Odstavecseseznamem"/>
        <w:numPr>
          <w:ilvl w:val="0"/>
          <w:numId w:val="7"/>
        </w:numPr>
        <w:spacing w:line="276" w:lineRule="auto"/>
        <w:jc w:val="both"/>
        <w:rPr>
          <w:szCs w:val="24"/>
        </w:rPr>
      </w:pPr>
      <w:r w:rsidRPr="00B500A5">
        <w:rPr>
          <w:szCs w:val="24"/>
        </w:rPr>
        <w:t>Pro vyloučení pochybností se stanoví, že povinnosti nájemce stanovené v tomto článku se týkají výhradně prostor, jež tvoří předmět nájmu, tj. mimo tyto prostory nájemce za plnění povinností na úseku bezpečnosti práce a požární ochrany nijak neodpovídá.</w:t>
      </w:r>
    </w:p>
    <w:p w14:paraId="37D87C57" w14:textId="0AE0FC6B" w:rsidR="0043137B" w:rsidRPr="00B500A5" w:rsidRDefault="0043137B" w:rsidP="0043137B">
      <w:pPr>
        <w:spacing w:after="120" w:line="276" w:lineRule="auto"/>
        <w:rPr>
          <w:szCs w:val="24"/>
        </w:rPr>
      </w:pPr>
    </w:p>
    <w:p w14:paraId="7EBBF35F" w14:textId="77777777" w:rsidR="00BB068A" w:rsidRPr="00B500A5" w:rsidRDefault="00BB068A" w:rsidP="00567BC5">
      <w:pPr>
        <w:jc w:val="center"/>
        <w:rPr>
          <w:szCs w:val="24"/>
        </w:rPr>
      </w:pPr>
    </w:p>
    <w:p w14:paraId="565BE8FD" w14:textId="283B1C5D" w:rsidR="00567BC5" w:rsidRPr="00B500A5" w:rsidRDefault="00567BC5" w:rsidP="00567BC5">
      <w:pPr>
        <w:jc w:val="center"/>
        <w:rPr>
          <w:b/>
          <w:bCs/>
          <w:szCs w:val="24"/>
        </w:rPr>
      </w:pPr>
      <w:r w:rsidRPr="00B500A5">
        <w:rPr>
          <w:b/>
          <w:bCs/>
          <w:szCs w:val="24"/>
        </w:rPr>
        <w:t>II. Závěrečná ustanovení</w:t>
      </w:r>
    </w:p>
    <w:p w14:paraId="1F06077B" w14:textId="77777777" w:rsidR="00567BC5" w:rsidRPr="00B500A5" w:rsidRDefault="00567BC5" w:rsidP="00567BC5">
      <w:pPr>
        <w:jc w:val="both"/>
        <w:rPr>
          <w:bCs/>
          <w:szCs w:val="24"/>
        </w:rPr>
      </w:pPr>
    </w:p>
    <w:p w14:paraId="4559BDCB" w14:textId="3B9C08FE" w:rsidR="00567BC5" w:rsidRPr="00B500A5" w:rsidRDefault="00567BC5" w:rsidP="00567BC5">
      <w:pPr>
        <w:jc w:val="both"/>
        <w:rPr>
          <w:bCs/>
          <w:szCs w:val="24"/>
        </w:rPr>
      </w:pPr>
      <w:r w:rsidRPr="00B500A5">
        <w:rPr>
          <w:bCs/>
          <w:szCs w:val="24"/>
        </w:rPr>
        <w:t>1. Smluvní strany prohlašují, že si dodatek č. 1</w:t>
      </w:r>
      <w:r w:rsidR="00851C8A" w:rsidRPr="00B500A5">
        <w:rPr>
          <w:bCs/>
          <w:szCs w:val="24"/>
        </w:rPr>
        <w:t>8</w:t>
      </w:r>
      <w:r w:rsidRPr="00B500A5">
        <w:rPr>
          <w:bCs/>
          <w:szCs w:val="24"/>
        </w:rPr>
        <w:t xml:space="preserve"> ke smlouvě přečetly a s jeho obsahem souhlasí.</w:t>
      </w:r>
    </w:p>
    <w:p w14:paraId="1ED2F2DC" w14:textId="77777777" w:rsidR="00567BC5" w:rsidRPr="00B500A5" w:rsidRDefault="00567BC5" w:rsidP="00567BC5">
      <w:pPr>
        <w:jc w:val="both"/>
        <w:rPr>
          <w:bCs/>
          <w:szCs w:val="24"/>
        </w:rPr>
      </w:pPr>
    </w:p>
    <w:p w14:paraId="1DBB9ACB" w14:textId="00A58C02" w:rsidR="00567BC5" w:rsidRPr="00B500A5" w:rsidRDefault="00567BC5" w:rsidP="00567BC5">
      <w:pPr>
        <w:jc w:val="both"/>
        <w:rPr>
          <w:b/>
          <w:bCs/>
          <w:szCs w:val="24"/>
        </w:rPr>
      </w:pPr>
      <w:r w:rsidRPr="00B500A5">
        <w:rPr>
          <w:bCs/>
          <w:szCs w:val="24"/>
        </w:rPr>
        <w:t>2. Dodatek č. 1</w:t>
      </w:r>
      <w:r w:rsidR="00851C8A" w:rsidRPr="00B500A5">
        <w:rPr>
          <w:bCs/>
          <w:szCs w:val="24"/>
        </w:rPr>
        <w:t>8</w:t>
      </w:r>
      <w:r w:rsidRPr="00B500A5">
        <w:rPr>
          <w:bCs/>
          <w:szCs w:val="24"/>
        </w:rPr>
        <w:t xml:space="preserve"> je sepsán ve 2 vyhotoveních, z nichž pronajímatel i nájemce obdrží po 1 vyhotovení.</w:t>
      </w:r>
    </w:p>
    <w:p w14:paraId="412E326A" w14:textId="77777777" w:rsidR="00567BC5" w:rsidRPr="00B500A5" w:rsidRDefault="00567BC5" w:rsidP="00567BC5">
      <w:pPr>
        <w:contextualSpacing/>
        <w:jc w:val="both"/>
        <w:rPr>
          <w:szCs w:val="24"/>
          <w:lang w:eastAsia="en-US"/>
        </w:rPr>
      </w:pPr>
    </w:p>
    <w:p w14:paraId="2450F017" w14:textId="2BAF1BB0" w:rsidR="00567BC5" w:rsidRPr="00B500A5" w:rsidRDefault="00567BC5" w:rsidP="00567BC5">
      <w:pPr>
        <w:contextualSpacing/>
        <w:jc w:val="both"/>
        <w:rPr>
          <w:szCs w:val="24"/>
          <w:lang w:eastAsia="en-US"/>
        </w:rPr>
      </w:pPr>
      <w:r w:rsidRPr="00B500A5">
        <w:rPr>
          <w:szCs w:val="24"/>
          <w:lang w:eastAsia="en-US"/>
        </w:rPr>
        <w:t xml:space="preserve">3. Osobní údaje uvedené </w:t>
      </w:r>
      <w:r w:rsidR="0043137B" w:rsidRPr="00B500A5">
        <w:rPr>
          <w:szCs w:val="24"/>
          <w:lang w:eastAsia="en-US"/>
        </w:rPr>
        <w:t>v tomto Dodatku č. 1</w:t>
      </w:r>
      <w:r w:rsidR="00851C8A" w:rsidRPr="00B500A5">
        <w:rPr>
          <w:szCs w:val="24"/>
          <w:lang w:eastAsia="en-US"/>
        </w:rPr>
        <w:t>8</w:t>
      </w:r>
      <w:r w:rsidRPr="00B500A5">
        <w:rPr>
          <w:szCs w:val="24"/>
          <w:lang w:eastAsia="en-US"/>
        </w:rPr>
        <w:t xml:space="preserve"> budou zpracovávány pouze za účelem plnění </w:t>
      </w:r>
      <w:r w:rsidR="0043137B" w:rsidRPr="00B500A5">
        <w:rPr>
          <w:szCs w:val="24"/>
          <w:lang w:eastAsia="en-US"/>
        </w:rPr>
        <w:t>tohoto Dodatku č. 1</w:t>
      </w:r>
      <w:r w:rsidR="00851C8A" w:rsidRPr="00B500A5">
        <w:rPr>
          <w:szCs w:val="24"/>
          <w:lang w:eastAsia="en-US"/>
        </w:rPr>
        <w:t>8</w:t>
      </w:r>
      <w:r w:rsidRPr="00B500A5">
        <w:rPr>
          <w:szCs w:val="24"/>
          <w:lang w:eastAsia="en-US"/>
        </w:rPr>
        <w:t>.</w:t>
      </w:r>
    </w:p>
    <w:p w14:paraId="50176531" w14:textId="77777777" w:rsidR="00567BC5" w:rsidRPr="00B500A5" w:rsidRDefault="00567BC5" w:rsidP="00567BC5">
      <w:pPr>
        <w:tabs>
          <w:tab w:val="left" w:pos="270"/>
        </w:tabs>
        <w:rPr>
          <w:szCs w:val="24"/>
          <w:lang w:eastAsia="en-US"/>
        </w:rPr>
      </w:pPr>
    </w:p>
    <w:p w14:paraId="2C91E38A" w14:textId="7FA1D799" w:rsidR="00567BC5" w:rsidRPr="00B500A5" w:rsidRDefault="00567BC5" w:rsidP="00567BC5">
      <w:pPr>
        <w:tabs>
          <w:tab w:val="left" w:pos="270"/>
        </w:tabs>
        <w:rPr>
          <w:bCs/>
          <w:snapToGrid w:val="0"/>
          <w:color w:val="000000"/>
          <w:szCs w:val="24"/>
          <w:lang w:eastAsia="en-US"/>
        </w:rPr>
      </w:pPr>
      <w:r w:rsidRPr="00B500A5">
        <w:rPr>
          <w:szCs w:val="24"/>
          <w:lang w:eastAsia="en-US"/>
        </w:rPr>
        <w:lastRenderedPageBreak/>
        <w:t xml:space="preserve">4. </w:t>
      </w:r>
      <w:r w:rsidR="0043137B" w:rsidRPr="00B500A5">
        <w:rPr>
          <w:szCs w:val="24"/>
          <w:lang w:eastAsia="en-US"/>
        </w:rPr>
        <w:t>Dodatek č. 1</w:t>
      </w:r>
      <w:r w:rsidR="00851C8A" w:rsidRPr="00B500A5">
        <w:rPr>
          <w:szCs w:val="24"/>
          <w:lang w:eastAsia="en-US"/>
        </w:rPr>
        <w:t>8</w:t>
      </w:r>
      <w:r w:rsidRPr="00B500A5">
        <w:rPr>
          <w:szCs w:val="24"/>
          <w:lang w:eastAsia="en-US"/>
        </w:rPr>
        <w:t xml:space="preserve"> nabývá platnosti dnem </w:t>
      </w:r>
      <w:r w:rsidR="0043137B" w:rsidRPr="00B500A5">
        <w:rPr>
          <w:szCs w:val="24"/>
          <w:lang w:eastAsia="en-US"/>
        </w:rPr>
        <w:t>jeho podpisu</w:t>
      </w:r>
      <w:r w:rsidRPr="00B500A5">
        <w:rPr>
          <w:szCs w:val="24"/>
          <w:lang w:eastAsia="en-US"/>
        </w:rPr>
        <w:t xml:space="preserve"> oběma smluvními stranami a účinnosti dnem </w:t>
      </w:r>
      <w:r w:rsidR="0043137B" w:rsidRPr="00B500A5">
        <w:rPr>
          <w:szCs w:val="24"/>
          <w:lang w:eastAsia="en-US"/>
        </w:rPr>
        <w:t>zveřejněn</w:t>
      </w:r>
      <w:r w:rsidR="00673D4C">
        <w:rPr>
          <w:szCs w:val="24"/>
          <w:lang w:eastAsia="en-US"/>
        </w:rPr>
        <w:t>í</w:t>
      </w:r>
      <w:r w:rsidR="0043137B" w:rsidRPr="00B500A5">
        <w:rPr>
          <w:szCs w:val="24"/>
          <w:lang w:eastAsia="en-US"/>
        </w:rPr>
        <w:t xml:space="preserve"> v registru smluv.</w:t>
      </w:r>
    </w:p>
    <w:p w14:paraId="73D2FDB2" w14:textId="77777777" w:rsidR="00567BC5" w:rsidRPr="00B500A5" w:rsidRDefault="00567BC5" w:rsidP="00567BC5">
      <w:pPr>
        <w:jc w:val="both"/>
        <w:rPr>
          <w:szCs w:val="24"/>
        </w:rPr>
      </w:pPr>
    </w:p>
    <w:p w14:paraId="005B8A55" w14:textId="4ABA9D81" w:rsidR="00567BC5" w:rsidRPr="00B500A5" w:rsidRDefault="00567BC5" w:rsidP="00567BC5">
      <w:pPr>
        <w:jc w:val="both"/>
        <w:rPr>
          <w:szCs w:val="24"/>
        </w:rPr>
      </w:pPr>
      <w:r w:rsidRPr="00B500A5">
        <w:rPr>
          <w:szCs w:val="24"/>
        </w:rPr>
        <w:t>5. Uzavření dodatku č. 1</w:t>
      </w:r>
      <w:r w:rsidR="00851C8A" w:rsidRPr="00B500A5">
        <w:rPr>
          <w:szCs w:val="24"/>
        </w:rPr>
        <w:t>8</w:t>
      </w:r>
      <w:r w:rsidRPr="00B500A5">
        <w:rPr>
          <w:szCs w:val="24"/>
        </w:rPr>
        <w:t xml:space="preserve"> schválila Rada města Český Těšín usnesením č. </w:t>
      </w:r>
      <w:r w:rsidR="0016148B">
        <w:rPr>
          <w:szCs w:val="24"/>
        </w:rPr>
        <w:t>205/4./RM</w:t>
      </w:r>
      <w:bookmarkStart w:id="0" w:name="_GoBack"/>
      <w:bookmarkEnd w:id="0"/>
      <w:r w:rsidRPr="00B500A5">
        <w:rPr>
          <w:szCs w:val="24"/>
        </w:rPr>
        <w:t xml:space="preserve">, ze dne </w:t>
      </w:r>
      <w:proofErr w:type="gramStart"/>
      <w:r w:rsidR="00673D4C">
        <w:rPr>
          <w:szCs w:val="24"/>
        </w:rPr>
        <w:t>17.01.2023</w:t>
      </w:r>
      <w:proofErr w:type="gramEnd"/>
      <w:r w:rsidRPr="00B500A5">
        <w:rPr>
          <w:szCs w:val="24"/>
        </w:rPr>
        <w:t>.</w:t>
      </w:r>
    </w:p>
    <w:p w14:paraId="52D68B50" w14:textId="77777777" w:rsidR="00567BC5" w:rsidRPr="00B500A5" w:rsidRDefault="00567BC5" w:rsidP="00567BC5">
      <w:pPr>
        <w:jc w:val="both"/>
        <w:rPr>
          <w:bCs/>
          <w:szCs w:val="24"/>
        </w:rPr>
      </w:pPr>
    </w:p>
    <w:p w14:paraId="0BAB4AE4" w14:textId="433C4631" w:rsidR="00567BC5" w:rsidRPr="00B500A5" w:rsidRDefault="00567BC5" w:rsidP="00567BC5">
      <w:pPr>
        <w:jc w:val="both"/>
        <w:rPr>
          <w:szCs w:val="24"/>
        </w:rPr>
      </w:pPr>
      <w:r w:rsidRPr="00B500A5">
        <w:rPr>
          <w:szCs w:val="24"/>
        </w:rPr>
        <w:t xml:space="preserve">6. V ostatním zůstává Smlouva o nájmu ze dne </w:t>
      </w:r>
      <w:proofErr w:type="gramStart"/>
      <w:r w:rsidRPr="00B500A5">
        <w:rPr>
          <w:szCs w:val="24"/>
        </w:rPr>
        <w:t>25.10.1999</w:t>
      </w:r>
      <w:proofErr w:type="gramEnd"/>
      <w:r w:rsidRPr="00B500A5">
        <w:rPr>
          <w:szCs w:val="24"/>
        </w:rPr>
        <w:t xml:space="preserve"> ve znění dodatků č. 1-1</w:t>
      </w:r>
      <w:r w:rsidR="00851C8A" w:rsidRPr="00B500A5">
        <w:rPr>
          <w:szCs w:val="24"/>
        </w:rPr>
        <w:t>7</w:t>
      </w:r>
      <w:r w:rsidRPr="00B500A5">
        <w:rPr>
          <w:szCs w:val="24"/>
        </w:rPr>
        <w:t xml:space="preserve"> beze změn. </w:t>
      </w:r>
    </w:p>
    <w:p w14:paraId="4564D1FD" w14:textId="77777777" w:rsidR="00567BC5" w:rsidRPr="00B500A5" w:rsidRDefault="00567BC5" w:rsidP="00567BC5">
      <w:pPr>
        <w:ind w:left="360"/>
        <w:jc w:val="center"/>
        <w:rPr>
          <w:b/>
          <w:szCs w:val="24"/>
        </w:rPr>
      </w:pPr>
    </w:p>
    <w:p w14:paraId="6AF87EEB" w14:textId="77777777" w:rsidR="0043137B" w:rsidRPr="00B500A5" w:rsidRDefault="0043137B" w:rsidP="00567BC5">
      <w:pPr>
        <w:rPr>
          <w:szCs w:val="24"/>
        </w:rPr>
      </w:pPr>
    </w:p>
    <w:p w14:paraId="47D8A37D" w14:textId="0BB2F1F2" w:rsidR="00567BC5" w:rsidRPr="00B500A5" w:rsidRDefault="00567BC5" w:rsidP="00567BC5">
      <w:pPr>
        <w:rPr>
          <w:b/>
          <w:szCs w:val="24"/>
        </w:rPr>
      </w:pPr>
      <w:r w:rsidRPr="00B500A5">
        <w:rPr>
          <w:szCs w:val="24"/>
        </w:rPr>
        <w:t>V Českém Těšíně dne:</w:t>
      </w:r>
      <w:r w:rsidRPr="00B500A5">
        <w:rPr>
          <w:szCs w:val="24"/>
        </w:rPr>
        <w:tab/>
      </w:r>
      <w:r w:rsidRPr="00B500A5">
        <w:rPr>
          <w:szCs w:val="24"/>
        </w:rPr>
        <w:tab/>
      </w:r>
      <w:r w:rsidRPr="00B500A5">
        <w:rPr>
          <w:szCs w:val="24"/>
        </w:rPr>
        <w:tab/>
      </w:r>
      <w:r w:rsidRPr="00B500A5">
        <w:rPr>
          <w:szCs w:val="24"/>
        </w:rPr>
        <w:tab/>
      </w:r>
      <w:r w:rsidRPr="00B500A5">
        <w:rPr>
          <w:szCs w:val="24"/>
        </w:rPr>
        <w:tab/>
        <w:t>V Českém Těšíně dne:</w:t>
      </w:r>
      <w:r w:rsidRPr="00B500A5">
        <w:rPr>
          <w:szCs w:val="24"/>
        </w:rPr>
        <w:tab/>
      </w:r>
    </w:p>
    <w:p w14:paraId="5D04BE50" w14:textId="77777777" w:rsidR="00567BC5" w:rsidRPr="00B500A5" w:rsidRDefault="00567BC5" w:rsidP="00567BC5">
      <w:pPr>
        <w:rPr>
          <w:szCs w:val="24"/>
        </w:rPr>
      </w:pPr>
    </w:p>
    <w:p w14:paraId="1A05DCFB" w14:textId="77777777" w:rsidR="00567BC5" w:rsidRPr="00B500A5" w:rsidRDefault="00567BC5" w:rsidP="00567BC5">
      <w:pPr>
        <w:rPr>
          <w:szCs w:val="24"/>
        </w:rPr>
      </w:pPr>
    </w:p>
    <w:p w14:paraId="6DFB3B75" w14:textId="77777777" w:rsidR="00567BC5" w:rsidRPr="00B500A5" w:rsidRDefault="00567BC5" w:rsidP="00567BC5">
      <w:pPr>
        <w:rPr>
          <w:szCs w:val="24"/>
        </w:rPr>
      </w:pPr>
    </w:p>
    <w:p w14:paraId="5A24F322" w14:textId="77777777" w:rsidR="00567BC5" w:rsidRPr="00B500A5" w:rsidRDefault="00567BC5" w:rsidP="00567BC5">
      <w:pPr>
        <w:rPr>
          <w:szCs w:val="24"/>
        </w:rPr>
      </w:pPr>
    </w:p>
    <w:p w14:paraId="56905477" w14:textId="77777777" w:rsidR="00567BC5" w:rsidRPr="00B500A5" w:rsidRDefault="00567BC5" w:rsidP="00567BC5">
      <w:pPr>
        <w:rPr>
          <w:szCs w:val="24"/>
        </w:rPr>
      </w:pPr>
    </w:p>
    <w:p w14:paraId="7A052F65" w14:textId="20C6DECB" w:rsidR="00567BC5" w:rsidRPr="00B500A5" w:rsidRDefault="00567BC5" w:rsidP="00567BC5">
      <w:pPr>
        <w:rPr>
          <w:szCs w:val="24"/>
        </w:rPr>
      </w:pPr>
      <w:r w:rsidRPr="00B500A5">
        <w:rPr>
          <w:szCs w:val="24"/>
        </w:rPr>
        <w:t>………………………………</w:t>
      </w:r>
      <w:r w:rsidR="00673D4C">
        <w:rPr>
          <w:szCs w:val="24"/>
        </w:rPr>
        <w:t>….</w:t>
      </w:r>
      <w:r w:rsidRPr="00B500A5">
        <w:rPr>
          <w:szCs w:val="24"/>
        </w:rPr>
        <w:tab/>
      </w:r>
      <w:r w:rsidRPr="00B500A5">
        <w:rPr>
          <w:szCs w:val="24"/>
        </w:rPr>
        <w:tab/>
      </w:r>
      <w:r w:rsidRPr="00B500A5">
        <w:rPr>
          <w:szCs w:val="24"/>
        </w:rPr>
        <w:tab/>
      </w:r>
      <w:r w:rsidRPr="00B500A5">
        <w:rPr>
          <w:szCs w:val="24"/>
        </w:rPr>
        <w:tab/>
        <w:t>……………………</w:t>
      </w:r>
      <w:r w:rsidR="00673D4C">
        <w:rPr>
          <w:szCs w:val="24"/>
        </w:rPr>
        <w:t>……………</w:t>
      </w:r>
    </w:p>
    <w:p w14:paraId="33F8318D" w14:textId="6B5CF478" w:rsidR="00567BC5" w:rsidRPr="00B500A5" w:rsidRDefault="00673D4C" w:rsidP="00567BC5">
      <w:pPr>
        <w:rPr>
          <w:szCs w:val="24"/>
        </w:rPr>
      </w:pPr>
      <w:r>
        <w:rPr>
          <w:szCs w:val="24"/>
        </w:rPr>
        <w:t>Ing. Vít Slováček</w:t>
      </w:r>
      <w:r>
        <w:rPr>
          <w:szCs w:val="24"/>
        </w:rPr>
        <w:tab/>
      </w:r>
      <w:r>
        <w:rPr>
          <w:szCs w:val="24"/>
        </w:rPr>
        <w:tab/>
      </w:r>
      <w:r>
        <w:rPr>
          <w:szCs w:val="24"/>
        </w:rPr>
        <w:tab/>
      </w:r>
      <w:r>
        <w:rPr>
          <w:szCs w:val="24"/>
        </w:rPr>
        <w:tab/>
      </w:r>
      <w:r>
        <w:rPr>
          <w:szCs w:val="24"/>
        </w:rPr>
        <w:tab/>
      </w:r>
      <w:r>
        <w:rPr>
          <w:szCs w:val="24"/>
        </w:rPr>
        <w:tab/>
      </w:r>
      <w:r w:rsidR="00567BC5" w:rsidRPr="00B500A5">
        <w:rPr>
          <w:szCs w:val="24"/>
        </w:rPr>
        <w:t xml:space="preserve">Ing. </w:t>
      </w:r>
      <w:r w:rsidR="0043137B" w:rsidRPr="00B500A5">
        <w:rPr>
          <w:szCs w:val="24"/>
        </w:rPr>
        <w:t>Dariusz Cymerys</w:t>
      </w:r>
      <w:r w:rsidR="00567BC5" w:rsidRPr="00B500A5">
        <w:rPr>
          <w:szCs w:val="24"/>
        </w:rPr>
        <w:t xml:space="preserve"> </w:t>
      </w:r>
    </w:p>
    <w:p w14:paraId="3DCB66E2" w14:textId="292D4479" w:rsidR="00567BC5" w:rsidRPr="00B500A5" w:rsidRDefault="00673D4C" w:rsidP="00567BC5">
      <w:pPr>
        <w:rPr>
          <w:szCs w:val="24"/>
        </w:rPr>
      </w:pPr>
      <w:r>
        <w:rPr>
          <w:szCs w:val="24"/>
        </w:rPr>
        <w:t>starosta města</w:t>
      </w:r>
      <w:r w:rsidR="00567BC5" w:rsidRPr="00B500A5">
        <w:rPr>
          <w:szCs w:val="24"/>
        </w:rPr>
        <w:t xml:space="preserve"> </w:t>
      </w:r>
      <w:r w:rsidR="00567BC5" w:rsidRPr="00B500A5">
        <w:rPr>
          <w:szCs w:val="24"/>
        </w:rPr>
        <w:tab/>
      </w:r>
      <w:r w:rsidR="00851C8A" w:rsidRPr="00B500A5">
        <w:rPr>
          <w:szCs w:val="24"/>
        </w:rPr>
        <w:tab/>
      </w:r>
      <w:r w:rsidR="00851C8A" w:rsidRPr="00B500A5">
        <w:rPr>
          <w:szCs w:val="24"/>
        </w:rPr>
        <w:tab/>
      </w:r>
      <w:r w:rsidR="00567BC5" w:rsidRPr="00B500A5">
        <w:rPr>
          <w:szCs w:val="24"/>
        </w:rPr>
        <w:tab/>
      </w:r>
      <w:r w:rsidR="00567BC5" w:rsidRPr="00B500A5">
        <w:rPr>
          <w:szCs w:val="24"/>
        </w:rPr>
        <w:tab/>
      </w:r>
      <w:r w:rsidR="00567BC5" w:rsidRPr="00B500A5">
        <w:rPr>
          <w:szCs w:val="24"/>
        </w:rPr>
        <w:tab/>
      </w:r>
      <w:r w:rsidR="00567BC5" w:rsidRPr="00B500A5">
        <w:rPr>
          <w:szCs w:val="24"/>
        </w:rPr>
        <w:tab/>
        <w:t>předseda představenstva</w:t>
      </w:r>
    </w:p>
    <w:p w14:paraId="49A83DE9" w14:textId="77777777" w:rsidR="00567BC5" w:rsidRPr="00B500A5" w:rsidRDefault="00567BC5" w:rsidP="00567BC5">
      <w:pPr>
        <w:spacing w:after="120" w:line="276" w:lineRule="auto"/>
        <w:rPr>
          <w:szCs w:val="24"/>
        </w:rPr>
      </w:pPr>
    </w:p>
    <w:sectPr w:rsidR="00567BC5" w:rsidRPr="00B500A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C2AA" w16cex:dateUtc="2022-11-14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A1C8C" w16cid:durableId="271CC2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F131D"/>
    <w:multiLevelType w:val="hybridMultilevel"/>
    <w:tmpl w:val="D214E97E"/>
    <w:lvl w:ilvl="0" w:tplc="D6BCAB1C">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75016CD"/>
    <w:multiLevelType w:val="hybridMultilevel"/>
    <w:tmpl w:val="DFD8EED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A1B34C9"/>
    <w:multiLevelType w:val="hybridMultilevel"/>
    <w:tmpl w:val="A45A8A2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6345786"/>
    <w:multiLevelType w:val="hybridMultilevel"/>
    <w:tmpl w:val="E8DCC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F56BCF"/>
    <w:multiLevelType w:val="hybridMultilevel"/>
    <w:tmpl w:val="ED823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E42D5B"/>
    <w:multiLevelType w:val="multilevel"/>
    <w:tmpl w:val="9912E426"/>
    <w:lvl w:ilvl="0">
      <w:start w:val="1"/>
      <w:numFmt w:val="bullet"/>
      <w:lvlText w:val=""/>
      <w:lvlJc w:val="left"/>
      <w:pPr>
        <w:tabs>
          <w:tab w:val="num" w:pos="3240"/>
        </w:tabs>
        <w:ind w:left="3240" w:hanging="360"/>
      </w:pPr>
      <w:rPr>
        <w:rFonts w:ascii="Symbol" w:hAnsi="Symbol" w:hint="default"/>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6" w15:restartNumberingAfterBreak="0">
    <w:nsid w:val="4CA343E5"/>
    <w:multiLevelType w:val="hybridMultilevel"/>
    <w:tmpl w:val="172440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F647EBA"/>
    <w:multiLevelType w:val="hybridMultilevel"/>
    <w:tmpl w:val="172440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78310E2"/>
    <w:multiLevelType w:val="hybridMultilevel"/>
    <w:tmpl w:val="051AF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243E91"/>
    <w:multiLevelType w:val="hybridMultilevel"/>
    <w:tmpl w:val="172440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4"/>
  </w:num>
  <w:num w:numId="5">
    <w:abstractNumId w:val="0"/>
  </w:num>
  <w:num w:numId="6">
    <w:abstractNumId w:val="9"/>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19"/>
    <w:rsid w:val="00014B4D"/>
    <w:rsid w:val="00014D7B"/>
    <w:rsid w:val="000942E0"/>
    <w:rsid w:val="000B6A32"/>
    <w:rsid w:val="000D0998"/>
    <w:rsid w:val="0010484D"/>
    <w:rsid w:val="00117F2F"/>
    <w:rsid w:val="00144F4A"/>
    <w:rsid w:val="0016148B"/>
    <w:rsid w:val="00180103"/>
    <w:rsid w:val="00194AC3"/>
    <w:rsid w:val="001A1647"/>
    <w:rsid w:val="001E1CF6"/>
    <w:rsid w:val="001E5DAC"/>
    <w:rsid w:val="0022392D"/>
    <w:rsid w:val="00276666"/>
    <w:rsid w:val="002A7492"/>
    <w:rsid w:val="002B2850"/>
    <w:rsid w:val="002E1A8D"/>
    <w:rsid w:val="002E48DC"/>
    <w:rsid w:val="00330407"/>
    <w:rsid w:val="0033128A"/>
    <w:rsid w:val="00351C0F"/>
    <w:rsid w:val="0038067A"/>
    <w:rsid w:val="003847D1"/>
    <w:rsid w:val="003932D7"/>
    <w:rsid w:val="003A6E75"/>
    <w:rsid w:val="003B1707"/>
    <w:rsid w:val="003C7AD5"/>
    <w:rsid w:val="003E4916"/>
    <w:rsid w:val="00420341"/>
    <w:rsid w:val="0043137B"/>
    <w:rsid w:val="004672AF"/>
    <w:rsid w:val="004A5707"/>
    <w:rsid w:val="00514FA3"/>
    <w:rsid w:val="00567BC5"/>
    <w:rsid w:val="0057384D"/>
    <w:rsid w:val="00591D6F"/>
    <w:rsid w:val="0059535B"/>
    <w:rsid w:val="005A16A5"/>
    <w:rsid w:val="005A510F"/>
    <w:rsid w:val="005E3655"/>
    <w:rsid w:val="00600790"/>
    <w:rsid w:val="006551CF"/>
    <w:rsid w:val="00663B2C"/>
    <w:rsid w:val="00673D4C"/>
    <w:rsid w:val="00691211"/>
    <w:rsid w:val="006D59CA"/>
    <w:rsid w:val="00704434"/>
    <w:rsid w:val="007257E7"/>
    <w:rsid w:val="00727345"/>
    <w:rsid w:val="00791396"/>
    <w:rsid w:val="007B3DD3"/>
    <w:rsid w:val="007C5D9B"/>
    <w:rsid w:val="007C6DBD"/>
    <w:rsid w:val="007E38D2"/>
    <w:rsid w:val="007F2E6A"/>
    <w:rsid w:val="007F4C78"/>
    <w:rsid w:val="00814568"/>
    <w:rsid w:val="00836DD1"/>
    <w:rsid w:val="00837370"/>
    <w:rsid w:val="00851C8A"/>
    <w:rsid w:val="00894298"/>
    <w:rsid w:val="008B4425"/>
    <w:rsid w:val="008B7A36"/>
    <w:rsid w:val="008C1A68"/>
    <w:rsid w:val="008C6B5B"/>
    <w:rsid w:val="0090689C"/>
    <w:rsid w:val="00975FC7"/>
    <w:rsid w:val="0099165F"/>
    <w:rsid w:val="009A3B86"/>
    <w:rsid w:val="009D3B54"/>
    <w:rsid w:val="009D50CF"/>
    <w:rsid w:val="009D6AFC"/>
    <w:rsid w:val="00A33234"/>
    <w:rsid w:val="00A33381"/>
    <w:rsid w:val="00A50180"/>
    <w:rsid w:val="00A92613"/>
    <w:rsid w:val="00AA44B8"/>
    <w:rsid w:val="00AF6B36"/>
    <w:rsid w:val="00B1688B"/>
    <w:rsid w:val="00B22D15"/>
    <w:rsid w:val="00B500A5"/>
    <w:rsid w:val="00B53FB0"/>
    <w:rsid w:val="00B779C0"/>
    <w:rsid w:val="00BB068A"/>
    <w:rsid w:val="00BF73DC"/>
    <w:rsid w:val="00C01C6F"/>
    <w:rsid w:val="00C1618D"/>
    <w:rsid w:val="00C67D30"/>
    <w:rsid w:val="00C81E99"/>
    <w:rsid w:val="00C82456"/>
    <w:rsid w:val="00C856C3"/>
    <w:rsid w:val="00C878FD"/>
    <w:rsid w:val="00CC3C03"/>
    <w:rsid w:val="00CD0904"/>
    <w:rsid w:val="00CE5062"/>
    <w:rsid w:val="00CF2231"/>
    <w:rsid w:val="00CF35AA"/>
    <w:rsid w:val="00D1151C"/>
    <w:rsid w:val="00D34191"/>
    <w:rsid w:val="00D64817"/>
    <w:rsid w:val="00D66219"/>
    <w:rsid w:val="00D72DB1"/>
    <w:rsid w:val="00DE49EF"/>
    <w:rsid w:val="00DE6093"/>
    <w:rsid w:val="00DE6558"/>
    <w:rsid w:val="00DF1924"/>
    <w:rsid w:val="00E42BF2"/>
    <w:rsid w:val="00EC0A2F"/>
    <w:rsid w:val="00ED4FE7"/>
    <w:rsid w:val="00F24508"/>
    <w:rsid w:val="00F556AA"/>
    <w:rsid w:val="00F842E8"/>
    <w:rsid w:val="00F91AC1"/>
    <w:rsid w:val="00F97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120C"/>
  <w15:docId w15:val="{7449D577-BEC4-4FD9-BE13-49195E06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7BC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7BC5"/>
    <w:pPr>
      <w:ind w:left="720"/>
      <w:contextualSpacing/>
    </w:pPr>
  </w:style>
  <w:style w:type="character" w:styleId="Odkaznakoment">
    <w:name w:val="annotation reference"/>
    <w:basedOn w:val="Standardnpsmoodstavce"/>
    <w:uiPriority w:val="99"/>
    <w:semiHidden/>
    <w:unhideWhenUsed/>
    <w:rsid w:val="006D59CA"/>
    <w:rPr>
      <w:sz w:val="16"/>
      <w:szCs w:val="16"/>
    </w:rPr>
  </w:style>
  <w:style w:type="paragraph" w:styleId="Textkomente">
    <w:name w:val="annotation text"/>
    <w:basedOn w:val="Normln"/>
    <w:link w:val="TextkomenteChar"/>
    <w:uiPriority w:val="99"/>
    <w:unhideWhenUsed/>
    <w:rsid w:val="006D59CA"/>
    <w:rPr>
      <w:sz w:val="20"/>
    </w:rPr>
  </w:style>
  <w:style w:type="character" w:customStyle="1" w:styleId="TextkomenteChar">
    <w:name w:val="Text komentáře Char"/>
    <w:basedOn w:val="Standardnpsmoodstavce"/>
    <w:link w:val="Textkomente"/>
    <w:uiPriority w:val="99"/>
    <w:rsid w:val="006D5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D59CA"/>
    <w:rPr>
      <w:b/>
      <w:bCs/>
    </w:rPr>
  </w:style>
  <w:style w:type="character" w:customStyle="1" w:styleId="PedmtkomenteChar">
    <w:name w:val="Předmět komentáře Char"/>
    <w:basedOn w:val="TextkomenteChar"/>
    <w:link w:val="Pedmtkomente"/>
    <w:uiPriority w:val="99"/>
    <w:semiHidden/>
    <w:rsid w:val="006D59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A3B86"/>
    <w:rPr>
      <w:rFonts w:ascii="Tahoma" w:hAnsi="Tahoma" w:cs="Tahoma"/>
      <w:sz w:val="16"/>
      <w:szCs w:val="16"/>
    </w:rPr>
  </w:style>
  <w:style w:type="character" w:customStyle="1" w:styleId="TextbublinyChar">
    <w:name w:val="Text bubliny Char"/>
    <w:basedOn w:val="Standardnpsmoodstavce"/>
    <w:link w:val="Textbubliny"/>
    <w:uiPriority w:val="99"/>
    <w:semiHidden/>
    <w:rsid w:val="009A3B86"/>
    <w:rPr>
      <w:rFonts w:ascii="Tahoma" w:eastAsia="Times New Roman" w:hAnsi="Tahoma" w:cs="Tahoma"/>
      <w:sz w:val="16"/>
      <w:szCs w:val="16"/>
      <w:lang w:eastAsia="cs-CZ"/>
    </w:rPr>
  </w:style>
  <w:style w:type="paragraph" w:styleId="Revize">
    <w:name w:val="Revision"/>
    <w:hidden/>
    <w:uiPriority w:val="99"/>
    <w:semiHidden/>
    <w:rsid w:val="00180103"/>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D232-D5F1-4308-ACF9-50A4ABEE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hajduk@hajduk.cz</dc:creator>
  <cp:keywords/>
  <dc:description/>
  <cp:lastModifiedBy>Moravcová Dana</cp:lastModifiedBy>
  <cp:revision>7</cp:revision>
  <cp:lastPrinted>2023-01-23T14:54:00Z</cp:lastPrinted>
  <dcterms:created xsi:type="dcterms:W3CDTF">2022-11-14T12:50:00Z</dcterms:created>
  <dcterms:modified xsi:type="dcterms:W3CDTF">2023-01-23T14:54:00Z</dcterms:modified>
</cp:coreProperties>
</file>