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3F5" w:rsidRPr="00C9311B" w:rsidRDefault="00162868">
      <w:pPr>
        <w:spacing w:after="160" w:line="259" w:lineRule="auto"/>
        <w:ind w:left="240" w:firstLine="0"/>
        <w:jc w:val="center"/>
        <w:rPr>
          <w:b/>
        </w:rPr>
      </w:pPr>
      <w:r w:rsidRPr="00C9311B">
        <w:rPr>
          <w:b/>
          <w:sz w:val="32"/>
        </w:rPr>
        <w:t>RÁMCOVÁ KUPNÍ SMLOUVA č. :031vrH 2023</w:t>
      </w:r>
    </w:p>
    <w:p w:rsidR="001403F5" w:rsidRDefault="00162868">
      <w:pPr>
        <w:spacing w:after="42" w:line="217" w:lineRule="auto"/>
        <w:ind w:left="1594" w:right="734" w:hanging="5"/>
        <w:rPr>
          <w:sz w:val="24"/>
        </w:rPr>
      </w:pPr>
      <w:r>
        <w:rPr>
          <w:sz w:val="24"/>
        </w:rPr>
        <w:t>uzavřená podle 92079 a násl. Zákona číslo 89/2012 Sb. (dále jen NOZ)</w:t>
      </w:r>
    </w:p>
    <w:p w:rsidR="00162868" w:rsidRDefault="00162868">
      <w:pPr>
        <w:spacing w:after="42" w:line="217" w:lineRule="auto"/>
        <w:ind w:left="1594" w:right="734" w:hanging="5"/>
      </w:pPr>
    </w:p>
    <w:tbl>
      <w:tblPr>
        <w:tblStyle w:val="TableGrid"/>
        <w:tblW w:w="8885" w:type="dxa"/>
        <w:tblInd w:w="509" w:type="dxa"/>
        <w:tblCellMar>
          <w:top w:w="2" w:type="dxa"/>
          <w:bottom w:w="5" w:type="dxa"/>
        </w:tblCellMar>
        <w:tblLook w:val="04A0" w:firstRow="1" w:lastRow="0" w:firstColumn="1" w:lastColumn="0" w:noHBand="0" w:noVBand="1"/>
      </w:tblPr>
      <w:tblGrid>
        <w:gridCol w:w="4685"/>
        <w:gridCol w:w="4200"/>
      </w:tblGrid>
      <w:tr w:rsidR="001403F5">
        <w:trPr>
          <w:trHeight w:val="242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1403F5" w:rsidRDefault="00162868">
            <w:pPr>
              <w:spacing w:after="0" w:line="259" w:lineRule="auto"/>
              <w:ind w:left="0" w:firstLine="0"/>
              <w:jc w:val="left"/>
            </w:pPr>
            <w:proofErr w:type="gramStart"/>
            <w:r>
              <w:rPr>
                <w:sz w:val="26"/>
              </w:rPr>
              <w:t>Prodávající :</w:t>
            </w:r>
            <w:proofErr w:type="gram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1403F5" w:rsidRDefault="00162868">
            <w:pPr>
              <w:spacing w:after="0" w:line="259" w:lineRule="auto"/>
              <w:ind w:left="10" w:firstLine="0"/>
              <w:jc w:val="left"/>
            </w:pPr>
            <w:proofErr w:type="gramStart"/>
            <w:r>
              <w:rPr>
                <w:sz w:val="26"/>
              </w:rPr>
              <w:t>Kupující :</w:t>
            </w:r>
            <w:proofErr w:type="gramEnd"/>
          </w:p>
        </w:tc>
        <w:bookmarkStart w:id="0" w:name="_GoBack"/>
        <w:bookmarkEnd w:id="0"/>
      </w:tr>
      <w:tr w:rsidR="001403F5">
        <w:trPr>
          <w:trHeight w:val="267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1403F5" w:rsidRDefault="0016286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KBJ VELKOOBCHODY s.r.o.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1403F5" w:rsidRDefault="0016286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Dům seniorů </w:t>
            </w:r>
            <w:proofErr w:type="spellStart"/>
            <w:r>
              <w:rPr>
                <w:sz w:val="24"/>
              </w:rPr>
              <w:t>Františkov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Liberec ,</w:t>
            </w:r>
            <w:proofErr w:type="gramEnd"/>
          </w:p>
        </w:tc>
      </w:tr>
      <w:tr w:rsidR="001403F5">
        <w:trPr>
          <w:trHeight w:val="281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1403F5" w:rsidRDefault="00162868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K dálnici 1394/ Hala F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1403F5" w:rsidRDefault="00162868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příspěvková organizace</w:t>
            </w:r>
          </w:p>
        </w:tc>
      </w:tr>
      <w:tr w:rsidR="001403F5">
        <w:trPr>
          <w:trHeight w:val="270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1403F5" w:rsidRDefault="00162868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253 01 Hostivice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1403F5" w:rsidRDefault="00162868">
            <w:pPr>
              <w:spacing w:after="0" w:line="259" w:lineRule="auto"/>
              <w:ind w:left="10" w:firstLine="0"/>
              <w:jc w:val="left"/>
            </w:pPr>
            <w:r>
              <w:rPr>
                <w:sz w:val="24"/>
              </w:rPr>
              <w:t>460 07, Domažlická 880/</w:t>
            </w:r>
            <w:proofErr w:type="gramStart"/>
            <w:r>
              <w:rPr>
                <w:sz w:val="24"/>
              </w:rPr>
              <w:t>8,Liberec</w:t>
            </w:r>
            <w:proofErr w:type="gramEnd"/>
          </w:p>
        </w:tc>
      </w:tr>
      <w:tr w:rsidR="001403F5">
        <w:trPr>
          <w:trHeight w:val="306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1403F5" w:rsidRDefault="00162868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IČ 47543434, DIČ CZ 47543434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1403F5" w:rsidRDefault="00162868">
            <w:pPr>
              <w:spacing w:after="0" w:line="259" w:lineRule="auto"/>
              <w:ind w:left="14" w:firstLine="0"/>
              <w:jc w:val="left"/>
            </w:pPr>
            <w:r>
              <w:rPr>
                <w:sz w:val="24"/>
              </w:rPr>
              <w:t>IČ 10808108, DIČ CZ 10808108</w:t>
            </w:r>
          </w:p>
        </w:tc>
      </w:tr>
      <w:tr w:rsidR="001403F5">
        <w:trPr>
          <w:trHeight w:val="283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1403F5" w:rsidRDefault="00162868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sz w:val="24"/>
              </w:rPr>
              <w:t>zast</w:t>
            </w:r>
            <w:proofErr w:type="spellEnd"/>
            <w:r>
              <w:rPr>
                <w:sz w:val="24"/>
              </w:rPr>
              <w:t>.: Zdeňkem Havelkou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1403F5" w:rsidRDefault="00162868">
            <w:pPr>
              <w:spacing w:after="0" w:line="259" w:lineRule="auto"/>
              <w:ind w:left="19" w:firstLine="0"/>
              <w:jc w:val="left"/>
            </w:pPr>
            <w:proofErr w:type="spellStart"/>
            <w:r>
              <w:rPr>
                <w:sz w:val="24"/>
              </w:rPr>
              <w:t>zast</w:t>
            </w:r>
            <w:proofErr w:type="spellEnd"/>
            <w:r>
              <w:rPr>
                <w:sz w:val="24"/>
              </w:rPr>
              <w:t>.: Bc. Janem Gabrielem, MBA</w:t>
            </w:r>
          </w:p>
        </w:tc>
      </w:tr>
      <w:tr w:rsidR="001403F5">
        <w:trPr>
          <w:trHeight w:val="397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1403F5" w:rsidRDefault="00162868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>funkce: jednatel společnosti</w:t>
            </w:r>
            <w:r>
              <w:rPr>
                <w:noProof/>
              </w:rPr>
              <w:drawing>
                <wp:inline distT="0" distB="0" distL="0" distR="0">
                  <wp:extent cx="33530" cy="12193"/>
                  <wp:effectExtent l="0" t="0" r="0" b="0"/>
                  <wp:docPr id="1765" name="Picture 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" name="Picture 1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30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1403F5" w:rsidRDefault="00162868">
            <w:pPr>
              <w:spacing w:after="0" w:line="259" w:lineRule="auto"/>
              <w:ind w:left="29" w:firstLine="0"/>
              <w:jc w:val="left"/>
            </w:pPr>
            <w:r>
              <w:rPr>
                <w:sz w:val="24"/>
              </w:rPr>
              <w:t>funkce: ředitel společnosti</w:t>
            </w:r>
          </w:p>
        </w:tc>
      </w:tr>
      <w:tr w:rsidR="001403F5">
        <w:trPr>
          <w:trHeight w:val="388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3F5" w:rsidRDefault="00162868">
            <w:pPr>
              <w:spacing w:after="0" w:line="259" w:lineRule="auto"/>
              <w:ind w:left="34" w:firstLine="0"/>
              <w:jc w:val="left"/>
            </w:pPr>
            <w:r>
              <w:rPr>
                <w:sz w:val="24"/>
              </w:rPr>
              <w:t>Zapsán v OR MS v Praze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3F5" w:rsidRDefault="00162868">
            <w:pPr>
              <w:spacing w:after="0" w:line="259" w:lineRule="auto"/>
              <w:ind w:left="38" w:firstLine="0"/>
            </w:pPr>
            <w:r>
              <w:rPr>
                <w:sz w:val="24"/>
              </w:rPr>
              <w:t>vedená u Krajského soudu v Ústí nad Labem</w:t>
            </w:r>
          </w:p>
        </w:tc>
      </w:tr>
      <w:tr w:rsidR="001403F5">
        <w:trPr>
          <w:trHeight w:val="243"/>
        </w:trPr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:rsidR="001403F5" w:rsidRDefault="00162868">
            <w:pPr>
              <w:spacing w:after="0" w:line="259" w:lineRule="auto"/>
              <w:ind w:left="43" w:firstLine="0"/>
              <w:jc w:val="left"/>
            </w:pPr>
            <w:r>
              <w:rPr>
                <w:sz w:val="24"/>
              </w:rPr>
              <w:t>Oddíl C, vložka 26323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1403F5" w:rsidRDefault="00162868" w:rsidP="00162868">
            <w:pPr>
              <w:spacing w:after="0" w:line="259" w:lineRule="auto"/>
              <w:ind w:left="0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Pr</w:t>
            </w:r>
            <w:proofErr w:type="spellEnd"/>
            <w:r>
              <w:rPr>
                <w:sz w:val="24"/>
              </w:rPr>
              <w:t xml:space="preserve"> 1175</w:t>
            </w:r>
          </w:p>
          <w:p w:rsidR="00162868" w:rsidRDefault="00162868">
            <w:pPr>
              <w:spacing w:after="0" w:line="259" w:lineRule="auto"/>
              <w:ind w:left="38" w:firstLine="0"/>
              <w:jc w:val="left"/>
            </w:pPr>
          </w:p>
        </w:tc>
      </w:tr>
    </w:tbl>
    <w:p w:rsidR="001403F5" w:rsidRDefault="00162868">
      <w:r>
        <w:t xml:space="preserve">Shora uvedení účastníci, dále jednotlivě označovaní jako </w:t>
      </w:r>
      <w:proofErr w:type="gramStart"/>
      <w:r>
        <w:t>„ Prodávající</w:t>
      </w:r>
      <w:proofErr w:type="gramEnd"/>
      <w:r>
        <w:t>” a „Kupující”, společně pak</w:t>
      </w:r>
    </w:p>
    <w:p w:rsidR="001403F5" w:rsidRDefault="00162868">
      <w:pPr>
        <w:spacing w:after="244" w:line="400" w:lineRule="auto"/>
        <w:ind w:left="3120" w:right="2611" w:hanging="2544"/>
      </w:pPr>
      <w:proofErr w:type="gramStart"/>
      <w:r>
        <w:t>„ Smluvní</w:t>
      </w:r>
      <w:proofErr w:type="gramEnd"/>
      <w:r>
        <w:t xml:space="preserve"> strany”, uzavírají níže uvedeného dne, měsíce a roku rámcovou kupní smlouvu ( dále jen „Smlouva” ):</w:t>
      </w:r>
    </w:p>
    <w:p w:rsidR="001403F5" w:rsidRDefault="00162868">
      <w:pPr>
        <w:spacing w:after="0" w:line="259" w:lineRule="auto"/>
        <w:ind w:left="442" w:firstLine="0"/>
        <w:jc w:val="center"/>
      </w:pPr>
      <w:r>
        <w:rPr>
          <w:sz w:val="26"/>
        </w:rPr>
        <w:t>1.</w:t>
      </w:r>
    </w:p>
    <w:p w:rsidR="001403F5" w:rsidRDefault="00162868">
      <w:pPr>
        <w:pStyle w:val="Nadpis1"/>
        <w:spacing w:after="233"/>
        <w:ind w:left="456"/>
      </w:pPr>
      <w:r>
        <w:t>PŘEDMĚT SMLOUVY</w:t>
      </w:r>
    </w:p>
    <w:p w:rsidR="001403F5" w:rsidRDefault="00162868">
      <w:pPr>
        <w:spacing w:after="704"/>
        <w:ind w:left="610" w:right="101"/>
      </w:pPr>
      <w:r>
        <w:t xml:space="preserve">Předmětem Smlouvy jsou dodávky potravin, nápojů a jiného zboží běžné spotřeby </w:t>
      </w:r>
      <w:proofErr w:type="gramStart"/>
      <w:r>
        <w:t>( dále</w:t>
      </w:r>
      <w:proofErr w:type="gramEnd"/>
      <w:r>
        <w:t xml:space="preserve"> jen Zboží) , které se Prodávající zavazuje dodávat Kupujícímu v dohodnutém množství, jakosti a lhůtách podle konkrétní objednávky. Objednávku Zboží uskutečňuje Kupující osobně, telefonicky nebo písemně. Kupní smlouvy uzavřené mezi Prodávajícím a Kupujícím se řídí Všeobecnými obchodními podmínkami Prodávajícího, které jsou nedílnou součástí a přílohou této Smlouvy.</w:t>
      </w:r>
    </w:p>
    <w:p w:rsidR="001403F5" w:rsidRDefault="00162868">
      <w:pPr>
        <w:spacing w:after="0" w:line="259" w:lineRule="auto"/>
        <w:ind w:left="538" w:firstLine="0"/>
        <w:jc w:val="center"/>
      </w:pPr>
      <w:r>
        <w:rPr>
          <w:sz w:val="20"/>
        </w:rPr>
        <w:t>11.</w:t>
      </w:r>
    </w:p>
    <w:p w:rsidR="001403F5" w:rsidRDefault="00162868">
      <w:pPr>
        <w:pStyle w:val="Nadpis2"/>
        <w:ind w:left="672" w:right="120"/>
      </w:pPr>
      <w:r>
        <w:t>POVINNOSTI PRODÁVAJÍCÍHO</w:t>
      </w:r>
    </w:p>
    <w:p w:rsidR="001403F5" w:rsidRDefault="00162868">
      <w:pPr>
        <w:spacing w:after="226"/>
        <w:ind w:left="653"/>
      </w:pPr>
      <w:r>
        <w:t>Prodávající je povinen dodat Kupujícímu Zboží dle této Smlouvy a Všeobecných obchodních podmínek Prodávajícího.</w:t>
      </w:r>
    </w:p>
    <w:p w:rsidR="001403F5" w:rsidRDefault="00162868">
      <w:pPr>
        <w:spacing w:after="0" w:line="259" w:lineRule="auto"/>
        <w:ind w:left="581" w:firstLine="0"/>
        <w:jc w:val="center"/>
      </w:pPr>
      <w:r>
        <w:rPr>
          <w:sz w:val="18"/>
        </w:rPr>
        <w:t>111.</w:t>
      </w:r>
    </w:p>
    <w:p w:rsidR="001403F5" w:rsidRDefault="00162868">
      <w:pPr>
        <w:pStyle w:val="Nadpis2"/>
        <w:ind w:left="672" w:right="72"/>
      </w:pPr>
      <w:r>
        <w:t>POVINNOSTI KUPUJÍCÍHO</w:t>
      </w:r>
    </w:p>
    <w:p w:rsidR="001403F5" w:rsidRDefault="00162868">
      <w:pPr>
        <w:spacing w:after="513"/>
        <w:ind w:left="682"/>
      </w:pPr>
      <w:r>
        <w:t>Kupující je povinen zaplatit za dodané Zboží Kupní cenu. Kupní cena Zboží je stanovena Ceníkem Prodávajícího, platného v okamžiku převzetí Zboží Kupujícím a je uvedena v dodacím listě k dodávce Zboží. Povinnost uhradit Kupní cenu Kupujícím vzniká dnem splnění dodávky a potvrzením o převzetí Zboží v dodacím listě.</w:t>
      </w:r>
    </w:p>
    <w:p w:rsidR="001403F5" w:rsidRDefault="00162868">
      <w:pPr>
        <w:pStyle w:val="Nadpis2"/>
        <w:ind w:left="672"/>
      </w:pPr>
      <w:r>
        <w:t>PLATEBNÍ PODMÍNKY</w:t>
      </w:r>
    </w:p>
    <w:p w:rsidR="001403F5" w:rsidRDefault="00162868">
      <w:pPr>
        <w:spacing w:after="0"/>
        <w:ind w:left="720"/>
      </w:pPr>
      <w:r>
        <w:t xml:space="preserve">Smluvní strany se dohodly na těchto platebních </w:t>
      </w:r>
      <w:proofErr w:type="gramStart"/>
      <w:r>
        <w:t>podmínkách :</w:t>
      </w:r>
      <w:proofErr w:type="gramEnd"/>
      <w:r>
        <w:t xml:space="preserve"> proti základním cenám průměrnou slevu 8,5% , fakturace denní se splatností 14 dní od data jejich vystavení.</w:t>
      </w:r>
    </w:p>
    <w:p w:rsidR="001403F5" w:rsidRDefault="00162868">
      <w:pPr>
        <w:ind w:left="720" w:right="250"/>
      </w:pPr>
      <w:r>
        <w:t>V případě zájmu Smluvních stran budou faktury vystavené Prodávajícím zasílány elektronickou poštou na adresu sdělenou Kupujícím. Prodávající potvrzuje, že faktury předané elektronickou poštou splňují všechny náležitosti daňových dokladů a Kupující tuto formu doručení bez výhrad akceptuje. Prodlení s úhradou Kupujícího je pro Prodávajícího důvodem k odmítnutí dalších dodávek na úvěr.</w:t>
      </w:r>
    </w:p>
    <w:p w:rsidR="001403F5" w:rsidRDefault="00162868">
      <w:pPr>
        <w:pStyle w:val="Nadpis2"/>
        <w:spacing w:after="340"/>
        <w:ind w:left="672" w:right="1426"/>
      </w:pPr>
      <w:r>
        <w:lastRenderedPageBreak/>
        <w:t>DORUČOVÁNÍ A VÝMĚNA DOKUMENTŮ</w:t>
      </w:r>
    </w:p>
    <w:p w:rsidR="001403F5" w:rsidRDefault="00162868">
      <w:pPr>
        <w:spacing w:after="828" w:line="217" w:lineRule="auto"/>
        <w:ind w:left="-10" w:right="734" w:hanging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359688</wp:posOffset>
            </wp:positionH>
            <wp:positionV relativeFrom="page">
              <wp:posOffset>2773944</wp:posOffset>
            </wp:positionV>
            <wp:extent cx="12193" cy="18290"/>
            <wp:effectExtent l="0" t="0" r="0" b="0"/>
            <wp:wrapSquare wrapText="bothSides"/>
            <wp:docPr id="2993" name="Picture 29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3" name="Picture 29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Smluvní strany se dohodly na výměně obchodních a účetních formou emailové pošty. Dokumenty budou zasílány ve formátu .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 xml:space="preserve">. Na straně KBJ VELKOOBCHODY s.r.o. bude považován dokument za doručený, pokud bude zaslán na emailovou adresu Na straně druhého smluvního partnera pak budou považovány za doručené dokumenty zaslané na emailovou </w:t>
      </w:r>
      <w:proofErr w:type="gramStart"/>
      <w:r>
        <w:rPr>
          <w:sz w:val="24"/>
        </w:rPr>
        <w:t>adresu :</w:t>
      </w:r>
      <w:proofErr w:type="gramEnd"/>
      <w:r>
        <w:rPr>
          <w:noProof/>
        </w:rPr>
        <w:drawing>
          <wp:inline distT="0" distB="0" distL="0" distR="0">
            <wp:extent cx="79253" cy="15242"/>
            <wp:effectExtent l="0" t="0" r="0" b="0"/>
            <wp:docPr id="6319" name="Picture 6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9" name="Picture 63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53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03F5" w:rsidRDefault="00162868">
      <w:pPr>
        <w:pStyle w:val="Nadpis2"/>
        <w:ind w:left="672" w:right="1315"/>
      </w:pPr>
      <w:r>
        <w:t>ZÁVĚREČNÉ UJEDNÁNÍ</w:t>
      </w:r>
    </w:p>
    <w:p w:rsidR="001403F5" w:rsidRDefault="00162868">
      <w:pPr>
        <w:ind w:left="57"/>
      </w:pPr>
      <w:r>
        <w:t>Tato smlouva je uzavřena na dobu neurčitou. Výpovědní lhůta pro kteroukoliv ze Smluvních stran je 14 kalendářních dní.</w:t>
      </w:r>
    </w:p>
    <w:p w:rsidR="001403F5" w:rsidRDefault="00162868">
      <w:pPr>
        <w:ind w:left="57" w:right="643"/>
      </w:pPr>
      <w:r>
        <w:t>Smluvní strany prohlašují, že Smlouvu před podpisem přečetly, že byla uzavřena po vzájemném projednání podle jejich pravé a svobodné vůle, určitě, vážně a srozumitelně. Kupující svým podpisem Smlouvy stvrzuje, že se seznámil se zněním Všeobecných obchodních podmínek Prodávajícího a souhlasí s nimi. Smlouva nabývá účinnosti dnem podpisu obou Smluvních stran. Každá ze Smluvních stran obdrží jedno vyhotovení Smlouvy. Dodatky k této Smlouvě mohou být uskutečněny pouze písemnou formou.</w:t>
      </w:r>
    </w:p>
    <w:sectPr w:rsidR="001403F5">
      <w:pgSz w:w="11900" w:h="16840"/>
      <w:pgMar w:top="821" w:right="1267" w:bottom="1418" w:left="8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F5"/>
    <w:rsid w:val="001403F5"/>
    <w:rsid w:val="00162868"/>
    <w:rsid w:val="00C9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96412-2176-437C-ABBE-ECB6C748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9" w:line="224" w:lineRule="auto"/>
      <w:ind w:left="57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589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224"/>
      <w:ind w:left="572" w:hanging="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Salanská Iveta</dc:creator>
  <cp:keywords/>
  <cp:lastModifiedBy>Salanská Iveta</cp:lastModifiedBy>
  <cp:revision>5</cp:revision>
  <dcterms:created xsi:type="dcterms:W3CDTF">2023-01-30T07:54:00Z</dcterms:created>
  <dcterms:modified xsi:type="dcterms:W3CDTF">2023-01-30T07:56:00Z</dcterms:modified>
</cp:coreProperties>
</file>