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 Praha 9 - Hloubětín, Hloubětínská 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49625128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Hloubětínská 700/24, Hloubětín (Praha 14), 198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Jaromírem Horníčkem, statutárním zástupcem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CZ.02.3.68/0.0/0.0/18_064/0014282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ZŠ Hloubětín - Šablony 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CZ.02.3.X/0.0/0.0/20_081/0021792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ZŠ Hloubětín - Šablony III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02_20_081 Šablony III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CZ.07.4.68/0.0/0.0/18_066/0001586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ZŠ Hloubětín - podpora žáků s odlišným mateřským jazykem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Praha – pól růstu ČR ve Výzvě č. 49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9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AKgk02kzhGtEGbDOwDW6wripjg==">AMUW2mXAuoZ/KuAASj0qvCFUcK6QdsCkskzOWzyWseCgi99iOd60dd+8ryRozLwgNIdyzTh+vJucxD5onuFlDK5hcklGoMyFQf32/9QWy1zBkQZycb0/26Q=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