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CF80B" w14:textId="1DFB3CFB" w:rsidR="008C6A09" w:rsidRPr="001B0380" w:rsidRDefault="008C6A09" w:rsidP="008C6A09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1B0380">
        <w:rPr>
          <w:rFonts w:ascii="Garamond" w:hAnsi="Garamond"/>
          <w:b/>
          <w:bCs/>
          <w:sz w:val="24"/>
          <w:szCs w:val="24"/>
        </w:rPr>
        <w:t xml:space="preserve">20 </w:t>
      </w:r>
      <w:proofErr w:type="spellStart"/>
      <w:r w:rsidRPr="001B0380">
        <w:rPr>
          <w:rFonts w:ascii="Garamond" w:hAnsi="Garamond"/>
          <w:b/>
          <w:bCs/>
          <w:sz w:val="24"/>
          <w:szCs w:val="24"/>
        </w:rPr>
        <w:t>Spr</w:t>
      </w:r>
      <w:proofErr w:type="spellEnd"/>
      <w:r w:rsidRPr="001B0380">
        <w:rPr>
          <w:rFonts w:ascii="Garamond" w:hAnsi="Garamond"/>
          <w:b/>
          <w:bCs/>
          <w:sz w:val="24"/>
          <w:szCs w:val="24"/>
        </w:rPr>
        <w:t xml:space="preserve"> 1268/2022</w:t>
      </w:r>
    </w:p>
    <w:p w14:paraId="7DB1687D" w14:textId="77777777" w:rsidR="008C6A09" w:rsidRPr="001B0380" w:rsidRDefault="008C6A09" w:rsidP="00F83B81">
      <w:pPr>
        <w:spacing w:after="0" w:line="240" w:lineRule="auto"/>
        <w:jc w:val="center"/>
        <w:rPr>
          <w:rFonts w:ascii="Garamond" w:hAnsi="Garamond"/>
          <w:b/>
          <w:bCs/>
          <w:sz w:val="32"/>
          <w:szCs w:val="32"/>
        </w:rPr>
      </w:pPr>
    </w:p>
    <w:p w14:paraId="2DAC812A" w14:textId="2FA3744C" w:rsidR="006B27E6" w:rsidRPr="001B0380" w:rsidRDefault="008C6A09" w:rsidP="00F83B81">
      <w:pPr>
        <w:spacing w:after="0" w:line="240" w:lineRule="auto"/>
        <w:jc w:val="center"/>
        <w:rPr>
          <w:rFonts w:ascii="Garamond" w:hAnsi="Garamond"/>
          <w:b/>
          <w:bCs/>
          <w:sz w:val="32"/>
          <w:szCs w:val="32"/>
        </w:rPr>
      </w:pPr>
      <w:proofErr w:type="gramStart"/>
      <w:r w:rsidRPr="001B0380">
        <w:rPr>
          <w:rFonts w:ascii="Garamond" w:hAnsi="Garamond"/>
          <w:b/>
          <w:bCs/>
          <w:sz w:val="32"/>
          <w:szCs w:val="32"/>
        </w:rPr>
        <w:t>SMLOUVA  O</w:t>
      </w:r>
      <w:proofErr w:type="gramEnd"/>
      <w:r w:rsidRPr="001B0380">
        <w:rPr>
          <w:rFonts w:ascii="Garamond" w:hAnsi="Garamond"/>
          <w:b/>
          <w:bCs/>
          <w:sz w:val="32"/>
          <w:szCs w:val="32"/>
        </w:rPr>
        <w:t xml:space="preserve">  PROVEDENÍ  EXEKUCÍ</w:t>
      </w:r>
    </w:p>
    <w:p w14:paraId="2CB14C78" w14:textId="77777777" w:rsidR="008C6A09" w:rsidRPr="001B0380" w:rsidRDefault="008C6A09" w:rsidP="00F83B81">
      <w:pPr>
        <w:spacing w:after="0" w:line="240" w:lineRule="auto"/>
        <w:jc w:val="center"/>
        <w:rPr>
          <w:rFonts w:ascii="Garamond" w:hAnsi="Garamond"/>
          <w:b/>
          <w:bCs/>
          <w:sz w:val="32"/>
          <w:szCs w:val="32"/>
        </w:rPr>
      </w:pPr>
    </w:p>
    <w:p w14:paraId="0DA95017" w14:textId="28CF6EAA" w:rsidR="008C6A09" w:rsidRPr="001B0380" w:rsidRDefault="008C6A09" w:rsidP="00F83B81">
      <w:pPr>
        <w:spacing w:after="0" w:line="240" w:lineRule="auto"/>
        <w:jc w:val="center"/>
        <w:rPr>
          <w:rFonts w:ascii="Garamond" w:hAnsi="Garamond"/>
          <w:b/>
          <w:bCs/>
          <w:sz w:val="32"/>
          <w:szCs w:val="32"/>
        </w:rPr>
      </w:pPr>
      <w:r w:rsidRPr="001B0380">
        <w:rPr>
          <w:rFonts w:ascii="Garamond" w:hAnsi="Garamond"/>
          <w:b/>
          <w:bCs/>
          <w:sz w:val="32"/>
          <w:szCs w:val="32"/>
        </w:rPr>
        <w:t>dodatek č. 2</w:t>
      </w:r>
    </w:p>
    <w:p w14:paraId="38D525C8" w14:textId="77777777" w:rsidR="008C6A09" w:rsidRPr="001B0380" w:rsidRDefault="008C6A09" w:rsidP="00F83B81">
      <w:pPr>
        <w:spacing w:after="0" w:line="240" w:lineRule="auto"/>
        <w:jc w:val="center"/>
        <w:rPr>
          <w:rFonts w:ascii="Garamond" w:hAnsi="Garamond"/>
          <w:b/>
          <w:bCs/>
          <w:sz w:val="32"/>
          <w:szCs w:val="32"/>
        </w:rPr>
      </w:pPr>
    </w:p>
    <w:p w14:paraId="017A077E" w14:textId="77777777" w:rsidR="00F83B81" w:rsidRPr="001B0380" w:rsidRDefault="00F83B81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C58D5DB" w14:textId="33A2A3FE" w:rsidR="00815EDC" w:rsidRPr="001B0380" w:rsidRDefault="00815EDC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B0380">
        <w:rPr>
          <w:rFonts w:ascii="Garamond" w:hAnsi="Garamond"/>
          <w:sz w:val="24"/>
          <w:szCs w:val="24"/>
        </w:rPr>
        <w:t>Smluvní strany</w:t>
      </w:r>
    </w:p>
    <w:p w14:paraId="1CBC7F0A" w14:textId="77777777" w:rsidR="00F83B81" w:rsidRPr="001B0380" w:rsidRDefault="00F83B81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549F922" w14:textId="417E1370" w:rsidR="00815EDC" w:rsidRPr="001B0380" w:rsidRDefault="00815EDC" w:rsidP="00F83B81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1B0380">
        <w:rPr>
          <w:rFonts w:ascii="Garamond" w:hAnsi="Garamond"/>
          <w:b/>
          <w:bCs/>
          <w:sz w:val="24"/>
          <w:szCs w:val="24"/>
        </w:rPr>
        <w:t>Okresní soud v Táboře</w:t>
      </w:r>
    </w:p>
    <w:p w14:paraId="0EB69E6B" w14:textId="05DC41FE" w:rsidR="00815EDC" w:rsidRPr="001B0380" w:rsidRDefault="00F83B81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B0380">
        <w:rPr>
          <w:rFonts w:ascii="Garamond" w:hAnsi="Garamond"/>
          <w:sz w:val="24"/>
          <w:szCs w:val="24"/>
        </w:rPr>
        <w:t>se sídlem nám. Mikoláše z Husi 43, 390 17 Tábor</w:t>
      </w:r>
    </w:p>
    <w:p w14:paraId="31B1EBC2" w14:textId="59B17FE0" w:rsidR="00F83B81" w:rsidRPr="001B0380" w:rsidRDefault="008C6A09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B0380">
        <w:rPr>
          <w:rFonts w:ascii="Garamond" w:hAnsi="Garamond"/>
          <w:sz w:val="24"/>
          <w:szCs w:val="24"/>
        </w:rPr>
        <w:t>z</w:t>
      </w:r>
      <w:r w:rsidR="00F83B81" w:rsidRPr="001B0380">
        <w:rPr>
          <w:rFonts w:ascii="Garamond" w:hAnsi="Garamond"/>
          <w:sz w:val="24"/>
          <w:szCs w:val="24"/>
        </w:rPr>
        <w:t>astoupen</w:t>
      </w:r>
      <w:r w:rsidRPr="001B0380">
        <w:rPr>
          <w:rFonts w:ascii="Garamond" w:hAnsi="Garamond"/>
          <w:sz w:val="24"/>
          <w:szCs w:val="24"/>
        </w:rPr>
        <w:t>ý</w:t>
      </w:r>
      <w:r w:rsidR="00F83B81" w:rsidRPr="001B0380">
        <w:rPr>
          <w:rFonts w:ascii="Garamond" w:hAnsi="Garamond"/>
          <w:sz w:val="24"/>
          <w:szCs w:val="24"/>
        </w:rPr>
        <w:t xml:space="preserve">: JUDr. Romanem Winklerem, předsedou </w:t>
      </w:r>
      <w:r w:rsidRPr="001B0380">
        <w:rPr>
          <w:rFonts w:ascii="Garamond" w:hAnsi="Garamond"/>
          <w:sz w:val="24"/>
          <w:szCs w:val="24"/>
        </w:rPr>
        <w:t xml:space="preserve">okresního </w:t>
      </w:r>
      <w:r w:rsidR="00F83B81" w:rsidRPr="001B0380">
        <w:rPr>
          <w:rFonts w:ascii="Garamond" w:hAnsi="Garamond"/>
          <w:sz w:val="24"/>
          <w:szCs w:val="24"/>
        </w:rPr>
        <w:t>soudu</w:t>
      </w:r>
    </w:p>
    <w:p w14:paraId="5677F8CB" w14:textId="723E0BED" w:rsidR="00F83B81" w:rsidRPr="001B0380" w:rsidRDefault="00F83B81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B0380">
        <w:rPr>
          <w:rFonts w:ascii="Garamond" w:hAnsi="Garamond"/>
          <w:sz w:val="24"/>
          <w:szCs w:val="24"/>
        </w:rPr>
        <w:t>(dále jen „oprávněný)</w:t>
      </w:r>
    </w:p>
    <w:p w14:paraId="7C3EA000" w14:textId="098D1830" w:rsidR="00815EDC" w:rsidRPr="001B0380" w:rsidRDefault="00815EDC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4E5AA67" w14:textId="19B81A78" w:rsidR="00815EDC" w:rsidRPr="001B0380" w:rsidRDefault="00F83B81" w:rsidP="00F83B81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1B0380">
        <w:rPr>
          <w:rFonts w:ascii="Garamond" w:hAnsi="Garamond"/>
          <w:b/>
          <w:bCs/>
          <w:sz w:val="24"/>
          <w:szCs w:val="24"/>
        </w:rPr>
        <w:t>a</w:t>
      </w:r>
    </w:p>
    <w:p w14:paraId="4132E71A" w14:textId="58D8B047" w:rsidR="00815EDC" w:rsidRPr="001B0380" w:rsidRDefault="00815EDC" w:rsidP="00F83B81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0BEF79D9" w14:textId="1833D577" w:rsidR="00815EDC" w:rsidRPr="001B0380" w:rsidRDefault="00815EDC" w:rsidP="00F83B81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1B0380">
        <w:rPr>
          <w:rFonts w:ascii="Garamond" w:hAnsi="Garamond"/>
          <w:b/>
          <w:bCs/>
          <w:sz w:val="24"/>
          <w:szCs w:val="24"/>
        </w:rPr>
        <w:t>Mgr. Martina Douchová, soudní exekutor</w:t>
      </w:r>
    </w:p>
    <w:p w14:paraId="179100A3" w14:textId="18602375" w:rsidR="00815EDC" w:rsidRPr="001B0380" w:rsidRDefault="00F83B81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B0380">
        <w:rPr>
          <w:rFonts w:ascii="Garamond" w:hAnsi="Garamond"/>
          <w:sz w:val="24"/>
          <w:szCs w:val="24"/>
        </w:rPr>
        <w:t xml:space="preserve">Exekutorský úřad Tábor, se sídlem Příběnická 1908, </w:t>
      </w:r>
      <w:r w:rsidR="008C6A09" w:rsidRPr="001B0380">
        <w:rPr>
          <w:rFonts w:ascii="Garamond" w:hAnsi="Garamond"/>
          <w:sz w:val="24"/>
          <w:szCs w:val="24"/>
        </w:rPr>
        <w:t>390 01</w:t>
      </w:r>
      <w:r w:rsidRPr="001B0380">
        <w:rPr>
          <w:rFonts w:ascii="Garamond" w:hAnsi="Garamond"/>
          <w:sz w:val="24"/>
          <w:szCs w:val="24"/>
        </w:rPr>
        <w:t>Tábor</w:t>
      </w:r>
    </w:p>
    <w:p w14:paraId="1EB1DB42" w14:textId="63EE3D15" w:rsidR="00F83B81" w:rsidRPr="001B0380" w:rsidRDefault="00F83B81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B0380">
        <w:rPr>
          <w:rFonts w:ascii="Garamond" w:hAnsi="Garamond"/>
          <w:sz w:val="24"/>
          <w:szCs w:val="24"/>
        </w:rPr>
        <w:t>IČ: 68619707</w:t>
      </w:r>
    </w:p>
    <w:p w14:paraId="45AA3701" w14:textId="217BBD88" w:rsidR="00F83B81" w:rsidRPr="001B0380" w:rsidRDefault="00F83B81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B0380">
        <w:rPr>
          <w:rFonts w:ascii="Garamond" w:hAnsi="Garamond"/>
          <w:sz w:val="24"/>
          <w:szCs w:val="24"/>
        </w:rPr>
        <w:t>(dále jen „exekutor“)</w:t>
      </w:r>
    </w:p>
    <w:p w14:paraId="794BF8F8" w14:textId="729B35DB" w:rsidR="00F83B81" w:rsidRPr="001B0380" w:rsidRDefault="00F83B81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4CE2E66" w14:textId="1622178B" w:rsidR="00815EDC" w:rsidRPr="001B0380" w:rsidRDefault="00815EDC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B0380">
        <w:rPr>
          <w:rFonts w:ascii="Garamond" w:hAnsi="Garamond"/>
          <w:sz w:val="24"/>
          <w:szCs w:val="24"/>
        </w:rPr>
        <w:t>uzavřely</w:t>
      </w:r>
      <w:r w:rsidR="00F83B81" w:rsidRPr="001B0380">
        <w:rPr>
          <w:rFonts w:ascii="Garamond" w:hAnsi="Garamond"/>
          <w:sz w:val="24"/>
          <w:szCs w:val="24"/>
        </w:rPr>
        <w:t xml:space="preserve"> </w:t>
      </w:r>
      <w:r w:rsidR="009109BA" w:rsidRPr="001B0380">
        <w:rPr>
          <w:rFonts w:ascii="Garamond" w:hAnsi="Garamond"/>
          <w:sz w:val="24"/>
          <w:szCs w:val="24"/>
        </w:rPr>
        <w:t>níže psaného dne měsíce roku, ve smyslu zák</w:t>
      </w:r>
      <w:r w:rsidR="00E475DA" w:rsidRPr="001B0380">
        <w:rPr>
          <w:rFonts w:ascii="Garamond" w:hAnsi="Garamond"/>
          <w:sz w:val="24"/>
          <w:szCs w:val="24"/>
        </w:rPr>
        <w:t>ona</w:t>
      </w:r>
      <w:r w:rsidR="009109BA" w:rsidRPr="001B0380">
        <w:rPr>
          <w:rFonts w:ascii="Garamond" w:hAnsi="Garamond"/>
          <w:sz w:val="24"/>
          <w:szCs w:val="24"/>
        </w:rPr>
        <w:t xml:space="preserve"> č. 396/2012 Sb., a na základě </w:t>
      </w:r>
      <w:r w:rsidRPr="001B0380">
        <w:rPr>
          <w:rFonts w:ascii="Garamond" w:hAnsi="Garamond"/>
          <w:sz w:val="24"/>
          <w:szCs w:val="24"/>
        </w:rPr>
        <w:t xml:space="preserve">Instrukce Ministerstva spravedlnosti ze dne </w:t>
      </w:r>
      <w:r w:rsidR="009109BA" w:rsidRPr="001B0380">
        <w:rPr>
          <w:rFonts w:ascii="Garamond" w:hAnsi="Garamond"/>
          <w:sz w:val="24"/>
          <w:szCs w:val="24"/>
        </w:rPr>
        <w:t xml:space="preserve">26. 6. 2022 č.j. MSP-18/2022-OPR-SP, o vymáhání pohledávek, uveřejněné pod č. 6/2022 Sbírky instrukcí a sdělení Ministerstva </w:t>
      </w:r>
      <w:r w:rsidR="007C7C1C" w:rsidRPr="001B0380">
        <w:rPr>
          <w:rFonts w:ascii="Garamond" w:hAnsi="Garamond"/>
          <w:sz w:val="24"/>
          <w:szCs w:val="24"/>
        </w:rPr>
        <w:t>s</w:t>
      </w:r>
      <w:r w:rsidR="009109BA" w:rsidRPr="001B0380">
        <w:rPr>
          <w:rFonts w:ascii="Garamond" w:hAnsi="Garamond"/>
          <w:sz w:val="24"/>
          <w:szCs w:val="24"/>
        </w:rPr>
        <w:t>pravedlnosti, tento dodatek č. 2 ke smlouvě o provedení exekucí ze dne 1. 3. 2013 ve znění dodatku č. 1 ze dne 29. 7. 2013 (dále jen „smlouva“).</w:t>
      </w:r>
    </w:p>
    <w:p w14:paraId="3CC7CC5E" w14:textId="57F81919" w:rsidR="00815EDC" w:rsidRPr="001B0380" w:rsidRDefault="00815EDC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3E7C3F3" w14:textId="7CC1DFAD" w:rsidR="00815EDC" w:rsidRPr="001B0380" w:rsidRDefault="009109BA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B0380">
        <w:rPr>
          <w:rFonts w:ascii="Garamond" w:hAnsi="Garamond"/>
          <w:sz w:val="24"/>
          <w:szCs w:val="24"/>
        </w:rPr>
        <w:t>Smlouva ve znění dodatku č. 1 se tímto dodatkem č. 2 mění tak, že</w:t>
      </w:r>
      <w:r w:rsidR="00815EDC" w:rsidRPr="001B0380">
        <w:rPr>
          <w:rFonts w:ascii="Garamond" w:hAnsi="Garamond"/>
          <w:sz w:val="24"/>
          <w:szCs w:val="24"/>
        </w:rPr>
        <w:t xml:space="preserve"> </w:t>
      </w:r>
    </w:p>
    <w:p w14:paraId="6E2092A2" w14:textId="77777777" w:rsidR="00815EDC" w:rsidRPr="001B0380" w:rsidRDefault="00815EDC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8C89F2E" w14:textId="4D9290B1" w:rsidR="00815EDC" w:rsidRPr="001B0380" w:rsidRDefault="00F83B81" w:rsidP="00F83B81">
      <w:pPr>
        <w:spacing w:after="12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1B0380">
        <w:rPr>
          <w:rFonts w:ascii="Garamond" w:hAnsi="Garamond"/>
          <w:b/>
          <w:bCs/>
          <w:sz w:val="24"/>
          <w:szCs w:val="24"/>
        </w:rPr>
        <w:t>I.</w:t>
      </w:r>
    </w:p>
    <w:p w14:paraId="434191B5" w14:textId="34041E78" w:rsidR="00815EDC" w:rsidRPr="001B0380" w:rsidRDefault="00815EDC" w:rsidP="00A71FE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B0380">
        <w:rPr>
          <w:rFonts w:ascii="Garamond" w:hAnsi="Garamond"/>
          <w:sz w:val="24"/>
          <w:szCs w:val="24"/>
        </w:rPr>
        <w:t>V</w:t>
      </w:r>
      <w:r w:rsidR="00F83B81" w:rsidRPr="001B0380">
        <w:rPr>
          <w:rFonts w:ascii="Garamond" w:hAnsi="Garamond"/>
          <w:sz w:val="24"/>
          <w:szCs w:val="24"/>
        </w:rPr>
        <w:t> preambuli smlouvy</w:t>
      </w:r>
      <w:r w:rsidRPr="001B0380">
        <w:rPr>
          <w:rFonts w:ascii="Garamond" w:hAnsi="Garamond"/>
          <w:sz w:val="24"/>
          <w:szCs w:val="24"/>
        </w:rPr>
        <w:t xml:space="preserve"> se mění označení Instrukce Ministerstva spravedlnosti z Instrukce Ministerstva spravedlnosti ze dne 19. 12. 2012, č.j. 4/2012-INV – M, o vymáhání pohledávek</w:t>
      </w:r>
      <w:r w:rsidR="00F83B81" w:rsidRPr="001B0380">
        <w:rPr>
          <w:rFonts w:ascii="Garamond" w:hAnsi="Garamond"/>
          <w:sz w:val="24"/>
          <w:szCs w:val="24"/>
        </w:rPr>
        <w:t>,</w:t>
      </w:r>
      <w:r w:rsidRPr="001B0380">
        <w:rPr>
          <w:rFonts w:ascii="Garamond" w:hAnsi="Garamond"/>
          <w:sz w:val="24"/>
          <w:szCs w:val="24"/>
        </w:rPr>
        <w:t xml:space="preserve"> </w:t>
      </w:r>
      <w:r w:rsidR="00F83B81" w:rsidRPr="001B0380">
        <w:rPr>
          <w:rFonts w:ascii="Garamond" w:hAnsi="Garamond"/>
          <w:sz w:val="24"/>
          <w:szCs w:val="24"/>
        </w:rPr>
        <w:br/>
      </w:r>
      <w:r w:rsidRPr="001B0380">
        <w:rPr>
          <w:rFonts w:ascii="Garamond" w:hAnsi="Garamond"/>
          <w:sz w:val="24"/>
          <w:szCs w:val="24"/>
        </w:rPr>
        <w:t xml:space="preserve">na Instrukci Ministerstva spravedlnosti ze dne 26. 6. 2022. č.j. MSP-18/2022-OPR-SP, o vymáhání pohledávek. </w:t>
      </w:r>
    </w:p>
    <w:p w14:paraId="0A5C3F89" w14:textId="27C6409D" w:rsidR="00815EDC" w:rsidRPr="001B0380" w:rsidRDefault="00815EDC" w:rsidP="00A71FE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B39997C" w14:textId="10EBDF2B" w:rsidR="00F47473" w:rsidRPr="001B0380" w:rsidRDefault="00F83B81" w:rsidP="00F83B81">
      <w:pPr>
        <w:spacing w:after="12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1B0380">
        <w:rPr>
          <w:rFonts w:ascii="Garamond" w:hAnsi="Garamond"/>
          <w:b/>
          <w:bCs/>
          <w:sz w:val="24"/>
          <w:szCs w:val="24"/>
        </w:rPr>
        <w:t>II.</w:t>
      </w:r>
    </w:p>
    <w:p w14:paraId="6F9E8DEB" w14:textId="6A32F5A2" w:rsidR="00F47473" w:rsidRPr="001B0380" w:rsidRDefault="00F47473" w:rsidP="00F83B81">
      <w:pPr>
        <w:spacing w:after="120"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57726384" w14:textId="11F11061" w:rsidR="00F47473" w:rsidRPr="001B0380" w:rsidRDefault="00F47473" w:rsidP="00F83B81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1B0380">
        <w:rPr>
          <w:rFonts w:ascii="Garamond" w:hAnsi="Garamond"/>
          <w:sz w:val="24"/>
          <w:szCs w:val="24"/>
          <w:u w:val="single"/>
        </w:rPr>
        <w:t>Čl. III. bod 4. se mění tak, že nově zní:</w:t>
      </w:r>
    </w:p>
    <w:p w14:paraId="0061ACF6" w14:textId="77777777" w:rsidR="00F83B81" w:rsidRPr="001B0380" w:rsidRDefault="00F83B81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F91888F" w14:textId="0EEEB6D3" w:rsidR="00F47473" w:rsidRPr="001B0380" w:rsidRDefault="00F83B81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B0380">
        <w:rPr>
          <w:rFonts w:ascii="Garamond" w:hAnsi="Garamond"/>
          <w:sz w:val="24"/>
          <w:szCs w:val="24"/>
        </w:rPr>
        <w:t>„</w:t>
      </w:r>
      <w:r w:rsidR="00F47473" w:rsidRPr="001B0380">
        <w:rPr>
          <w:rFonts w:ascii="Garamond" w:hAnsi="Garamond"/>
          <w:sz w:val="24"/>
          <w:szCs w:val="24"/>
        </w:rPr>
        <w:t>Exekutor nebude požadovat po resortní složce zálohu na náklady exekuce podle § 90 odst. 3 věty první zákona č. 120/2001 Sb., exekuční řád, ve znění pozdějších předpisů. Tím není dotčeno právo soudního exekutora požadovat zálohu podle jiných ustanovení zákona č. 120/2001 Sb., exekuční řád, ve znění pozdějších předpisů, jsou-li k tomu splněny zákonné požadavky. Při rozhodování, zda zálohu platit, či nikoliv, sleduje resortní složka hledisko hospodárnosti, a to zejména zda má relevantní informace o solventnosti povinného a zda se úspěšně neuspokojuje jiná pohledávka za povinným. Bere přitom v úvahu i výši hodnoty pohledávky v porovnání s výší zálohy</w:t>
      </w:r>
      <w:r w:rsidRPr="001B0380">
        <w:rPr>
          <w:rFonts w:ascii="Garamond" w:hAnsi="Garamond"/>
          <w:sz w:val="24"/>
          <w:szCs w:val="24"/>
        </w:rPr>
        <w:t>.“.</w:t>
      </w:r>
    </w:p>
    <w:p w14:paraId="6F6D841E" w14:textId="77777777" w:rsidR="00F47473" w:rsidRPr="001B0380" w:rsidRDefault="00F47473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41698D4" w14:textId="77777777" w:rsidR="00F83B81" w:rsidRPr="001B0380" w:rsidRDefault="00F83B81" w:rsidP="00F83B81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3DEA0B94" w14:textId="4BCB8FB4" w:rsidR="00A71FE5" w:rsidRPr="001B0380" w:rsidRDefault="009109BA" w:rsidP="00A71FE5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1B0380">
        <w:rPr>
          <w:rFonts w:ascii="Garamond" w:hAnsi="Garamond"/>
          <w:b/>
          <w:bCs/>
          <w:sz w:val="24"/>
          <w:szCs w:val="24"/>
        </w:rPr>
        <w:lastRenderedPageBreak/>
        <w:t>III.</w:t>
      </w:r>
    </w:p>
    <w:p w14:paraId="448D0881" w14:textId="50EA0C63" w:rsidR="00F83B81" w:rsidRPr="001B0380" w:rsidRDefault="00A71FE5" w:rsidP="00A71FE5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1B0380">
        <w:rPr>
          <w:rFonts w:ascii="Garamond" w:hAnsi="Garamond"/>
          <w:b/>
          <w:bCs/>
          <w:sz w:val="24"/>
          <w:szCs w:val="24"/>
        </w:rPr>
        <w:t>Závěrečná ujednání</w:t>
      </w:r>
    </w:p>
    <w:p w14:paraId="23840944" w14:textId="22F4BD3D" w:rsidR="00F83B81" w:rsidRPr="001B0380" w:rsidRDefault="00F83B81" w:rsidP="00F83B81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70CB2A7F" w14:textId="247B7CDA" w:rsidR="00F83B81" w:rsidRPr="001B0380" w:rsidRDefault="00F83B81" w:rsidP="00A71FE5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1B0380">
        <w:rPr>
          <w:rFonts w:ascii="Garamond" w:hAnsi="Garamond"/>
          <w:sz w:val="24"/>
          <w:szCs w:val="24"/>
        </w:rPr>
        <w:t xml:space="preserve">Tento dodatek č. </w:t>
      </w:r>
      <w:r w:rsidR="005E1DDE" w:rsidRPr="001B0380">
        <w:rPr>
          <w:rFonts w:ascii="Garamond" w:hAnsi="Garamond"/>
          <w:sz w:val="24"/>
          <w:szCs w:val="24"/>
        </w:rPr>
        <w:t>2.</w:t>
      </w:r>
      <w:r w:rsidRPr="001B0380">
        <w:rPr>
          <w:rFonts w:ascii="Garamond" w:hAnsi="Garamond"/>
          <w:sz w:val="24"/>
          <w:szCs w:val="24"/>
        </w:rPr>
        <w:t xml:space="preserve"> nabývá účinnosti podpisem oběma smluvními stranami.</w:t>
      </w:r>
    </w:p>
    <w:p w14:paraId="4448A406" w14:textId="3810BE19" w:rsidR="00A71FE5" w:rsidRPr="001B0380" w:rsidRDefault="00A71FE5" w:rsidP="00A71FE5">
      <w:pPr>
        <w:pStyle w:val="Odstavecseseznamem"/>
        <w:spacing w:after="0" w:line="240" w:lineRule="auto"/>
        <w:ind w:left="284"/>
        <w:jc w:val="both"/>
        <w:rPr>
          <w:rFonts w:ascii="Garamond" w:hAnsi="Garamond"/>
          <w:sz w:val="24"/>
          <w:szCs w:val="24"/>
        </w:rPr>
      </w:pPr>
    </w:p>
    <w:p w14:paraId="5E4513BF" w14:textId="0E6E881C" w:rsidR="00F83B81" w:rsidRPr="001B0380" w:rsidRDefault="00F83B81" w:rsidP="00F83B81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1B0380">
        <w:rPr>
          <w:rFonts w:ascii="Garamond" w:hAnsi="Garamond"/>
          <w:sz w:val="24"/>
          <w:szCs w:val="24"/>
        </w:rPr>
        <w:t xml:space="preserve">Dodatek č. </w:t>
      </w:r>
      <w:r w:rsidR="005E1DDE" w:rsidRPr="001B0380">
        <w:rPr>
          <w:rFonts w:ascii="Garamond" w:hAnsi="Garamond"/>
          <w:sz w:val="24"/>
          <w:szCs w:val="24"/>
        </w:rPr>
        <w:t>2</w:t>
      </w:r>
      <w:r w:rsidRPr="001B0380">
        <w:rPr>
          <w:rFonts w:ascii="Garamond" w:hAnsi="Garamond"/>
          <w:sz w:val="24"/>
          <w:szCs w:val="24"/>
        </w:rPr>
        <w:t>. se vyhotovuje ve dvou stejnopisech; každý má platnost originálu a každý z</w:t>
      </w:r>
      <w:r w:rsidR="00A71FE5" w:rsidRPr="001B0380">
        <w:rPr>
          <w:rFonts w:ascii="Garamond" w:hAnsi="Garamond"/>
          <w:sz w:val="24"/>
          <w:szCs w:val="24"/>
        </w:rPr>
        <w:t> </w:t>
      </w:r>
      <w:r w:rsidRPr="001B0380">
        <w:rPr>
          <w:rFonts w:ascii="Garamond" w:hAnsi="Garamond"/>
          <w:sz w:val="24"/>
          <w:szCs w:val="24"/>
        </w:rPr>
        <w:t xml:space="preserve">účastníků </w:t>
      </w:r>
      <w:proofErr w:type="gramStart"/>
      <w:r w:rsidRPr="001B0380">
        <w:rPr>
          <w:rFonts w:ascii="Garamond" w:hAnsi="Garamond"/>
          <w:sz w:val="24"/>
          <w:szCs w:val="24"/>
        </w:rPr>
        <w:t>obdrží</w:t>
      </w:r>
      <w:proofErr w:type="gramEnd"/>
      <w:r w:rsidRPr="001B0380">
        <w:rPr>
          <w:rFonts w:ascii="Garamond" w:hAnsi="Garamond"/>
          <w:sz w:val="24"/>
          <w:szCs w:val="24"/>
        </w:rPr>
        <w:t xml:space="preserve"> po jednom stejnopise.</w:t>
      </w:r>
    </w:p>
    <w:p w14:paraId="420CBCFA" w14:textId="2DF99033" w:rsidR="00A71FE5" w:rsidRPr="001B0380" w:rsidRDefault="00A71FE5" w:rsidP="00A71FE5">
      <w:pPr>
        <w:pStyle w:val="Odstavecseseznamem"/>
        <w:spacing w:after="0" w:line="240" w:lineRule="auto"/>
        <w:ind w:left="284"/>
        <w:jc w:val="both"/>
        <w:rPr>
          <w:rFonts w:ascii="Garamond" w:hAnsi="Garamond"/>
          <w:sz w:val="24"/>
          <w:szCs w:val="24"/>
        </w:rPr>
      </w:pPr>
    </w:p>
    <w:p w14:paraId="2906470F" w14:textId="5BDBEF6E" w:rsidR="00F83B81" w:rsidRPr="001B0380" w:rsidRDefault="00A71FE5" w:rsidP="00F83B81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1B0380">
        <w:rPr>
          <w:rFonts w:ascii="Garamond" w:hAnsi="Garamond"/>
          <w:sz w:val="24"/>
          <w:szCs w:val="24"/>
        </w:rPr>
        <w:t xml:space="preserve">Smluvní strany prohlašují, že si tento dodatek č. </w:t>
      </w:r>
      <w:r w:rsidR="005E1DDE" w:rsidRPr="001B0380">
        <w:rPr>
          <w:rFonts w:ascii="Garamond" w:hAnsi="Garamond"/>
          <w:sz w:val="24"/>
          <w:szCs w:val="24"/>
        </w:rPr>
        <w:t>2</w:t>
      </w:r>
      <w:r w:rsidRPr="001B0380">
        <w:rPr>
          <w:rFonts w:ascii="Garamond" w:hAnsi="Garamond"/>
          <w:sz w:val="24"/>
          <w:szCs w:val="24"/>
        </w:rPr>
        <w:t xml:space="preserve"> před jeho podpisem přečetly, že byl uzavřen po vzájemném projednání podle jejich pravé a svobodné vůle, určitě a srozumitelně, nikoliv v tísni a za nápadně nevýhodných podmínek a na důkaz toho připojují své podpisy.</w:t>
      </w:r>
    </w:p>
    <w:p w14:paraId="3BF707B2" w14:textId="0EEF05BE" w:rsidR="00A71FE5" w:rsidRPr="001B0380" w:rsidRDefault="00A71FE5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2BC07D8" w14:textId="02859754" w:rsidR="00A71FE5" w:rsidRPr="001B0380" w:rsidRDefault="00A71FE5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A0B2B49" w14:textId="79888214" w:rsidR="00A71FE5" w:rsidRPr="001B0380" w:rsidRDefault="00A71FE5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4F3276A" w14:textId="4F317C6D" w:rsidR="00A71FE5" w:rsidRPr="001B0380" w:rsidRDefault="00E475DA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B0380">
        <w:rPr>
          <w:rFonts w:ascii="Garamond" w:hAnsi="Garamond"/>
          <w:sz w:val="24"/>
          <w:szCs w:val="24"/>
        </w:rPr>
        <w:t xml:space="preserve">    </w:t>
      </w:r>
      <w:r w:rsidR="00A71FE5" w:rsidRPr="001B0380">
        <w:rPr>
          <w:rFonts w:ascii="Garamond" w:hAnsi="Garamond"/>
          <w:sz w:val="24"/>
          <w:szCs w:val="24"/>
        </w:rPr>
        <w:t xml:space="preserve">V Táboře dne </w:t>
      </w:r>
      <w:r w:rsidR="008C6A09" w:rsidRPr="001B0380">
        <w:rPr>
          <w:rFonts w:ascii="Garamond" w:hAnsi="Garamond"/>
          <w:sz w:val="24"/>
          <w:szCs w:val="24"/>
        </w:rPr>
        <w:t>2</w:t>
      </w:r>
      <w:r w:rsidR="009109BA" w:rsidRPr="001B0380">
        <w:rPr>
          <w:rFonts w:ascii="Garamond" w:hAnsi="Garamond"/>
          <w:sz w:val="24"/>
          <w:szCs w:val="24"/>
        </w:rPr>
        <w:t>8</w:t>
      </w:r>
      <w:r w:rsidR="008C6A09" w:rsidRPr="001B0380">
        <w:rPr>
          <w:rFonts w:ascii="Garamond" w:hAnsi="Garamond"/>
          <w:sz w:val="24"/>
          <w:szCs w:val="24"/>
        </w:rPr>
        <w:t>. prosince 2022</w:t>
      </w:r>
    </w:p>
    <w:p w14:paraId="53D032B6" w14:textId="75365BB6" w:rsidR="00A71FE5" w:rsidRPr="001B0380" w:rsidRDefault="00A71FE5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1694F07" w14:textId="00098767" w:rsidR="00A71FE5" w:rsidRPr="001B0380" w:rsidRDefault="00A71FE5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89C3551" w14:textId="6BB60F0F" w:rsidR="00A71FE5" w:rsidRPr="001B0380" w:rsidRDefault="00A71FE5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26CA782" w14:textId="5D62EDA2" w:rsidR="00A71FE5" w:rsidRPr="001B0380" w:rsidRDefault="00A71FE5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7433DAA" w14:textId="0A7775D2" w:rsidR="00A71FE5" w:rsidRPr="001B0380" w:rsidRDefault="00A71FE5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B0380">
        <w:rPr>
          <w:rFonts w:ascii="Garamond" w:hAnsi="Garamond"/>
          <w:sz w:val="24"/>
          <w:szCs w:val="24"/>
        </w:rPr>
        <w:t>……………………………………..</w:t>
      </w:r>
      <w:r w:rsidRPr="001B0380">
        <w:rPr>
          <w:rFonts w:ascii="Garamond" w:hAnsi="Garamond"/>
          <w:sz w:val="24"/>
          <w:szCs w:val="24"/>
        </w:rPr>
        <w:tab/>
      </w:r>
      <w:r w:rsidRPr="001B0380">
        <w:rPr>
          <w:rFonts w:ascii="Garamond" w:hAnsi="Garamond"/>
          <w:sz w:val="24"/>
          <w:szCs w:val="24"/>
        </w:rPr>
        <w:tab/>
      </w:r>
      <w:r w:rsidRPr="001B0380">
        <w:rPr>
          <w:rFonts w:ascii="Garamond" w:hAnsi="Garamond"/>
          <w:sz w:val="24"/>
          <w:szCs w:val="24"/>
        </w:rPr>
        <w:tab/>
        <w:t>….…………………………………</w:t>
      </w:r>
    </w:p>
    <w:p w14:paraId="4CD557C2" w14:textId="5A61DB4C" w:rsidR="00F83B81" w:rsidRPr="001B0380" w:rsidRDefault="00A71FE5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B0380">
        <w:rPr>
          <w:rFonts w:ascii="Garamond" w:hAnsi="Garamond"/>
          <w:sz w:val="24"/>
          <w:szCs w:val="24"/>
        </w:rPr>
        <w:t xml:space="preserve">         JUDr. Roman Winkler</w:t>
      </w:r>
      <w:r w:rsidRPr="001B0380">
        <w:rPr>
          <w:rFonts w:ascii="Garamond" w:hAnsi="Garamond"/>
          <w:sz w:val="24"/>
          <w:szCs w:val="24"/>
        </w:rPr>
        <w:tab/>
      </w:r>
      <w:r w:rsidRPr="001B0380">
        <w:rPr>
          <w:rFonts w:ascii="Garamond" w:hAnsi="Garamond"/>
          <w:sz w:val="24"/>
          <w:szCs w:val="24"/>
        </w:rPr>
        <w:tab/>
      </w:r>
      <w:r w:rsidRPr="001B0380">
        <w:rPr>
          <w:rFonts w:ascii="Garamond" w:hAnsi="Garamond"/>
          <w:sz w:val="24"/>
          <w:szCs w:val="24"/>
        </w:rPr>
        <w:tab/>
      </w:r>
      <w:r w:rsidRPr="001B0380">
        <w:rPr>
          <w:rFonts w:ascii="Garamond" w:hAnsi="Garamond"/>
          <w:sz w:val="24"/>
          <w:szCs w:val="24"/>
        </w:rPr>
        <w:tab/>
        <w:t xml:space="preserve">        Mgr. Martina Douchová</w:t>
      </w:r>
    </w:p>
    <w:p w14:paraId="10C63F8E" w14:textId="79D54233" w:rsidR="00A71FE5" w:rsidRPr="001B0380" w:rsidRDefault="00A71FE5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B0380">
        <w:rPr>
          <w:rFonts w:ascii="Garamond" w:hAnsi="Garamond"/>
          <w:sz w:val="24"/>
          <w:szCs w:val="24"/>
        </w:rPr>
        <w:t>předseda Okresního soudu v Táboře</w:t>
      </w:r>
      <w:r w:rsidRPr="001B0380">
        <w:rPr>
          <w:rFonts w:ascii="Garamond" w:hAnsi="Garamond"/>
          <w:sz w:val="24"/>
          <w:szCs w:val="24"/>
        </w:rPr>
        <w:tab/>
      </w:r>
      <w:r w:rsidRPr="001B0380">
        <w:rPr>
          <w:rFonts w:ascii="Garamond" w:hAnsi="Garamond"/>
          <w:sz w:val="24"/>
          <w:szCs w:val="24"/>
        </w:rPr>
        <w:tab/>
      </w:r>
      <w:r w:rsidRPr="001B0380">
        <w:rPr>
          <w:rFonts w:ascii="Garamond" w:hAnsi="Garamond"/>
          <w:sz w:val="24"/>
          <w:szCs w:val="24"/>
        </w:rPr>
        <w:tab/>
        <w:t xml:space="preserve">              soudní exekutor</w:t>
      </w:r>
    </w:p>
    <w:p w14:paraId="0D2122FA" w14:textId="77777777" w:rsidR="00A71FE5" w:rsidRPr="001B0380" w:rsidRDefault="00A71FE5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6362272" w14:textId="67477F66" w:rsidR="00F83B81" w:rsidRPr="001B0380" w:rsidRDefault="00F83B81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CEF5448" w14:textId="44811B08" w:rsidR="00F83B81" w:rsidRPr="001B0380" w:rsidRDefault="00F83B81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7F6E9AF" w14:textId="77777777" w:rsidR="00F83B81" w:rsidRPr="001B0380" w:rsidRDefault="00F83B81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F83B81" w:rsidRPr="001B0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53A0C"/>
    <w:multiLevelType w:val="hybridMultilevel"/>
    <w:tmpl w:val="64F48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B38F6"/>
    <w:multiLevelType w:val="hybridMultilevel"/>
    <w:tmpl w:val="F6001EA4"/>
    <w:lvl w:ilvl="0" w:tplc="39946782">
      <w:start w:val="1"/>
      <w:numFmt w:val="lowerLetter"/>
      <w:lvlText w:val="%1)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3835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9454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Dodatek č. 2.docx 2023/01/02 07:38:48"/>
    <w:docVar w:name="DOKUMENT_ADRESAR_FS" w:val="C:\TMP\DB"/>
    <w:docVar w:name="DOKUMENT_AUTOMATICKE_UKLADANI" w:val="NE"/>
    <w:docVar w:name="DOKUMENT_PERIODA_UKLADANI" w:val="10"/>
    <w:docVar w:name="DOKUMENT_ULOZIT_JAKO_DOCX" w:val="NE"/>
  </w:docVars>
  <w:rsids>
    <w:rsidRoot w:val="00815EDC"/>
    <w:rsid w:val="00050618"/>
    <w:rsid w:val="000D5A52"/>
    <w:rsid w:val="001B0380"/>
    <w:rsid w:val="005E1DDE"/>
    <w:rsid w:val="006B27E6"/>
    <w:rsid w:val="00734E5F"/>
    <w:rsid w:val="007C7C1C"/>
    <w:rsid w:val="00815EDC"/>
    <w:rsid w:val="008C6A09"/>
    <w:rsid w:val="009109BA"/>
    <w:rsid w:val="0098366B"/>
    <w:rsid w:val="00A71FE5"/>
    <w:rsid w:val="00AC251B"/>
    <w:rsid w:val="00D45537"/>
    <w:rsid w:val="00E475DA"/>
    <w:rsid w:val="00F47473"/>
    <w:rsid w:val="00F8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0E955"/>
  <w15:chartTrackingRefBased/>
  <w15:docId w15:val="{9172B831-D6F0-4E34-ACC3-6BAD6058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1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369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Táboře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Winkler Roman JUDr.</dc:creator>
  <cp:keywords/>
  <dc:description/>
  <cp:lastModifiedBy>Kutílková Jiřina</cp:lastModifiedBy>
  <cp:revision>2</cp:revision>
  <cp:lastPrinted>2023-01-02T06:37:00Z</cp:lastPrinted>
  <dcterms:created xsi:type="dcterms:W3CDTF">2023-01-26T20:49:00Z</dcterms:created>
  <dcterms:modified xsi:type="dcterms:W3CDTF">2023-01-26T20:49:00Z</dcterms:modified>
</cp:coreProperties>
</file>