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r w:rsidRPr="0022778B">
        <w:rPr>
          <w:b/>
          <w:sz w:val="40"/>
        </w:rPr>
        <w:t xml:space="preserve">Smlouva č. </w:t>
      </w:r>
      <w:r w:rsidR="00E46D91">
        <w:rPr>
          <w:b/>
          <w:sz w:val="40"/>
        </w:rPr>
        <w:t>0</w:t>
      </w:r>
      <w:r w:rsidR="00855E88">
        <w:rPr>
          <w:b/>
          <w:sz w:val="40"/>
        </w:rPr>
        <w:t>6</w:t>
      </w:r>
      <w:r w:rsidR="00E407C9">
        <w:rPr>
          <w:b/>
          <w:sz w:val="40"/>
        </w:rPr>
        <w:t>87</w:t>
      </w:r>
      <w:r w:rsidR="00B26A88">
        <w:rPr>
          <w:b/>
          <w:sz w:val="40"/>
        </w:rPr>
        <w:t>1</w:t>
      </w:r>
      <w:r w:rsidR="00855E88">
        <w:rPr>
          <w:b/>
          <w:sz w:val="40"/>
        </w:rPr>
        <w:t>5</w:t>
      </w:r>
      <w:r w:rsidR="00B26A88">
        <w:rPr>
          <w:b/>
          <w:sz w:val="40"/>
        </w:rPr>
        <w:t>3</w:t>
      </w:r>
      <w:r w:rsidR="00855E88">
        <w:rPr>
          <w:b/>
          <w:sz w:val="40"/>
        </w:rPr>
        <w:t>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1D45AE" w:rsidRDefault="001D45AE" w:rsidP="00855E88">
      <w:pPr>
        <w:pStyle w:val="Zkladntext"/>
        <w:jc w:val="center"/>
        <w:rPr>
          <w:szCs w:val="24"/>
        </w:rPr>
      </w:pPr>
    </w:p>
    <w:p w:rsidR="00855E88" w:rsidRPr="00855E88" w:rsidRDefault="00855E88" w:rsidP="00855E88">
      <w:pPr>
        <w:pStyle w:val="Zkladntext"/>
        <w:jc w:val="center"/>
        <w:rPr>
          <w:szCs w:val="24"/>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855E88" w:rsidRDefault="001D45AE">
      <w:pPr>
        <w:pStyle w:val="Zkladntext"/>
        <w:jc w:val="center"/>
        <w:rPr>
          <w:szCs w:val="24"/>
        </w:rPr>
      </w:pPr>
    </w:p>
    <w:p w:rsidR="001D45AE" w:rsidRPr="00A677CB" w:rsidRDefault="001D45AE">
      <w:pPr>
        <w:pStyle w:val="Zkladntext"/>
        <w:jc w:val="center"/>
        <w:rPr>
          <w:b/>
        </w:rPr>
      </w:pPr>
      <w:r w:rsidRPr="00A677CB">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E407C9" w:rsidP="00A860F2">
      <w:pPr>
        <w:pStyle w:val="Zkladntext"/>
        <w:rPr>
          <w:b/>
          <w:i/>
          <w:szCs w:val="24"/>
        </w:rPr>
      </w:pPr>
      <w:r>
        <w:rPr>
          <w:b/>
          <w:szCs w:val="24"/>
        </w:rPr>
        <w:t>Městská část Praha 5</w:t>
      </w:r>
      <w:r w:rsidR="00737957" w:rsidRPr="00525B97">
        <w:rPr>
          <w:b/>
          <w:i/>
          <w:szCs w:val="24"/>
        </w:rPr>
        <w:t xml:space="preserve"> </w:t>
      </w:r>
    </w:p>
    <w:p w:rsidR="00A860F2" w:rsidRPr="00525B97" w:rsidRDefault="00F56057" w:rsidP="00A860F2">
      <w:pPr>
        <w:pStyle w:val="Zkladntext"/>
        <w:rPr>
          <w:szCs w:val="24"/>
        </w:rPr>
      </w:pPr>
      <w:r w:rsidRPr="00525B97">
        <w:rPr>
          <w:szCs w:val="24"/>
        </w:rPr>
        <w:t xml:space="preserve">kontaktní adresa: </w:t>
      </w:r>
      <w:r w:rsidR="00E407C9">
        <w:rPr>
          <w:szCs w:val="24"/>
        </w:rPr>
        <w:t>Úřad městské části Praha 5</w:t>
      </w:r>
      <w:r w:rsidR="00A51559" w:rsidRPr="00525B97">
        <w:rPr>
          <w:szCs w:val="24"/>
        </w:rPr>
        <w:t xml:space="preserve">, </w:t>
      </w:r>
      <w:r w:rsidR="00FC6FDB">
        <w:rPr>
          <w:szCs w:val="24"/>
        </w:rPr>
        <w:t>náměstí 14. října 138</w:t>
      </w:r>
      <w:r w:rsidR="00274CBD">
        <w:rPr>
          <w:szCs w:val="24"/>
        </w:rPr>
        <w:t>1</w:t>
      </w:r>
      <w:r w:rsidR="00A677CB">
        <w:rPr>
          <w:szCs w:val="24"/>
        </w:rPr>
        <w:t>/</w:t>
      </w:r>
      <w:r w:rsidR="00FC6FDB">
        <w:rPr>
          <w:szCs w:val="24"/>
        </w:rPr>
        <w:t>4</w:t>
      </w:r>
      <w:r w:rsidR="00A05E58">
        <w:rPr>
          <w:szCs w:val="24"/>
        </w:rPr>
        <w:t xml:space="preserve">, </w:t>
      </w:r>
      <w:r w:rsidR="00FC6FDB">
        <w:rPr>
          <w:szCs w:val="24"/>
        </w:rPr>
        <w:t>150 00 Praha 5</w:t>
      </w:r>
    </w:p>
    <w:p w:rsidR="00BE2E3C" w:rsidRPr="00525B97" w:rsidRDefault="00EB4108" w:rsidP="00A860F2">
      <w:pPr>
        <w:pStyle w:val="Zkladntext"/>
        <w:rPr>
          <w:szCs w:val="24"/>
        </w:rPr>
      </w:pPr>
      <w:r w:rsidRPr="00525B97">
        <w:rPr>
          <w:szCs w:val="24"/>
        </w:rPr>
        <w:t xml:space="preserve">IČ: </w:t>
      </w:r>
      <w:r w:rsidR="00A05E58">
        <w:rPr>
          <w:szCs w:val="24"/>
        </w:rPr>
        <w:t>00</w:t>
      </w:r>
      <w:r w:rsidR="00FC6FDB">
        <w:rPr>
          <w:szCs w:val="24"/>
        </w:rPr>
        <w:t>063631</w:t>
      </w:r>
    </w:p>
    <w:p w:rsidR="00737957" w:rsidRPr="00525B97" w:rsidRDefault="00F56057" w:rsidP="00A860F2">
      <w:pPr>
        <w:pStyle w:val="Zkladntext"/>
        <w:rPr>
          <w:szCs w:val="24"/>
        </w:rPr>
      </w:pPr>
      <w:r w:rsidRPr="00525B97">
        <w:rPr>
          <w:szCs w:val="24"/>
        </w:rPr>
        <w:t>z</w:t>
      </w:r>
      <w:r w:rsidR="00737957" w:rsidRPr="00525B97">
        <w:rPr>
          <w:szCs w:val="24"/>
        </w:rPr>
        <w:t>astoupen</w:t>
      </w:r>
      <w:r w:rsidR="008B384B">
        <w:rPr>
          <w:szCs w:val="24"/>
        </w:rPr>
        <w:t>á</w:t>
      </w:r>
      <w:r w:rsidRPr="00525B97">
        <w:rPr>
          <w:szCs w:val="24"/>
        </w:rPr>
        <w:t xml:space="preserve"> staros</w:t>
      </w:r>
      <w:r w:rsidR="003F7540">
        <w:rPr>
          <w:szCs w:val="24"/>
        </w:rPr>
        <w:t>t</w:t>
      </w:r>
      <w:r w:rsidR="00FC6C95">
        <w:rPr>
          <w:szCs w:val="24"/>
        </w:rPr>
        <w:t>ou</w:t>
      </w:r>
      <w:r w:rsidR="00D10BDA">
        <w:rPr>
          <w:szCs w:val="24"/>
        </w:rPr>
        <w:t xml:space="preserve"> M</w:t>
      </w:r>
      <w:r w:rsidR="00BB0B77">
        <w:rPr>
          <w:szCs w:val="24"/>
        </w:rPr>
        <w:t>UD</w:t>
      </w:r>
      <w:r w:rsidR="00D10BDA">
        <w:rPr>
          <w:szCs w:val="24"/>
        </w:rPr>
        <w:t xml:space="preserve">r. </w:t>
      </w:r>
      <w:r w:rsidR="00FC6FDB">
        <w:rPr>
          <w:szCs w:val="24"/>
        </w:rPr>
        <w:t xml:space="preserve">Radkem K l í m </w:t>
      </w:r>
      <w:r w:rsidR="00D10BDA">
        <w:rPr>
          <w:szCs w:val="24"/>
        </w:rPr>
        <w:t>o u</w:t>
      </w:r>
      <w:r w:rsidR="00880757">
        <w:rPr>
          <w:szCs w:val="24"/>
        </w:rPr>
        <w:t xml:space="preserve"> </w:t>
      </w:r>
      <w:r w:rsidR="00FC6C95">
        <w:rPr>
          <w:szCs w:val="24"/>
        </w:rPr>
        <w:t xml:space="preserve"> </w:t>
      </w:r>
      <w:r w:rsidR="00213D43" w:rsidRPr="00525B97">
        <w:rPr>
          <w:szCs w:val="24"/>
        </w:rPr>
        <w:t xml:space="preserve">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0C7BD9">
        <w:rPr>
          <w:szCs w:val="24"/>
        </w:rPr>
        <w:t>94-</w:t>
      </w:r>
      <w:r w:rsidR="00FC6FDB">
        <w:rPr>
          <w:szCs w:val="24"/>
        </w:rPr>
        <w:t>1119011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1D45AE" w:rsidRDefault="001D45AE">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FC6C95">
        <w:t>0</w:t>
      </w:r>
      <w:r w:rsidR="00524DCD">
        <w:t>6</w:t>
      </w:r>
      <w:r w:rsidR="00A313FF">
        <w:t>87</w:t>
      </w:r>
      <w:r w:rsidR="00A05E58">
        <w:t>1</w:t>
      </w:r>
      <w:r w:rsidR="00524DCD">
        <w:t>5</w:t>
      </w:r>
      <w:r w:rsidR="00A05E58">
        <w:t>3</w:t>
      </w:r>
      <w:r w:rsidR="00524DCD">
        <w:t>2</w:t>
      </w:r>
      <w:r w:rsidR="009244F6">
        <w:t xml:space="preserve"> ze d</w:t>
      </w:r>
      <w:r w:rsidR="0022778B">
        <w:t xml:space="preserve">ne </w:t>
      </w:r>
      <w:r w:rsidR="00524DCD">
        <w:t>25</w:t>
      </w:r>
      <w:r w:rsidR="00556662">
        <w:t xml:space="preserve">. </w:t>
      </w:r>
      <w:r w:rsidR="00524DCD">
        <w:t>11</w:t>
      </w:r>
      <w:r w:rsidR="009C4E14">
        <w:t xml:space="preserve">. </w:t>
      </w:r>
      <w:r w:rsidR="00F56057" w:rsidRPr="00F56057">
        <w:t>201</w:t>
      </w:r>
      <w:r w:rsidR="00524DCD">
        <w:t>5</w:t>
      </w:r>
      <w:r w:rsidR="00A81F9D">
        <w:t xml:space="preserve"> </w:t>
      </w:r>
      <w:r w:rsidR="0022778B">
        <w:t>o posky</w:t>
      </w:r>
      <w:r>
        <w:t>tnutí finančních prostředků ze Státního fondu životního prostředí Č</w:t>
      </w:r>
      <w:r w:rsidR="00524DCD">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64411B" w:rsidRDefault="0064411B">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FC6FDB">
        <w:t>132 901</w:t>
      </w:r>
      <w:r w:rsidR="009244F6">
        <w:t xml:space="preserve"> </w:t>
      </w:r>
      <w:r w:rsidR="00B75816">
        <w:t>K</w:t>
      </w:r>
      <w:r>
        <w:t>č</w:t>
      </w:r>
    </w:p>
    <w:p w:rsidR="001D45AE" w:rsidRDefault="005F4627">
      <w:pPr>
        <w:pStyle w:val="Zkladntext"/>
        <w:jc w:val="center"/>
      </w:pPr>
      <w:r>
        <w:t xml:space="preserve">(slovy: </w:t>
      </w:r>
      <w:r w:rsidR="00332A80">
        <w:t>st</w:t>
      </w:r>
      <w:r w:rsidR="00FC6FDB">
        <w:t>o</w:t>
      </w:r>
      <w:r w:rsidR="00332A80">
        <w:t xml:space="preserve"> </w:t>
      </w:r>
      <w:r w:rsidR="00FC6FDB">
        <w:t xml:space="preserve">třicet dva </w:t>
      </w:r>
      <w:r w:rsidR="00C2549E">
        <w:t>t</w:t>
      </w:r>
      <w:r w:rsidR="002A0051">
        <w:t>isíc</w:t>
      </w:r>
      <w:r w:rsidR="004C6D7B">
        <w:t xml:space="preserve"> </w:t>
      </w:r>
      <w:r w:rsidR="00FC6FDB">
        <w:t>devět</w:t>
      </w:r>
      <w:r w:rsidR="00F864DE">
        <w:t xml:space="preserve"> set </w:t>
      </w:r>
      <w:r w:rsidR="00FC6FDB">
        <w:t xml:space="preserve">jedna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D10BDA">
        <w:t>Re</w:t>
      </w:r>
      <w:r w:rsidR="00FC6FDB">
        <w:t xml:space="preserve">vitalizace zeleně </w:t>
      </w:r>
      <w:r w:rsidR="00D10BDA">
        <w:t>v</w:t>
      </w:r>
      <w:r w:rsidR="00FC6FDB">
        <w:t> parku Santoška</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996743">
        <w:t> </w:t>
      </w:r>
      <w:r w:rsidR="00D10BDA">
        <w:t>roce</w:t>
      </w:r>
      <w:r w:rsidR="00996743">
        <w:t xml:space="preserve"> 201</w:t>
      </w:r>
      <w:r w:rsidR="00C0086E">
        <w:t>5</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FC6FDB">
        <w:t>1</w:t>
      </w:r>
      <w:r w:rsidR="000031E7">
        <w:t>66</w:t>
      </w:r>
      <w:r w:rsidR="00FC6FDB">
        <w:t xml:space="preserve"> 1</w:t>
      </w:r>
      <w:r w:rsidR="000031E7">
        <w:t>26</w:t>
      </w:r>
      <w:r w:rsidR="005A6FE5">
        <w:t xml:space="preserve"> </w:t>
      </w:r>
      <w:r>
        <w:t>Kč.</w:t>
      </w:r>
    </w:p>
    <w:p w:rsidR="00F15724" w:rsidRDefault="00403552">
      <w:pPr>
        <w:pStyle w:val="Zkladntext"/>
        <w:jc w:val="both"/>
      </w:pPr>
      <w:r>
        <w:t xml:space="preserve">Dotace </w:t>
      </w:r>
      <w:r w:rsidRPr="000031E7">
        <w:t xml:space="preserve">představuje </w:t>
      </w:r>
      <w:r w:rsidR="00E552F5" w:rsidRPr="000031E7">
        <w:t>8</w:t>
      </w:r>
      <w:r w:rsidR="00FC6FDB" w:rsidRPr="000031E7">
        <w:t>0</w:t>
      </w:r>
      <w:r w:rsidR="00E666B0" w:rsidRPr="000031E7">
        <w:t>,</w:t>
      </w:r>
      <w:r w:rsidR="002F0D26" w:rsidRPr="000031E7">
        <w:t>0</w:t>
      </w:r>
      <w:r w:rsidR="0052781E" w:rsidRPr="000031E7">
        <w:rPr>
          <w:i/>
        </w:rPr>
        <w:t xml:space="preserve"> </w:t>
      </w:r>
      <w:r w:rsidR="001D45AE" w:rsidRPr="000031E7">
        <w:t>% základu pro</w:t>
      </w:r>
      <w:r w:rsidR="001D45AE">
        <w:t xml:space="preserve">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F56057" w:rsidRDefault="00E844C2" w:rsidP="00A00213">
      <w:pPr>
        <w:pStyle w:val="Zkladntext"/>
        <w:jc w:val="both"/>
      </w:pPr>
      <w:r>
        <w:t>Z</w:t>
      </w:r>
      <w:r w:rsidR="0011072C">
        <w:t xml:space="preserve"> položkového rozpočtu k žádosti </w:t>
      </w:r>
      <w:r w:rsidR="006A7CCF">
        <w:t xml:space="preserve">aktualizovaného </w:t>
      </w:r>
      <w:r>
        <w:t xml:space="preserve">dne </w:t>
      </w:r>
      <w:r w:rsidR="006A7CCF">
        <w:t>1</w:t>
      </w:r>
      <w:r w:rsidR="0011072C">
        <w:t>8</w:t>
      </w:r>
      <w:r w:rsidRPr="0042618B">
        <w:t xml:space="preserve">. </w:t>
      </w:r>
      <w:r w:rsidR="006A7CCF">
        <w:t>1</w:t>
      </w:r>
      <w:r w:rsidR="0011072C">
        <w:t>1</w:t>
      </w:r>
      <w:r w:rsidRPr="0042618B">
        <w:t>. 201</w:t>
      </w:r>
      <w:r w:rsidR="006A7CCF">
        <w:t>5</w:t>
      </w:r>
      <w:r>
        <w:t xml:space="preserve"> odpovídá částka </w:t>
      </w:r>
      <w:r w:rsidR="006A7CCF">
        <w:t>132 901</w:t>
      </w:r>
      <w:r w:rsidR="000A1E93">
        <w:t xml:space="preserve"> Kč </w:t>
      </w:r>
      <w:r w:rsidR="008E14CC">
        <w:t>ne</w:t>
      </w:r>
      <w:r w:rsidR="00290863">
        <w:t>investičním nákladům</w:t>
      </w:r>
      <w:r w:rsidR="00AC234C">
        <w:t>.</w:t>
      </w:r>
      <w:r>
        <w:t xml:space="preserve"> </w:t>
      </w:r>
    </w:p>
    <w:p w:rsidR="00E844C2" w:rsidRDefault="00E844C2">
      <w:pPr>
        <w:pStyle w:val="Zkladntext"/>
      </w:pPr>
    </w:p>
    <w:p w:rsidR="00292FFA" w:rsidRPr="002238B3" w:rsidRDefault="00292FFA">
      <w:pPr>
        <w:pStyle w:val="Zkladntext"/>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0C6284" w:rsidRDefault="000C6284" w:rsidP="000C6284">
      <w:pPr>
        <w:pStyle w:val="Zkladntext"/>
      </w:pPr>
    </w:p>
    <w:p w:rsidR="000C6284" w:rsidRDefault="005D4632" w:rsidP="000C6284">
      <w:pPr>
        <w:pStyle w:val="Zkladntext"/>
        <w:numPr>
          <w:ilvl w:val="0"/>
          <w:numId w:val="24"/>
        </w:numPr>
        <w:snapToGrid w:val="0"/>
        <w:ind w:left="426" w:hanging="426"/>
      </w:pPr>
      <w:r>
        <w:t xml:space="preserve">Příjemce podpory prohlašuje, </w:t>
      </w:r>
      <w:r w:rsidR="000C6284">
        <w:t xml:space="preserve">že: </w:t>
      </w:r>
    </w:p>
    <w:p w:rsidR="00087139" w:rsidRDefault="000C6284" w:rsidP="00C51C46">
      <w:pPr>
        <w:pStyle w:val="Zkladntext"/>
        <w:numPr>
          <w:ilvl w:val="0"/>
          <w:numId w:val="25"/>
        </w:numPr>
        <w:snapToGrid w:val="0"/>
        <w:ind w:left="709" w:hanging="283"/>
        <w:jc w:val="both"/>
      </w:pPr>
      <w:r w:rsidRPr="00E07DBA">
        <w:t>akce b</w:t>
      </w:r>
      <w:r w:rsidR="005D4632">
        <w:t>yla</w:t>
      </w:r>
      <w:r w:rsidRPr="00E07DBA">
        <w:t xml:space="preserve"> provedena </w:t>
      </w:r>
      <w:r w:rsidR="00E55E93">
        <w:t>po</w:t>
      </w:r>
      <w:r w:rsidRPr="00E07DBA">
        <w:t xml:space="preserve">dle Fondem </w:t>
      </w:r>
      <w:r w:rsidR="00E07DBA" w:rsidRPr="00E07DBA">
        <w:t>odsouhlasen</w:t>
      </w:r>
      <w:r w:rsidR="009C4E14">
        <w:t>é</w:t>
      </w:r>
      <w:r w:rsidR="006A7CCF">
        <w:t>ho podrobného popisu p</w:t>
      </w:r>
      <w:r w:rsidR="00431187">
        <w:t>rojektu „</w:t>
      </w:r>
      <w:r w:rsidR="006A7CCF">
        <w:t>Revitalizace zeleně v parku Santoška</w:t>
      </w:r>
      <w:r w:rsidR="00431187">
        <w:t>“, kt</w:t>
      </w:r>
      <w:r w:rsidR="00E55E93">
        <w:t>er</w:t>
      </w:r>
      <w:r w:rsidR="006A7CCF">
        <w:t>ý</w:t>
      </w:r>
      <w:r w:rsidR="00E55E93">
        <w:t xml:space="preserve"> je součástí žádosti ze dne </w:t>
      </w:r>
      <w:r w:rsidR="006A7CCF">
        <w:t>31</w:t>
      </w:r>
      <w:r w:rsidR="00431187">
        <w:t xml:space="preserve">. </w:t>
      </w:r>
      <w:r w:rsidR="00B74722">
        <w:t>0</w:t>
      </w:r>
      <w:r w:rsidR="006A7CCF">
        <w:t>3</w:t>
      </w:r>
      <w:r w:rsidR="00431187">
        <w:t>. 201</w:t>
      </w:r>
      <w:r w:rsidR="00B74722">
        <w:t>5</w:t>
      </w:r>
      <w:r w:rsidR="00431187">
        <w:t>, r</w:t>
      </w:r>
      <w:r w:rsidR="00AF4646">
        <w:t>ozpočt</w:t>
      </w:r>
      <w:r w:rsidR="00E55E93">
        <w:t>u</w:t>
      </w:r>
      <w:r w:rsidR="00AF4646">
        <w:t xml:space="preserve"> projektu</w:t>
      </w:r>
      <w:r w:rsidR="00B74722">
        <w:t xml:space="preserve"> </w:t>
      </w:r>
      <w:r w:rsidR="006A7CCF">
        <w:t xml:space="preserve">aktualizovaného dne 18. 11. 2015, dendrologického průzkumu (Ing. Gabriela Kortusová, Martin Kortus, </w:t>
      </w:r>
      <w:proofErr w:type="spellStart"/>
      <w:r w:rsidR="006A7CCF">
        <w:t>DiS</w:t>
      </w:r>
      <w:proofErr w:type="spellEnd"/>
      <w:r w:rsidR="006A7CCF">
        <w:t>, 03/2015)</w:t>
      </w:r>
      <w:r w:rsidR="00AF4646">
        <w:t xml:space="preserve">, </w:t>
      </w:r>
      <w:r w:rsidR="002C7B2B">
        <w:t>a</w:t>
      </w:r>
      <w:r w:rsidR="00E55E93">
        <w:t xml:space="preserve"> </w:t>
      </w:r>
      <w:r w:rsidR="00431187">
        <w:t xml:space="preserve">v souladu s kompletní dokumentací </w:t>
      </w:r>
      <w:r w:rsidR="00E531E9">
        <w:t xml:space="preserve">výběrového řízení </w:t>
      </w:r>
      <w:r w:rsidR="00431187">
        <w:t xml:space="preserve">včetně </w:t>
      </w:r>
      <w:r w:rsidR="0011072C">
        <w:t>smlouvy o dílo,</w:t>
      </w:r>
      <w:r w:rsidR="0007586E">
        <w:t xml:space="preserve"> </w:t>
      </w:r>
      <w:r w:rsidR="0011072C" w:rsidRPr="00E07DBA">
        <w:t>včetně případných změn</w:t>
      </w:r>
      <w:r w:rsidR="00C51C46">
        <w:t xml:space="preserve"> </w:t>
      </w:r>
      <w:r w:rsidR="0011072C" w:rsidRPr="00E07DBA">
        <w:t>a doplňků t</w:t>
      </w:r>
      <w:r w:rsidR="0011072C">
        <w:t>ěchto</w:t>
      </w:r>
      <w:r w:rsidR="0011072C" w:rsidRPr="00E07DBA">
        <w:t xml:space="preserve"> dokument</w:t>
      </w:r>
      <w:r w:rsidR="0011072C">
        <w:t>ů</w:t>
      </w:r>
      <w:r w:rsidR="0011072C" w:rsidRPr="00E07DBA">
        <w:t xml:space="preserve"> odsouhlasených Fondem</w:t>
      </w:r>
      <w:r w:rsidR="0011072C">
        <w:t xml:space="preserve">, </w:t>
      </w:r>
      <w:r w:rsidR="006274A9">
        <w:t xml:space="preserve">  </w:t>
      </w:r>
    </w:p>
    <w:p w:rsidR="00197ECE" w:rsidRDefault="00A313FF" w:rsidP="00497EDB">
      <w:pPr>
        <w:pStyle w:val="Zkladntext"/>
        <w:numPr>
          <w:ilvl w:val="0"/>
          <w:numId w:val="25"/>
        </w:numPr>
        <w:snapToGrid w:val="0"/>
        <w:ind w:left="709" w:hanging="283"/>
        <w:jc w:val="both"/>
      </w:pPr>
      <w:r>
        <w:t xml:space="preserve">v období od </w:t>
      </w:r>
      <w:r w:rsidR="005C34C0">
        <w:t>0</w:t>
      </w:r>
      <w:r>
        <w:t>8</w:t>
      </w:r>
      <w:r w:rsidR="005C34C0">
        <w:t>/2015 do 1</w:t>
      </w:r>
      <w:r>
        <w:t>2</w:t>
      </w:r>
      <w:r w:rsidR="005C34C0">
        <w:t>/2015</w:t>
      </w:r>
      <w:r w:rsidR="0006248F">
        <w:t xml:space="preserve"> </w:t>
      </w:r>
      <w:r w:rsidR="00C51C46">
        <w:t>ošetřil 72</w:t>
      </w:r>
      <w:r w:rsidR="002119EE">
        <w:t xml:space="preserve"> ks </w:t>
      </w:r>
      <w:r w:rsidR="00C51C46">
        <w:t>stromů</w:t>
      </w:r>
      <w:r w:rsidR="004F182B">
        <w:t>,</w:t>
      </w:r>
    </w:p>
    <w:p w:rsidR="007D227D" w:rsidRDefault="007D227D" w:rsidP="007D227D">
      <w:pPr>
        <w:pStyle w:val="Zkladntext"/>
        <w:ind w:left="709"/>
        <w:jc w:val="both"/>
      </w:pPr>
      <w:r>
        <w:t>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ve znění pozdějších předpisů, a že mohou být uplatněny sankce dle tohoto zákona.</w:t>
      </w:r>
    </w:p>
    <w:p w:rsidR="00D10BDA" w:rsidRDefault="00E844C2" w:rsidP="009541B2">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D10BDA">
        <w:t>,</w:t>
      </w:r>
    </w:p>
    <w:p w:rsidR="00EF6C11" w:rsidRPr="0006248F" w:rsidRDefault="000C7BD9" w:rsidP="000C7BD9">
      <w:pPr>
        <w:pStyle w:val="Zkladntext"/>
        <w:numPr>
          <w:ilvl w:val="0"/>
          <w:numId w:val="25"/>
        </w:numPr>
        <w:snapToGrid w:val="0"/>
        <w:ind w:left="709" w:hanging="283"/>
        <w:jc w:val="both"/>
      </w:pPr>
      <w:r w:rsidRPr="000C7BD9">
        <w:rPr>
          <w:szCs w:val="24"/>
        </w:rPr>
        <w:t xml:space="preserve">bude zpřístupňovat veřejnosti informace o životním prostředí ve smyslu zákona </w:t>
      </w:r>
      <w:r w:rsidRPr="000C7BD9">
        <w:rPr>
          <w:bCs/>
          <w:szCs w:val="24"/>
        </w:rPr>
        <w:t>č. 123/1998 Sb., o právu na informace o životním prostředí, ve znění pozdějších předpisů.</w:t>
      </w:r>
    </w:p>
    <w:p w:rsidR="000C6284" w:rsidRDefault="005D4632" w:rsidP="000C487E">
      <w:pPr>
        <w:pStyle w:val="Zkladntext"/>
        <w:numPr>
          <w:ilvl w:val="0"/>
          <w:numId w:val="24"/>
        </w:numPr>
        <w:jc w:val="both"/>
      </w:pPr>
      <w:r>
        <w:t>Příjemce</w:t>
      </w:r>
      <w:r w:rsidR="000C487E">
        <w:t xml:space="preserve"> </w:t>
      </w:r>
      <w:r>
        <w:t xml:space="preserve">podpory je povinen předložit Fondu nejpozději do </w:t>
      </w:r>
      <w:r w:rsidRPr="00D26702">
        <w:t>konce 0</w:t>
      </w:r>
      <w:r w:rsidR="00BB0B77">
        <w:t>5</w:t>
      </w:r>
      <w:r w:rsidRPr="00D26702">
        <w:t>/2016 podklady</w:t>
      </w:r>
      <w:r>
        <w:t xml:space="preserve"> </w:t>
      </w:r>
      <w:r w:rsidR="000C487E">
        <w:br/>
      </w:r>
      <w:r>
        <w:t>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C51C46"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p>
    <w:p w:rsidR="000C6284" w:rsidRDefault="00C51C46" w:rsidP="000F0271">
      <w:pPr>
        <w:pStyle w:val="Zkladntext"/>
        <w:numPr>
          <w:ilvl w:val="0"/>
          <w:numId w:val="27"/>
        </w:numPr>
        <w:snapToGrid w:val="0"/>
        <w:ind w:left="709" w:hanging="283"/>
        <w:jc w:val="both"/>
      </w:pPr>
      <w:r>
        <w:t>závěrečnou zprávu o realizaci projektu,</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C51C46"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p>
    <w:p w:rsidR="000F0271" w:rsidRDefault="00C51C46" w:rsidP="000F0271">
      <w:pPr>
        <w:pStyle w:val="Zkladntext"/>
        <w:numPr>
          <w:ilvl w:val="0"/>
          <w:numId w:val="27"/>
        </w:numPr>
        <w:snapToGrid w:val="0"/>
        <w:ind w:left="709" w:hanging="283"/>
        <w:jc w:val="both"/>
      </w:pPr>
      <w:r>
        <w:lastRenderedPageBreak/>
        <w:t>doklad o entomologickém dozoru při ošetřování stromů s dutinami,</w:t>
      </w:r>
      <w:r w:rsidR="00990061">
        <w:t xml:space="preserve"> </w:t>
      </w:r>
    </w:p>
    <w:p w:rsidR="00077F85" w:rsidRDefault="00077F85" w:rsidP="0096384E">
      <w:pPr>
        <w:pStyle w:val="Zkladntext"/>
        <w:numPr>
          <w:ilvl w:val="0"/>
          <w:numId w:val="27"/>
        </w:numPr>
        <w:snapToGrid w:val="0"/>
        <w:ind w:left="709" w:hanging="283"/>
        <w:jc w:val="both"/>
      </w:pPr>
      <w:r>
        <w:t>dokumentace skutečného provedení v případě, že se realizace akce liší od projektu</w:t>
      </w:r>
      <w:r w:rsidR="00697522">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 xml:space="preserve">g) Umožnit osobám pověřeným Fondem provádět věcnou, finanční a účetní kontrolu v průběhu realizace akce i po jejím dokončení, a to v takovém rozsahu (i pokud jde o poskytnutí příslušných </w:t>
      </w:r>
      <w:r>
        <w:lastRenderedPageBreak/>
        <w:t>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0C7BD9" w:rsidRPr="00043593" w:rsidRDefault="001D45AE">
      <w:pPr>
        <w:pStyle w:val="Zkladntext"/>
        <w:ind w:left="284" w:hanging="284"/>
        <w:jc w:val="both"/>
      </w:pPr>
      <w:r>
        <w:t xml:space="preserve">i) </w:t>
      </w:r>
      <w:r w:rsidRPr="00043593">
        <w:t>Informovat Fond o všech okolnostech, které mají nebo by mohly mít vliv na plnění povinností příjemce podpory podle této smlouvy.</w:t>
      </w:r>
    </w:p>
    <w:p w:rsidR="004B30AE" w:rsidRPr="00043593" w:rsidRDefault="00C645E4" w:rsidP="000C7BD9">
      <w:pPr>
        <w:pStyle w:val="Zkladntext"/>
        <w:tabs>
          <w:tab w:val="left" w:pos="285"/>
        </w:tabs>
        <w:ind w:left="284" w:hanging="284"/>
        <w:jc w:val="both"/>
      </w:pPr>
      <w:r w:rsidRPr="00043593">
        <w:t xml:space="preserve">j) Dodržovat pravidla pro zadávání zakázek stanovená </w:t>
      </w:r>
      <w:r w:rsidR="000C7BD9" w:rsidRPr="00043593">
        <w:t xml:space="preserve">ve Směrnici MŽP, uvedené v bodu 2. (včetně </w:t>
      </w:r>
      <w:r w:rsidR="000C7BD9" w:rsidRPr="00043593">
        <w:rPr>
          <w:color w:val="auto"/>
        </w:rPr>
        <w:t xml:space="preserve">jejích příloh) a v </w:t>
      </w:r>
      <w:r w:rsidR="00D10BDA" w:rsidRPr="00043593">
        <w:rPr>
          <w:color w:val="auto"/>
        </w:rPr>
        <w:t>aktuální</w:t>
      </w:r>
      <w:r w:rsidR="000C7BD9" w:rsidRPr="00043593">
        <w:rPr>
          <w:color w:val="auto"/>
        </w:rPr>
        <w:t>ch</w:t>
      </w:r>
      <w:r w:rsidR="00D10BDA" w:rsidRPr="00043593">
        <w:rPr>
          <w:color w:val="auto"/>
        </w:rPr>
        <w:t xml:space="preserve"> pokyn</w:t>
      </w:r>
      <w:r w:rsidR="000C7BD9" w:rsidRPr="00043593">
        <w:rPr>
          <w:color w:val="auto"/>
        </w:rPr>
        <w:t>ech</w:t>
      </w:r>
      <w:r w:rsidR="00D10BDA" w:rsidRPr="00043593">
        <w:rPr>
          <w:color w:val="auto"/>
        </w:rPr>
        <w:t xml:space="preserve"> pro zadávání veřejných zakázek, které jsou zveřejněny na </w:t>
      </w:r>
      <w:hyperlink r:id="rId8" w:history="1">
        <w:r w:rsidR="00D10BDA" w:rsidRPr="00043593">
          <w:rPr>
            <w:rStyle w:val="Hypertextovodkaz"/>
            <w:color w:val="auto"/>
            <w:u w:val="none"/>
          </w:rPr>
          <w:t>www.sfzp.cz</w:t>
        </w:r>
      </w:hyperlink>
      <w:r w:rsidR="00D10BDA" w:rsidRPr="00043593">
        <w:rPr>
          <w:color w:val="auto"/>
        </w:rPr>
        <w:t xml:space="preserve"> sekce</w:t>
      </w:r>
      <w:r w:rsidR="00D10BDA" w:rsidRPr="00043593">
        <w:t xml:space="preserve"> Národní program Životní prostředí – Dokumenty ke stažení – Pokyny pro zadávání veřejných zakázek</w:t>
      </w:r>
      <w:r w:rsidRPr="00043593">
        <w:t>, a to i v průběhu realizace akce.</w:t>
      </w:r>
      <w:r w:rsidR="000C7BD9" w:rsidRPr="00043593">
        <w:t xml:space="preserve"> </w:t>
      </w:r>
      <w:r w:rsidRPr="00043593">
        <w:t xml:space="preserve">V této souvislosti příjemce podpory prohlašuje, že uvedená pravidla byla dodržena.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92FFA" w:rsidRDefault="00292FFA"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5C34C0">
        <w:t>6</w:t>
      </w:r>
      <w:r w:rsidR="00EC2B87">
        <w:t xml:space="preserve"> </w:t>
      </w:r>
      <w:r w:rsidR="00207C4D" w:rsidRPr="00072179">
        <w:t>ve v</w:t>
      </w:r>
      <w:r w:rsidR="005E50C6">
        <w:t xml:space="preserve">ýši </w:t>
      </w:r>
      <w:r w:rsidR="005C34C0">
        <w:t>1</w:t>
      </w:r>
      <w:r w:rsidR="000031E7">
        <w:t>1</w:t>
      </w:r>
      <w:r w:rsidR="005C34C0">
        <w:t>9 6</w:t>
      </w:r>
      <w:r w:rsidR="000031E7">
        <w:t>11</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w:t>
      </w:r>
      <w:r>
        <w:lastRenderedPageBreak/>
        <w:t xml:space="preserve">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w:t>
      </w:r>
      <w:r w:rsidR="001B146B">
        <w:t xml:space="preserve"> hlavním městě Pra</w:t>
      </w:r>
      <w:r w:rsidR="006E41D9">
        <w:t>ze</w:t>
      </w:r>
      <w:r>
        <w:t>.</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A471E4">
        <w:t> </w:t>
      </w:r>
      <w:r w:rsidR="00030110">
        <w:t>letech</w:t>
      </w:r>
      <w:r w:rsidR="00A471E4">
        <w:t xml:space="preserve"> </w:t>
      </w:r>
      <w:r w:rsidR="00EE01B8">
        <w:t>201</w:t>
      </w:r>
      <w:r w:rsidR="00CF7ABB">
        <w:t>5</w:t>
      </w:r>
      <w:r w:rsidR="000031E7">
        <w:t xml:space="preserve"> – 2016 </w:t>
      </w:r>
      <w:r w:rsidR="000957C7" w:rsidRPr="002D174B">
        <w:t>uhrad</w:t>
      </w:r>
      <w:r w:rsidR="005C34C0">
        <w:t>il</w:t>
      </w:r>
      <w:r w:rsidR="003A538A" w:rsidRPr="002D174B">
        <w:t xml:space="preserve"> z vlastních zdrojů </w:t>
      </w:r>
      <w:r w:rsidR="000031E7">
        <w:t>13 290</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1D45AE" w:rsidRDefault="001D45AE" w:rsidP="0006248F">
      <w:pPr>
        <w:pStyle w:val="Zkladntext"/>
        <w:spacing w:before="120"/>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292FFA" w:rsidRDefault="00292FFA" w:rsidP="000C487E">
      <w:pPr>
        <w:pStyle w:val="Zkladntext"/>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 xml:space="preserve">eného zástupce příjemce </w:t>
      </w:r>
      <w:proofErr w:type="gramStart"/>
      <w:r w:rsidR="00A471E4">
        <w:t>podpory</w:t>
      </w:r>
      <w:r w:rsidR="00240433" w:rsidRPr="002D174B">
        <w:t xml:space="preserve"> </w:t>
      </w:r>
      <w:r w:rsidR="00A471E4">
        <w:t xml:space="preserve">              </w:t>
      </w:r>
      <w:r w:rsidRPr="002D174B">
        <w:lastRenderedPageBreak/>
        <w:t>(u právnických</w:t>
      </w:r>
      <w:proofErr w:type="gramEnd"/>
      <w:r w:rsidRPr="002D174B">
        <w:t xml:space="preserve">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92FFA" w:rsidRDefault="00292FFA">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pPr>
      <w:r>
        <w:t xml:space="preserve">Rozhodnutí o vrácení zálohově poskytnuté podpory bude součástí protokolu o závěrečném vyhodnocení akce. Pokud o vrácení zálohově poskytnuté podpory či její části rozhodne Fond před </w:t>
      </w:r>
      <w:r>
        <w:lastRenderedPageBreak/>
        <w:t>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w:t>
      </w:r>
      <w:proofErr w:type="gramStart"/>
      <w:r>
        <w:t xml:space="preserve">vlády </w:t>
      </w:r>
      <w:r w:rsidR="00084BFE">
        <w:t xml:space="preserve">             </w:t>
      </w:r>
      <w:r>
        <w:t>č.</w:t>
      </w:r>
      <w:proofErr w:type="gramEnd"/>
      <w:r>
        <w:t xml:space="preserve"> </w:t>
      </w:r>
      <w:r w:rsidR="00CF3B3B">
        <w:t>351</w:t>
      </w:r>
      <w:r>
        <w:t>/</w:t>
      </w:r>
      <w:r w:rsidR="00CF3B3B">
        <w:t>2013</w:t>
      </w:r>
      <w:r>
        <w:t xml:space="preserve"> Sb.</w:t>
      </w:r>
    </w:p>
    <w:p w:rsidR="001D45AE" w:rsidRDefault="001D45AE">
      <w:pPr>
        <w:pStyle w:val="Zkladntext"/>
        <w:jc w:val="both"/>
        <w:rPr>
          <w:rFonts w:ascii="Garamond" w:hAnsi="Garamond"/>
          <w:sz w:val="8"/>
        </w:rPr>
      </w:pPr>
    </w:p>
    <w:p w:rsidR="001D45AE" w:rsidRDefault="001D45AE">
      <w:pPr>
        <w:pStyle w:val="Zkladntext"/>
        <w:jc w:val="both"/>
      </w:pPr>
      <w:r>
        <w:t>Tyto úroky z prodlení je příjemce podpory povinen vypočítat sám a uhradit je Fondu spolu s </w:t>
      </w:r>
      <w:proofErr w:type="gramStart"/>
      <w:r>
        <w:t>opožděně  hrazenou</w:t>
      </w:r>
      <w:proofErr w:type="gramEnd"/>
      <w:r>
        <w:t xml:space="preserve">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F864DE" w:rsidRDefault="00F864DE">
      <w:pPr>
        <w:pStyle w:val="Zkladntext"/>
        <w:jc w:val="center"/>
        <w:rPr>
          <w:b/>
        </w:rPr>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w:t>
      </w:r>
      <w:r>
        <w:lastRenderedPageBreak/>
        <w:t xml:space="preserve">zřetele, zejména tehdy, kdy k porušení povinnosti došlo bez zavinění příjemce </w:t>
      </w:r>
      <w:proofErr w:type="gramStart"/>
      <w:r>
        <w:t>podpory a nebyla</w:t>
      </w:r>
      <w:proofErr w:type="gramEnd"/>
      <w:r>
        <w:t xml:space="preserve">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292FFA" w:rsidRDefault="00292FFA">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sidRPr="005864EC">
        <w:rPr>
          <w:b/>
        </w:rPr>
        <w:t>16.</w:t>
      </w:r>
    </w:p>
    <w:p w:rsidR="005864EC" w:rsidRDefault="005864EC">
      <w:pPr>
        <w:pStyle w:val="Zkladntext"/>
        <w:jc w:val="center"/>
        <w:rPr>
          <w:b/>
        </w:rPr>
      </w:pPr>
    </w:p>
    <w:p w:rsidR="000C487E" w:rsidRDefault="000C487E" w:rsidP="005864EC">
      <w:pPr>
        <w:pStyle w:val="Zkladntext"/>
        <w:jc w:val="both"/>
        <w:rPr>
          <w:bCs/>
          <w:szCs w:val="24"/>
        </w:rPr>
      </w:pPr>
      <w:r>
        <w:rPr>
          <w:bCs/>
          <w:szCs w:val="24"/>
        </w:rPr>
        <w:t xml:space="preserve">Konstatuje se, že akce byla realizována na pozemcích, jejichž vlastníkem je </w:t>
      </w:r>
      <w:r w:rsidR="00A313FF">
        <w:rPr>
          <w:bCs/>
          <w:szCs w:val="24"/>
        </w:rPr>
        <w:t>Hlavní město Praha</w:t>
      </w:r>
      <w:r>
        <w:rPr>
          <w:bCs/>
          <w:szCs w:val="24"/>
        </w:rPr>
        <w:t>, kter</w:t>
      </w:r>
      <w:r w:rsidR="00030110">
        <w:rPr>
          <w:bCs/>
          <w:szCs w:val="24"/>
        </w:rPr>
        <w:t>é</w:t>
      </w:r>
      <w:r>
        <w:rPr>
          <w:bCs/>
          <w:szCs w:val="24"/>
        </w:rPr>
        <w:t xml:space="preserve"> vyslovil</w:t>
      </w:r>
      <w:r w:rsidR="00030110">
        <w:rPr>
          <w:bCs/>
          <w:szCs w:val="24"/>
        </w:rPr>
        <w:t>o</w:t>
      </w:r>
      <w:r>
        <w:rPr>
          <w:bCs/>
          <w:szCs w:val="24"/>
        </w:rPr>
        <w:t xml:space="preserve"> souhlas s realizací akce</w:t>
      </w:r>
      <w:r w:rsidR="006C0ACE">
        <w:rPr>
          <w:bCs/>
          <w:szCs w:val="24"/>
        </w:rPr>
        <w:t xml:space="preserve"> </w:t>
      </w:r>
      <w:r w:rsidR="006C0ACE">
        <w:rPr>
          <w:szCs w:val="24"/>
        </w:rPr>
        <w:t>(doklady potvrzující souhlas byly předány Fondu)</w:t>
      </w:r>
      <w:r w:rsidR="00FD225B">
        <w:rPr>
          <w:szCs w:val="24"/>
        </w:rPr>
        <w:t xml:space="preserve"> a příjemce podpory je má ve správě</w:t>
      </w:r>
      <w:r>
        <w:rPr>
          <w:bCs/>
          <w:szCs w:val="24"/>
        </w:rPr>
        <w:t>.</w:t>
      </w:r>
    </w:p>
    <w:p w:rsidR="005864EC" w:rsidRDefault="005864EC" w:rsidP="0037044E">
      <w:pPr>
        <w:autoSpaceDE w:val="0"/>
        <w:autoSpaceDN w:val="0"/>
        <w:spacing w:before="120"/>
        <w:jc w:val="both"/>
        <w:rPr>
          <w:sz w:val="24"/>
          <w:szCs w:val="24"/>
        </w:rPr>
      </w:pPr>
      <w:r>
        <w:rPr>
          <w:sz w:val="24"/>
          <w:szCs w:val="24"/>
        </w:rPr>
        <w:t xml:space="preserve">Příjemce podpory je povinen </w:t>
      </w:r>
      <w:r w:rsidR="006C0ACE">
        <w:rPr>
          <w:sz w:val="24"/>
          <w:szCs w:val="24"/>
        </w:rPr>
        <w:t xml:space="preserve">zabezpečit </w:t>
      </w:r>
      <w:r>
        <w:rPr>
          <w:sz w:val="24"/>
          <w:szCs w:val="24"/>
        </w:rPr>
        <w:t>nejméně po dobu 10 let od ukončení realizace akce</w:t>
      </w:r>
      <w:r w:rsidR="006C0ACE">
        <w:rPr>
          <w:sz w:val="24"/>
          <w:szCs w:val="24"/>
        </w:rPr>
        <w:t xml:space="preserve"> řádnou údržbu předmětu podpory</w:t>
      </w:r>
      <w:r>
        <w:rPr>
          <w:sz w:val="24"/>
          <w:szCs w:val="24"/>
        </w:rPr>
        <w:t xml:space="preserve">. Pro tento účel se předmětem podpory rozumí věci pořizované (či rekonstruované, upravené, nebo jinak výrazně zhodnocené) s podporou podle této smlouvy, </w:t>
      </w:r>
      <w:r w:rsidR="006C0ACE">
        <w:rPr>
          <w:sz w:val="24"/>
          <w:szCs w:val="24"/>
        </w:rPr>
        <w:t xml:space="preserve">jakož i </w:t>
      </w:r>
      <w:r>
        <w:rPr>
          <w:sz w:val="24"/>
          <w:szCs w:val="24"/>
        </w:rPr>
        <w:t>příslušn</w:t>
      </w:r>
      <w:r w:rsidR="006C0ACE">
        <w:rPr>
          <w:sz w:val="24"/>
          <w:szCs w:val="24"/>
        </w:rPr>
        <w:t>é</w:t>
      </w:r>
      <w:r>
        <w:rPr>
          <w:sz w:val="24"/>
          <w:szCs w:val="24"/>
        </w:rPr>
        <w:t xml:space="preserve"> pozemk</w:t>
      </w:r>
      <w:r w:rsidR="006C0ACE">
        <w:rPr>
          <w:sz w:val="24"/>
          <w:szCs w:val="24"/>
        </w:rPr>
        <w:t>y, ve kterých (na kterých) mají být umístěny</w:t>
      </w:r>
      <w:r>
        <w:rPr>
          <w:sz w:val="24"/>
          <w:szCs w:val="24"/>
        </w:rPr>
        <w:t>.</w:t>
      </w:r>
    </w:p>
    <w:p w:rsidR="005864EC" w:rsidRPr="00FD225B" w:rsidRDefault="005864EC" w:rsidP="005864EC">
      <w:pPr>
        <w:autoSpaceDE w:val="0"/>
        <w:autoSpaceDN w:val="0"/>
        <w:spacing w:before="120"/>
        <w:jc w:val="both"/>
        <w:rPr>
          <w:color w:val="000000"/>
          <w:sz w:val="24"/>
          <w:szCs w:val="24"/>
        </w:rPr>
      </w:pPr>
      <w:r w:rsidRPr="00FD225B">
        <w:rPr>
          <w:color w:val="000000"/>
          <w:sz w:val="24"/>
          <w:szCs w:val="24"/>
        </w:rPr>
        <w:t>Příjemce podpory je povinen zabezpečit, aby účel akce byl řádně plněn po</w:t>
      </w:r>
      <w:r w:rsidR="00030110" w:rsidRPr="00030110">
        <w:rPr>
          <w:sz w:val="24"/>
          <w:szCs w:val="24"/>
        </w:rPr>
        <w:t xml:space="preserve"> </w:t>
      </w:r>
      <w:r w:rsidR="00030110">
        <w:rPr>
          <w:sz w:val="24"/>
          <w:szCs w:val="24"/>
        </w:rPr>
        <w:t>dobu 10 let od ukončení realizace akce</w:t>
      </w:r>
      <w:r w:rsidRPr="00FD225B">
        <w:rPr>
          <w:color w:val="000000"/>
          <w:sz w:val="24"/>
          <w:szCs w:val="24"/>
        </w:rPr>
        <w:t>, a to</w:t>
      </w:r>
      <w:r w:rsidR="0037044E">
        <w:rPr>
          <w:color w:val="000000"/>
          <w:sz w:val="24"/>
          <w:szCs w:val="24"/>
        </w:rPr>
        <w:t xml:space="preserve"> </w:t>
      </w:r>
      <w:r w:rsidRPr="00FD225B">
        <w:rPr>
          <w:color w:val="000000"/>
          <w:sz w:val="24"/>
          <w:szCs w:val="24"/>
        </w:rPr>
        <w:t>i v případě, že souhlas nebude trvat po celou stanovenou dobu, případně dojde (či po udělení souhlasu již došlo) ke změně vlastníka dotčených pozemků.</w:t>
      </w:r>
    </w:p>
    <w:p w:rsidR="00FD225B" w:rsidRPr="00FD225B" w:rsidRDefault="00FD225B" w:rsidP="00FD225B">
      <w:pPr>
        <w:autoSpaceDE w:val="0"/>
        <w:autoSpaceDN w:val="0"/>
        <w:adjustRightInd w:val="0"/>
        <w:spacing w:before="120"/>
        <w:jc w:val="both"/>
        <w:rPr>
          <w:sz w:val="24"/>
          <w:szCs w:val="24"/>
        </w:rPr>
      </w:pPr>
      <w:r w:rsidRPr="00FD225B">
        <w:rPr>
          <w:sz w:val="24"/>
          <w:szCs w:val="24"/>
        </w:rPr>
        <w:t>Příjemce podpory je povinen zabezpečit, že prostředky, které budou poskytovány</w:t>
      </w:r>
      <w:r>
        <w:rPr>
          <w:sz w:val="24"/>
          <w:szCs w:val="24"/>
        </w:rPr>
        <w:t xml:space="preserve"> </w:t>
      </w:r>
      <w:r w:rsidRPr="00FD225B">
        <w:rPr>
          <w:sz w:val="24"/>
          <w:szCs w:val="24"/>
        </w:rPr>
        <w:t xml:space="preserve">prostřednictvím základního běžného účtu hl. m. Prahy, budou řádně použity k financování akce. </w:t>
      </w:r>
    </w:p>
    <w:p w:rsidR="005864EC" w:rsidRPr="00FD225B" w:rsidRDefault="005864EC" w:rsidP="00FD225B">
      <w:pPr>
        <w:pStyle w:val="Zkladntext"/>
        <w:spacing w:before="120"/>
        <w:jc w:val="both"/>
        <w:rPr>
          <w:szCs w:val="24"/>
        </w:rPr>
      </w:pPr>
      <w:r w:rsidRPr="00FD225B">
        <w:rPr>
          <w:szCs w:val="24"/>
        </w:rP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FD225B" w:rsidRDefault="00FD225B">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37044E" w:rsidRDefault="0037044E">
      <w:pPr>
        <w:pStyle w:val="Zkladntext"/>
        <w:jc w:val="center"/>
        <w:rPr>
          <w:b/>
        </w:rPr>
      </w:pPr>
    </w:p>
    <w:p w:rsidR="0037044E" w:rsidRDefault="0037044E">
      <w:pPr>
        <w:pStyle w:val="Zkladntext"/>
        <w:jc w:val="center"/>
        <w:rPr>
          <w:b/>
        </w:rPr>
      </w:pPr>
    </w:p>
    <w:p w:rsidR="001D45AE" w:rsidRDefault="001D45AE">
      <w:pPr>
        <w:pStyle w:val="Zkladntext"/>
        <w:jc w:val="center"/>
        <w:rPr>
          <w:b/>
        </w:rPr>
      </w:pPr>
      <w:bookmarkStart w:id="0" w:name="_GoBack"/>
      <w:bookmarkEnd w:id="0"/>
      <w:r>
        <w:rPr>
          <w:b/>
        </w:rPr>
        <w:lastRenderedPageBreak/>
        <w:t>18.</w:t>
      </w:r>
    </w:p>
    <w:p w:rsidR="00A61421" w:rsidRDefault="00A61421" w:rsidP="00FD225B">
      <w:pPr>
        <w:pStyle w:val="Zkladntext"/>
        <w:jc w:val="center"/>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rsidP="0087219B">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rsidP="0087219B">
      <w:pPr>
        <w:pStyle w:val="Zkladntext"/>
        <w:jc w:val="both"/>
        <w:rPr>
          <w:sz w:val="8"/>
        </w:rPr>
      </w:pPr>
    </w:p>
    <w:p w:rsidR="001D45AE" w:rsidRDefault="001D45AE" w:rsidP="0087219B">
      <w:pPr>
        <w:pStyle w:val="Zkladntext"/>
        <w:jc w:val="both"/>
      </w:pPr>
      <w:r>
        <w:t>Pro účely této smlouvy má povinnost příjemce podpory stejný význam jako závazek příjemce podpory.</w:t>
      </w:r>
    </w:p>
    <w:p w:rsidR="00660F80" w:rsidRPr="00DF3F0C" w:rsidRDefault="00660F80" w:rsidP="0087219B">
      <w:pPr>
        <w:autoSpaceDE w:val="0"/>
        <w:autoSpaceDN w:val="0"/>
        <w:adjustRightInd w:val="0"/>
        <w:jc w:val="both"/>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292FFA" w:rsidRDefault="00292FFA">
      <w:pPr>
        <w:pStyle w:val="Zkladntext"/>
        <w:jc w:val="center"/>
        <w:rPr>
          <w:b/>
        </w:rPr>
      </w:pPr>
    </w:p>
    <w:p w:rsidR="001D45AE" w:rsidRDefault="001D45AE">
      <w:pPr>
        <w:pStyle w:val="Zkladntext"/>
        <w:jc w:val="center"/>
        <w:rPr>
          <w:b/>
        </w:rPr>
      </w:pPr>
      <w:r>
        <w:rPr>
          <w:b/>
        </w:rPr>
        <w:t>20.</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E25C8C" w:rsidRDefault="00E25C8C" w:rsidP="00397003">
      <w:pPr>
        <w:pStyle w:val="Zkladntext"/>
      </w:pPr>
    </w:p>
    <w:p w:rsidR="00292FFA" w:rsidRDefault="00292FFA" w:rsidP="00397003">
      <w:pPr>
        <w:pStyle w:val="Zkladntext"/>
      </w:pPr>
    </w:p>
    <w:p w:rsidR="00292FFA" w:rsidRDefault="00292FFA" w:rsidP="00397003">
      <w:pPr>
        <w:pStyle w:val="Zkladntext"/>
      </w:pPr>
    </w:p>
    <w:p w:rsidR="0007586E" w:rsidRDefault="0007586E" w:rsidP="00397003">
      <w:pPr>
        <w:pStyle w:val="Zkladntext"/>
      </w:pPr>
    </w:p>
    <w:p w:rsidR="005864EC" w:rsidRDefault="005864E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417" w:rsidRDefault="00983417">
      <w:r>
        <w:separator/>
      </w:r>
    </w:p>
  </w:endnote>
  <w:endnote w:type="continuationSeparator" w:id="0">
    <w:p w:rsidR="00983417" w:rsidRDefault="0098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39693F">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417" w:rsidRDefault="00983417">
      <w:r>
        <w:separator/>
      </w:r>
    </w:p>
  </w:footnote>
  <w:footnote w:type="continuationSeparator" w:id="0">
    <w:p w:rsidR="00983417" w:rsidRDefault="00983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39693F">
      <w:fldChar w:fldCharType="begin"/>
    </w:r>
    <w:r w:rsidR="00F43A8E">
      <w:instrText>PAGE \*ARABIC</w:instrText>
    </w:r>
    <w:r w:rsidR="0039693F">
      <w:fldChar w:fldCharType="separate"/>
    </w:r>
    <w:r w:rsidR="00BB0B77">
      <w:rPr>
        <w:noProof/>
      </w:rPr>
      <w:t>10</w:t>
    </w:r>
    <w:r w:rsidR="0039693F">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1E7"/>
    <w:rsid w:val="00003318"/>
    <w:rsid w:val="00005155"/>
    <w:rsid w:val="00020E6D"/>
    <w:rsid w:val="00021003"/>
    <w:rsid w:val="0002352C"/>
    <w:rsid w:val="00026DF4"/>
    <w:rsid w:val="00027A9F"/>
    <w:rsid w:val="00030110"/>
    <w:rsid w:val="00030FEC"/>
    <w:rsid w:val="00033A76"/>
    <w:rsid w:val="00041AD6"/>
    <w:rsid w:val="00043593"/>
    <w:rsid w:val="000439C2"/>
    <w:rsid w:val="0004539B"/>
    <w:rsid w:val="00045CA0"/>
    <w:rsid w:val="000516A2"/>
    <w:rsid w:val="0006248F"/>
    <w:rsid w:val="00062975"/>
    <w:rsid w:val="00072179"/>
    <w:rsid w:val="0007586E"/>
    <w:rsid w:val="00077F85"/>
    <w:rsid w:val="00084BFE"/>
    <w:rsid w:val="000860BF"/>
    <w:rsid w:val="00087139"/>
    <w:rsid w:val="00093824"/>
    <w:rsid w:val="0009388C"/>
    <w:rsid w:val="00094453"/>
    <w:rsid w:val="0009497A"/>
    <w:rsid w:val="000957C7"/>
    <w:rsid w:val="00095DAB"/>
    <w:rsid w:val="0009624F"/>
    <w:rsid w:val="0009731E"/>
    <w:rsid w:val="00097A7A"/>
    <w:rsid w:val="00097F21"/>
    <w:rsid w:val="000A0C58"/>
    <w:rsid w:val="000A1E93"/>
    <w:rsid w:val="000A5B07"/>
    <w:rsid w:val="000B2D9E"/>
    <w:rsid w:val="000C256E"/>
    <w:rsid w:val="000C2EA5"/>
    <w:rsid w:val="000C454F"/>
    <w:rsid w:val="000C487E"/>
    <w:rsid w:val="000C6284"/>
    <w:rsid w:val="000C7912"/>
    <w:rsid w:val="000C7BD9"/>
    <w:rsid w:val="000D2E67"/>
    <w:rsid w:val="000D4494"/>
    <w:rsid w:val="000D7FD2"/>
    <w:rsid w:val="000E18DE"/>
    <w:rsid w:val="000E1F12"/>
    <w:rsid w:val="000F0271"/>
    <w:rsid w:val="000F2C5B"/>
    <w:rsid w:val="00100E18"/>
    <w:rsid w:val="00104E25"/>
    <w:rsid w:val="0011072C"/>
    <w:rsid w:val="001111CE"/>
    <w:rsid w:val="00120C69"/>
    <w:rsid w:val="00121605"/>
    <w:rsid w:val="00127AD4"/>
    <w:rsid w:val="00131FD0"/>
    <w:rsid w:val="00137A9D"/>
    <w:rsid w:val="00141A93"/>
    <w:rsid w:val="00146029"/>
    <w:rsid w:val="00155C49"/>
    <w:rsid w:val="00155DFE"/>
    <w:rsid w:val="00157184"/>
    <w:rsid w:val="001635BB"/>
    <w:rsid w:val="001865CA"/>
    <w:rsid w:val="00190BFC"/>
    <w:rsid w:val="001912C2"/>
    <w:rsid w:val="00191485"/>
    <w:rsid w:val="00192C74"/>
    <w:rsid w:val="00193C95"/>
    <w:rsid w:val="00193FA2"/>
    <w:rsid w:val="00197ECE"/>
    <w:rsid w:val="001A2F65"/>
    <w:rsid w:val="001A5892"/>
    <w:rsid w:val="001A693C"/>
    <w:rsid w:val="001B146B"/>
    <w:rsid w:val="001B1953"/>
    <w:rsid w:val="001B38EA"/>
    <w:rsid w:val="001B768B"/>
    <w:rsid w:val="001D0A3C"/>
    <w:rsid w:val="001D35D5"/>
    <w:rsid w:val="001D45AE"/>
    <w:rsid w:val="001D7C40"/>
    <w:rsid w:val="001E7CA4"/>
    <w:rsid w:val="001F410C"/>
    <w:rsid w:val="001F4210"/>
    <w:rsid w:val="001F7BA9"/>
    <w:rsid w:val="00201A2C"/>
    <w:rsid w:val="002063D9"/>
    <w:rsid w:val="00207C4D"/>
    <w:rsid w:val="00210E30"/>
    <w:rsid w:val="002119EE"/>
    <w:rsid w:val="00213D43"/>
    <w:rsid w:val="0021598A"/>
    <w:rsid w:val="00221056"/>
    <w:rsid w:val="00221E33"/>
    <w:rsid w:val="002238B3"/>
    <w:rsid w:val="00226677"/>
    <w:rsid w:val="0022778B"/>
    <w:rsid w:val="0023212B"/>
    <w:rsid w:val="00232142"/>
    <w:rsid w:val="00234DC0"/>
    <w:rsid w:val="00235794"/>
    <w:rsid w:val="0023579D"/>
    <w:rsid w:val="00240433"/>
    <w:rsid w:val="002408E5"/>
    <w:rsid w:val="0024262C"/>
    <w:rsid w:val="0025299F"/>
    <w:rsid w:val="00264429"/>
    <w:rsid w:val="0026661B"/>
    <w:rsid w:val="00274CBD"/>
    <w:rsid w:val="00274EB2"/>
    <w:rsid w:val="002817F9"/>
    <w:rsid w:val="00283B41"/>
    <w:rsid w:val="00284162"/>
    <w:rsid w:val="00286404"/>
    <w:rsid w:val="00286B2D"/>
    <w:rsid w:val="00286FF0"/>
    <w:rsid w:val="00290371"/>
    <w:rsid w:val="00290863"/>
    <w:rsid w:val="00292FFA"/>
    <w:rsid w:val="002A0051"/>
    <w:rsid w:val="002A2EA4"/>
    <w:rsid w:val="002B1E9F"/>
    <w:rsid w:val="002B24A7"/>
    <w:rsid w:val="002C4122"/>
    <w:rsid w:val="002C4870"/>
    <w:rsid w:val="002C5952"/>
    <w:rsid w:val="002C5994"/>
    <w:rsid w:val="002C7093"/>
    <w:rsid w:val="002C73CD"/>
    <w:rsid w:val="002C7B2B"/>
    <w:rsid w:val="002D174B"/>
    <w:rsid w:val="002D4C1A"/>
    <w:rsid w:val="002D4D94"/>
    <w:rsid w:val="002D4FF2"/>
    <w:rsid w:val="002D6897"/>
    <w:rsid w:val="002E0255"/>
    <w:rsid w:val="002E0BDB"/>
    <w:rsid w:val="002E11DF"/>
    <w:rsid w:val="002E284A"/>
    <w:rsid w:val="002E776A"/>
    <w:rsid w:val="002F066B"/>
    <w:rsid w:val="002F0D26"/>
    <w:rsid w:val="002F7294"/>
    <w:rsid w:val="00303450"/>
    <w:rsid w:val="00304924"/>
    <w:rsid w:val="0030762D"/>
    <w:rsid w:val="00311F91"/>
    <w:rsid w:val="00326C9A"/>
    <w:rsid w:val="00327375"/>
    <w:rsid w:val="00332A80"/>
    <w:rsid w:val="003335FD"/>
    <w:rsid w:val="003370B0"/>
    <w:rsid w:val="003435E5"/>
    <w:rsid w:val="003441BC"/>
    <w:rsid w:val="00351426"/>
    <w:rsid w:val="003551F4"/>
    <w:rsid w:val="00361AC7"/>
    <w:rsid w:val="00361EA6"/>
    <w:rsid w:val="003634CF"/>
    <w:rsid w:val="00367061"/>
    <w:rsid w:val="0037044E"/>
    <w:rsid w:val="003729D8"/>
    <w:rsid w:val="00386546"/>
    <w:rsid w:val="0039693F"/>
    <w:rsid w:val="00397003"/>
    <w:rsid w:val="003A538A"/>
    <w:rsid w:val="003B4B5E"/>
    <w:rsid w:val="003B5A39"/>
    <w:rsid w:val="003C1318"/>
    <w:rsid w:val="003C2263"/>
    <w:rsid w:val="003D4688"/>
    <w:rsid w:val="003D4F5F"/>
    <w:rsid w:val="003E172D"/>
    <w:rsid w:val="003E42D9"/>
    <w:rsid w:val="003E49F9"/>
    <w:rsid w:val="003F3B53"/>
    <w:rsid w:val="003F457C"/>
    <w:rsid w:val="003F689F"/>
    <w:rsid w:val="003F7540"/>
    <w:rsid w:val="00403552"/>
    <w:rsid w:val="004042CA"/>
    <w:rsid w:val="00411941"/>
    <w:rsid w:val="0041305A"/>
    <w:rsid w:val="00417320"/>
    <w:rsid w:val="00422060"/>
    <w:rsid w:val="00422E02"/>
    <w:rsid w:val="0042618B"/>
    <w:rsid w:val="00431187"/>
    <w:rsid w:val="00436608"/>
    <w:rsid w:val="00436C63"/>
    <w:rsid w:val="004404B9"/>
    <w:rsid w:val="0044134A"/>
    <w:rsid w:val="00442332"/>
    <w:rsid w:val="00444408"/>
    <w:rsid w:val="004563D4"/>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7B57"/>
    <w:rsid w:val="004B2776"/>
    <w:rsid w:val="004B2BE1"/>
    <w:rsid w:val="004B30AE"/>
    <w:rsid w:val="004B61A9"/>
    <w:rsid w:val="004B6B72"/>
    <w:rsid w:val="004B6EAB"/>
    <w:rsid w:val="004B759D"/>
    <w:rsid w:val="004C6D7B"/>
    <w:rsid w:val="004D4531"/>
    <w:rsid w:val="004D76BF"/>
    <w:rsid w:val="004E37F0"/>
    <w:rsid w:val="004F182B"/>
    <w:rsid w:val="004F2EDD"/>
    <w:rsid w:val="004F73CE"/>
    <w:rsid w:val="00501FDC"/>
    <w:rsid w:val="00504E18"/>
    <w:rsid w:val="00505F15"/>
    <w:rsid w:val="005069BE"/>
    <w:rsid w:val="00511839"/>
    <w:rsid w:val="00512503"/>
    <w:rsid w:val="00513FAA"/>
    <w:rsid w:val="00524DCD"/>
    <w:rsid w:val="00525B97"/>
    <w:rsid w:val="00526EF8"/>
    <w:rsid w:val="0052781E"/>
    <w:rsid w:val="00532536"/>
    <w:rsid w:val="00532652"/>
    <w:rsid w:val="00532666"/>
    <w:rsid w:val="00536C4C"/>
    <w:rsid w:val="005456FD"/>
    <w:rsid w:val="00547068"/>
    <w:rsid w:val="005507DB"/>
    <w:rsid w:val="00554BE0"/>
    <w:rsid w:val="005552DB"/>
    <w:rsid w:val="00556662"/>
    <w:rsid w:val="0055708B"/>
    <w:rsid w:val="00562126"/>
    <w:rsid w:val="0056360B"/>
    <w:rsid w:val="0056619F"/>
    <w:rsid w:val="00570B7B"/>
    <w:rsid w:val="00571129"/>
    <w:rsid w:val="00573F1F"/>
    <w:rsid w:val="0057457F"/>
    <w:rsid w:val="005762CE"/>
    <w:rsid w:val="0057641F"/>
    <w:rsid w:val="005802E9"/>
    <w:rsid w:val="00582564"/>
    <w:rsid w:val="00585841"/>
    <w:rsid w:val="005861C5"/>
    <w:rsid w:val="005864EC"/>
    <w:rsid w:val="005866A2"/>
    <w:rsid w:val="00590245"/>
    <w:rsid w:val="005910DE"/>
    <w:rsid w:val="005A645B"/>
    <w:rsid w:val="005A6FE5"/>
    <w:rsid w:val="005B0377"/>
    <w:rsid w:val="005B69C1"/>
    <w:rsid w:val="005C2BC6"/>
    <w:rsid w:val="005C34C0"/>
    <w:rsid w:val="005D4632"/>
    <w:rsid w:val="005D4EB4"/>
    <w:rsid w:val="005E1207"/>
    <w:rsid w:val="005E2A51"/>
    <w:rsid w:val="005E33A8"/>
    <w:rsid w:val="005E39CE"/>
    <w:rsid w:val="005E50C6"/>
    <w:rsid w:val="005E77C2"/>
    <w:rsid w:val="005F32C7"/>
    <w:rsid w:val="005F3FEF"/>
    <w:rsid w:val="005F4627"/>
    <w:rsid w:val="005F4CD8"/>
    <w:rsid w:val="005F5467"/>
    <w:rsid w:val="005F58B1"/>
    <w:rsid w:val="005F7225"/>
    <w:rsid w:val="00603A61"/>
    <w:rsid w:val="00603AEA"/>
    <w:rsid w:val="00607BD4"/>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70B1E"/>
    <w:rsid w:val="00673D9B"/>
    <w:rsid w:val="00683646"/>
    <w:rsid w:val="006841B9"/>
    <w:rsid w:val="00685978"/>
    <w:rsid w:val="006859A2"/>
    <w:rsid w:val="00687826"/>
    <w:rsid w:val="00690206"/>
    <w:rsid w:val="00692001"/>
    <w:rsid w:val="00693D0F"/>
    <w:rsid w:val="00696FAE"/>
    <w:rsid w:val="00697522"/>
    <w:rsid w:val="006A2698"/>
    <w:rsid w:val="006A7CCF"/>
    <w:rsid w:val="006B0632"/>
    <w:rsid w:val="006B425E"/>
    <w:rsid w:val="006B7A18"/>
    <w:rsid w:val="006C0ACE"/>
    <w:rsid w:val="006C61CF"/>
    <w:rsid w:val="006C688E"/>
    <w:rsid w:val="006D305D"/>
    <w:rsid w:val="006D4E25"/>
    <w:rsid w:val="006D6F00"/>
    <w:rsid w:val="006E143C"/>
    <w:rsid w:val="006E2CAB"/>
    <w:rsid w:val="006E3777"/>
    <w:rsid w:val="006E41D9"/>
    <w:rsid w:val="006F0EB4"/>
    <w:rsid w:val="006F23F1"/>
    <w:rsid w:val="006F68F8"/>
    <w:rsid w:val="006F717A"/>
    <w:rsid w:val="00701624"/>
    <w:rsid w:val="007029D9"/>
    <w:rsid w:val="00725974"/>
    <w:rsid w:val="007261D7"/>
    <w:rsid w:val="00727D10"/>
    <w:rsid w:val="00737957"/>
    <w:rsid w:val="00745EF7"/>
    <w:rsid w:val="007461F7"/>
    <w:rsid w:val="00750E29"/>
    <w:rsid w:val="00750E85"/>
    <w:rsid w:val="0075405A"/>
    <w:rsid w:val="00754A7C"/>
    <w:rsid w:val="00756566"/>
    <w:rsid w:val="00766B7B"/>
    <w:rsid w:val="00770CB5"/>
    <w:rsid w:val="007816A4"/>
    <w:rsid w:val="007971D8"/>
    <w:rsid w:val="0079768D"/>
    <w:rsid w:val="007A1713"/>
    <w:rsid w:val="007A1C30"/>
    <w:rsid w:val="007A26FD"/>
    <w:rsid w:val="007A6BC3"/>
    <w:rsid w:val="007B10D5"/>
    <w:rsid w:val="007B1939"/>
    <w:rsid w:val="007B5E4E"/>
    <w:rsid w:val="007C44A7"/>
    <w:rsid w:val="007D16F0"/>
    <w:rsid w:val="007D223F"/>
    <w:rsid w:val="007D227D"/>
    <w:rsid w:val="007D42C1"/>
    <w:rsid w:val="007E7BDF"/>
    <w:rsid w:val="007F5A8E"/>
    <w:rsid w:val="00805D69"/>
    <w:rsid w:val="00806841"/>
    <w:rsid w:val="00807C6E"/>
    <w:rsid w:val="008134E4"/>
    <w:rsid w:val="0081789F"/>
    <w:rsid w:val="00827937"/>
    <w:rsid w:val="0083147D"/>
    <w:rsid w:val="0083341B"/>
    <w:rsid w:val="0084106D"/>
    <w:rsid w:val="008413C8"/>
    <w:rsid w:val="008437A4"/>
    <w:rsid w:val="00845D1C"/>
    <w:rsid w:val="0085547F"/>
    <w:rsid w:val="00855E88"/>
    <w:rsid w:val="00860A0C"/>
    <w:rsid w:val="0086153A"/>
    <w:rsid w:val="008644B9"/>
    <w:rsid w:val="008718A3"/>
    <w:rsid w:val="0087219B"/>
    <w:rsid w:val="00872C90"/>
    <w:rsid w:val="00880757"/>
    <w:rsid w:val="00880FE0"/>
    <w:rsid w:val="008831A5"/>
    <w:rsid w:val="0088456F"/>
    <w:rsid w:val="00886869"/>
    <w:rsid w:val="00887EBB"/>
    <w:rsid w:val="00893692"/>
    <w:rsid w:val="00894290"/>
    <w:rsid w:val="0089595E"/>
    <w:rsid w:val="008A24FD"/>
    <w:rsid w:val="008A3DAE"/>
    <w:rsid w:val="008A5796"/>
    <w:rsid w:val="008B01AA"/>
    <w:rsid w:val="008B384B"/>
    <w:rsid w:val="008B3BEB"/>
    <w:rsid w:val="008B48CC"/>
    <w:rsid w:val="008B504A"/>
    <w:rsid w:val="008C04D7"/>
    <w:rsid w:val="008C09B1"/>
    <w:rsid w:val="008D132B"/>
    <w:rsid w:val="008D259A"/>
    <w:rsid w:val="008D34BF"/>
    <w:rsid w:val="008E14CC"/>
    <w:rsid w:val="008F0864"/>
    <w:rsid w:val="008F4827"/>
    <w:rsid w:val="008F58BF"/>
    <w:rsid w:val="008F5F50"/>
    <w:rsid w:val="0090441A"/>
    <w:rsid w:val="009052AA"/>
    <w:rsid w:val="00912A89"/>
    <w:rsid w:val="009244F6"/>
    <w:rsid w:val="00925D6C"/>
    <w:rsid w:val="00933358"/>
    <w:rsid w:val="009333FD"/>
    <w:rsid w:val="00934AFD"/>
    <w:rsid w:val="00935CC0"/>
    <w:rsid w:val="00936F6C"/>
    <w:rsid w:val="00937BBD"/>
    <w:rsid w:val="00942411"/>
    <w:rsid w:val="009430AD"/>
    <w:rsid w:val="00945102"/>
    <w:rsid w:val="00945804"/>
    <w:rsid w:val="00946C37"/>
    <w:rsid w:val="00952380"/>
    <w:rsid w:val="00953E77"/>
    <w:rsid w:val="009541B2"/>
    <w:rsid w:val="00961355"/>
    <w:rsid w:val="00961CD2"/>
    <w:rsid w:val="00962C8D"/>
    <w:rsid w:val="0096384E"/>
    <w:rsid w:val="009709E2"/>
    <w:rsid w:val="009719AD"/>
    <w:rsid w:val="00972EB6"/>
    <w:rsid w:val="009777EA"/>
    <w:rsid w:val="00983417"/>
    <w:rsid w:val="00983B44"/>
    <w:rsid w:val="00985C9D"/>
    <w:rsid w:val="00986758"/>
    <w:rsid w:val="00990061"/>
    <w:rsid w:val="009955EA"/>
    <w:rsid w:val="00996743"/>
    <w:rsid w:val="009A3082"/>
    <w:rsid w:val="009A4021"/>
    <w:rsid w:val="009A5F55"/>
    <w:rsid w:val="009C4E14"/>
    <w:rsid w:val="009C5D46"/>
    <w:rsid w:val="009C62CB"/>
    <w:rsid w:val="009C6D87"/>
    <w:rsid w:val="009D6CA4"/>
    <w:rsid w:val="009D74A3"/>
    <w:rsid w:val="009E1A1D"/>
    <w:rsid w:val="009F0C43"/>
    <w:rsid w:val="009F2C18"/>
    <w:rsid w:val="00A00213"/>
    <w:rsid w:val="00A02E20"/>
    <w:rsid w:val="00A0537C"/>
    <w:rsid w:val="00A05E58"/>
    <w:rsid w:val="00A07D22"/>
    <w:rsid w:val="00A12D46"/>
    <w:rsid w:val="00A134B0"/>
    <w:rsid w:val="00A21075"/>
    <w:rsid w:val="00A24D6D"/>
    <w:rsid w:val="00A265A8"/>
    <w:rsid w:val="00A313FF"/>
    <w:rsid w:val="00A3225F"/>
    <w:rsid w:val="00A356A8"/>
    <w:rsid w:val="00A471E4"/>
    <w:rsid w:val="00A51559"/>
    <w:rsid w:val="00A516EF"/>
    <w:rsid w:val="00A5545B"/>
    <w:rsid w:val="00A55A9E"/>
    <w:rsid w:val="00A60AB2"/>
    <w:rsid w:val="00A61421"/>
    <w:rsid w:val="00A62381"/>
    <w:rsid w:val="00A677CB"/>
    <w:rsid w:val="00A707F7"/>
    <w:rsid w:val="00A745E3"/>
    <w:rsid w:val="00A77039"/>
    <w:rsid w:val="00A7779C"/>
    <w:rsid w:val="00A77EE6"/>
    <w:rsid w:val="00A81F9D"/>
    <w:rsid w:val="00A827E4"/>
    <w:rsid w:val="00A860F2"/>
    <w:rsid w:val="00A9701A"/>
    <w:rsid w:val="00AA096D"/>
    <w:rsid w:val="00AA3305"/>
    <w:rsid w:val="00AA41F7"/>
    <w:rsid w:val="00AB25C7"/>
    <w:rsid w:val="00AC234C"/>
    <w:rsid w:val="00AC3C6C"/>
    <w:rsid w:val="00AC4DB8"/>
    <w:rsid w:val="00AD180F"/>
    <w:rsid w:val="00AD6BDB"/>
    <w:rsid w:val="00AE04CA"/>
    <w:rsid w:val="00AE0BC9"/>
    <w:rsid w:val="00AE542A"/>
    <w:rsid w:val="00AF4646"/>
    <w:rsid w:val="00AF5A95"/>
    <w:rsid w:val="00AF7DCC"/>
    <w:rsid w:val="00B0241D"/>
    <w:rsid w:val="00B04F29"/>
    <w:rsid w:val="00B06276"/>
    <w:rsid w:val="00B06417"/>
    <w:rsid w:val="00B10562"/>
    <w:rsid w:val="00B15856"/>
    <w:rsid w:val="00B167DB"/>
    <w:rsid w:val="00B17F17"/>
    <w:rsid w:val="00B23A66"/>
    <w:rsid w:val="00B24AAD"/>
    <w:rsid w:val="00B26871"/>
    <w:rsid w:val="00B26A88"/>
    <w:rsid w:val="00B26E4E"/>
    <w:rsid w:val="00B300F5"/>
    <w:rsid w:val="00B30AEB"/>
    <w:rsid w:val="00B31098"/>
    <w:rsid w:val="00B339D5"/>
    <w:rsid w:val="00B35D00"/>
    <w:rsid w:val="00B36FF5"/>
    <w:rsid w:val="00B446F7"/>
    <w:rsid w:val="00B52B39"/>
    <w:rsid w:val="00B55392"/>
    <w:rsid w:val="00B7141B"/>
    <w:rsid w:val="00B729D3"/>
    <w:rsid w:val="00B72C4A"/>
    <w:rsid w:val="00B74722"/>
    <w:rsid w:val="00B75816"/>
    <w:rsid w:val="00B81CDD"/>
    <w:rsid w:val="00B91D4C"/>
    <w:rsid w:val="00B93DE5"/>
    <w:rsid w:val="00B949BA"/>
    <w:rsid w:val="00B95CE4"/>
    <w:rsid w:val="00B96E2C"/>
    <w:rsid w:val="00BB0B77"/>
    <w:rsid w:val="00BB15D4"/>
    <w:rsid w:val="00BB3B01"/>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40CF"/>
    <w:rsid w:val="00C142A6"/>
    <w:rsid w:val="00C15E2E"/>
    <w:rsid w:val="00C24BA3"/>
    <w:rsid w:val="00C2549E"/>
    <w:rsid w:val="00C331D2"/>
    <w:rsid w:val="00C334BE"/>
    <w:rsid w:val="00C353B6"/>
    <w:rsid w:val="00C413C2"/>
    <w:rsid w:val="00C41F78"/>
    <w:rsid w:val="00C432D6"/>
    <w:rsid w:val="00C46DEB"/>
    <w:rsid w:val="00C47110"/>
    <w:rsid w:val="00C50905"/>
    <w:rsid w:val="00C51C46"/>
    <w:rsid w:val="00C528AD"/>
    <w:rsid w:val="00C55403"/>
    <w:rsid w:val="00C6268C"/>
    <w:rsid w:val="00C645E4"/>
    <w:rsid w:val="00C6522C"/>
    <w:rsid w:val="00C66426"/>
    <w:rsid w:val="00C66C16"/>
    <w:rsid w:val="00C71EF1"/>
    <w:rsid w:val="00C77362"/>
    <w:rsid w:val="00C82F76"/>
    <w:rsid w:val="00C83602"/>
    <w:rsid w:val="00C84F31"/>
    <w:rsid w:val="00C8606E"/>
    <w:rsid w:val="00C92E5F"/>
    <w:rsid w:val="00C9322A"/>
    <w:rsid w:val="00C968C0"/>
    <w:rsid w:val="00C979C6"/>
    <w:rsid w:val="00CA5B54"/>
    <w:rsid w:val="00CA70F0"/>
    <w:rsid w:val="00CC3D68"/>
    <w:rsid w:val="00CD3547"/>
    <w:rsid w:val="00CD49E9"/>
    <w:rsid w:val="00CD63FE"/>
    <w:rsid w:val="00CE0BD2"/>
    <w:rsid w:val="00CE0DD7"/>
    <w:rsid w:val="00CE4245"/>
    <w:rsid w:val="00CE627F"/>
    <w:rsid w:val="00CF3B3B"/>
    <w:rsid w:val="00CF5766"/>
    <w:rsid w:val="00CF6208"/>
    <w:rsid w:val="00CF7ABB"/>
    <w:rsid w:val="00D0631C"/>
    <w:rsid w:val="00D101AB"/>
    <w:rsid w:val="00D10BDA"/>
    <w:rsid w:val="00D1523C"/>
    <w:rsid w:val="00D26702"/>
    <w:rsid w:val="00D3029C"/>
    <w:rsid w:val="00D3284A"/>
    <w:rsid w:val="00D3719D"/>
    <w:rsid w:val="00D415FF"/>
    <w:rsid w:val="00D44E76"/>
    <w:rsid w:val="00D47588"/>
    <w:rsid w:val="00D5347F"/>
    <w:rsid w:val="00D548FC"/>
    <w:rsid w:val="00D579F8"/>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5D48"/>
    <w:rsid w:val="00E07DBA"/>
    <w:rsid w:val="00E11DC5"/>
    <w:rsid w:val="00E1418A"/>
    <w:rsid w:val="00E23306"/>
    <w:rsid w:val="00E25C8C"/>
    <w:rsid w:val="00E3440D"/>
    <w:rsid w:val="00E407C9"/>
    <w:rsid w:val="00E40F2F"/>
    <w:rsid w:val="00E42775"/>
    <w:rsid w:val="00E44664"/>
    <w:rsid w:val="00E45433"/>
    <w:rsid w:val="00E46D91"/>
    <w:rsid w:val="00E52E13"/>
    <w:rsid w:val="00E531E9"/>
    <w:rsid w:val="00E552F5"/>
    <w:rsid w:val="00E55813"/>
    <w:rsid w:val="00E55C4B"/>
    <w:rsid w:val="00E55E93"/>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7445"/>
    <w:rsid w:val="00EA08C9"/>
    <w:rsid w:val="00EA2C6B"/>
    <w:rsid w:val="00EA32BC"/>
    <w:rsid w:val="00EA4EEC"/>
    <w:rsid w:val="00EA5981"/>
    <w:rsid w:val="00EA6ED3"/>
    <w:rsid w:val="00EB1BFC"/>
    <w:rsid w:val="00EB31BC"/>
    <w:rsid w:val="00EB4108"/>
    <w:rsid w:val="00EB510D"/>
    <w:rsid w:val="00EB6D11"/>
    <w:rsid w:val="00EC0DA0"/>
    <w:rsid w:val="00EC2B87"/>
    <w:rsid w:val="00EC67B3"/>
    <w:rsid w:val="00EC7D23"/>
    <w:rsid w:val="00ED0607"/>
    <w:rsid w:val="00ED17EE"/>
    <w:rsid w:val="00ED351A"/>
    <w:rsid w:val="00EE01B8"/>
    <w:rsid w:val="00EE0F92"/>
    <w:rsid w:val="00EF0972"/>
    <w:rsid w:val="00EF5EE6"/>
    <w:rsid w:val="00EF6C11"/>
    <w:rsid w:val="00F003A0"/>
    <w:rsid w:val="00F0235B"/>
    <w:rsid w:val="00F069EB"/>
    <w:rsid w:val="00F1193E"/>
    <w:rsid w:val="00F136C8"/>
    <w:rsid w:val="00F15724"/>
    <w:rsid w:val="00F15FB4"/>
    <w:rsid w:val="00F2658B"/>
    <w:rsid w:val="00F26B31"/>
    <w:rsid w:val="00F40C05"/>
    <w:rsid w:val="00F41367"/>
    <w:rsid w:val="00F43A8E"/>
    <w:rsid w:val="00F52682"/>
    <w:rsid w:val="00F56057"/>
    <w:rsid w:val="00F611C6"/>
    <w:rsid w:val="00F62C67"/>
    <w:rsid w:val="00F657B0"/>
    <w:rsid w:val="00F66DA0"/>
    <w:rsid w:val="00F700B6"/>
    <w:rsid w:val="00F7227B"/>
    <w:rsid w:val="00F84559"/>
    <w:rsid w:val="00F85C1B"/>
    <w:rsid w:val="00F864DE"/>
    <w:rsid w:val="00F90974"/>
    <w:rsid w:val="00F95DDC"/>
    <w:rsid w:val="00F9700C"/>
    <w:rsid w:val="00F979B2"/>
    <w:rsid w:val="00FA2E5C"/>
    <w:rsid w:val="00FB2255"/>
    <w:rsid w:val="00FB4BDA"/>
    <w:rsid w:val="00FB78D2"/>
    <w:rsid w:val="00FC6C95"/>
    <w:rsid w:val="00FC6FDB"/>
    <w:rsid w:val="00FD1105"/>
    <w:rsid w:val="00FD225B"/>
    <w:rsid w:val="00FD4AF2"/>
    <w:rsid w:val="00FD6414"/>
    <w:rsid w:val="00FF0AAF"/>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ZkladntextChar">
    <w:name w:val="Základní text Char"/>
    <w:link w:val="Zkladntext"/>
    <w:rsid w:val="000C7BD9"/>
    <w:rPr>
      <w:snapToGrid w:val="0"/>
      <w:color w:val="000000"/>
      <w:sz w:val="24"/>
    </w:rPr>
  </w:style>
  <w:style w:type="paragraph" w:customStyle="1" w:styleId="CharCharCharCharCharCharCharCharCharChar3">
    <w:name w:val="Char Char Char Char Char Char Char Char Char Char"/>
    <w:basedOn w:val="Normln"/>
    <w:rsid w:val="005D4632"/>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ZkladntextChar">
    <w:name w:val="Základní text Char"/>
    <w:link w:val="Zkladntext"/>
    <w:rsid w:val="000C7BD9"/>
    <w:rPr>
      <w:snapToGrid w:val="0"/>
      <w:color w:val="000000"/>
      <w:sz w:val="24"/>
    </w:rPr>
  </w:style>
  <w:style w:type="paragraph" w:customStyle="1" w:styleId="CharCharCharCharCharCharCharCharCharChar3">
    <w:name w:val="Char Char Char Char Char Char Char Char Char Char"/>
    <w:basedOn w:val="Normln"/>
    <w:rsid w:val="005D4632"/>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738091883">
      <w:bodyDiv w:val="1"/>
      <w:marLeft w:val="0"/>
      <w:marRight w:val="0"/>
      <w:marTop w:val="0"/>
      <w:marBottom w:val="0"/>
      <w:divBdr>
        <w:top w:val="none" w:sz="0" w:space="0" w:color="auto"/>
        <w:left w:val="none" w:sz="0" w:space="0" w:color="auto"/>
        <w:bottom w:val="none" w:sz="0" w:space="0" w:color="auto"/>
        <w:right w:val="none" w:sz="0" w:space="0" w:color="auto"/>
      </w:divBdr>
    </w:div>
    <w:div w:id="1450466080">
      <w:bodyDiv w:val="1"/>
      <w:marLeft w:val="0"/>
      <w:marRight w:val="0"/>
      <w:marTop w:val="0"/>
      <w:marBottom w:val="0"/>
      <w:divBdr>
        <w:top w:val="none" w:sz="0" w:space="0" w:color="auto"/>
        <w:left w:val="none" w:sz="0" w:space="0" w:color="auto"/>
        <w:bottom w:val="none" w:sz="0" w:space="0" w:color="auto"/>
        <w:right w:val="none" w:sz="0" w:space="0" w:color="auto"/>
      </w:divBdr>
    </w:div>
    <w:div w:id="1550218792">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3697</Words>
  <Characters>21818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25465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Kysela Bohdan</cp:lastModifiedBy>
  <cp:revision>3</cp:revision>
  <cp:lastPrinted>2012-11-16T07:40:00Z</cp:lastPrinted>
  <dcterms:created xsi:type="dcterms:W3CDTF">2016-05-04T09:58:00Z</dcterms:created>
  <dcterms:modified xsi:type="dcterms:W3CDTF">2016-05-04T10:02:00Z</dcterms:modified>
</cp:coreProperties>
</file>